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4C" w:rsidRPr="00CE140F" w:rsidRDefault="009C154C" w:rsidP="009C154C">
      <w:pPr>
        <w:rPr>
          <w:rFonts w:ascii="Times New Roman" w:hAnsi="Times New Roman" w:cs="Times New Roman"/>
          <w:sz w:val="20"/>
          <w:szCs w:val="20"/>
        </w:rPr>
      </w:pPr>
    </w:p>
    <w:p w:rsidR="009C154C" w:rsidRPr="00CE140F" w:rsidRDefault="009C154C" w:rsidP="00624FD1">
      <w:pPr>
        <w:spacing w:after="0" w:line="240" w:lineRule="auto"/>
        <w:jc w:val="center"/>
        <w:rPr>
          <w:rFonts w:ascii="Times New Roman" w:eastAsia="Times New Roman" w:hAnsi="Times New Roman" w:cs="Times New Roman"/>
          <w:b/>
          <w:caps/>
          <w:sz w:val="20"/>
          <w:szCs w:val="20"/>
          <w:lang w:eastAsia="sk-SK"/>
        </w:rPr>
      </w:pPr>
      <w:r w:rsidRPr="00CE140F">
        <w:rPr>
          <w:rFonts w:ascii="Times New Roman" w:eastAsia="Times New Roman" w:hAnsi="Times New Roman" w:cs="Times New Roman"/>
          <w:b/>
          <w:caps/>
          <w:sz w:val="20"/>
          <w:szCs w:val="20"/>
          <w:lang w:eastAsia="sk-SK"/>
        </w:rPr>
        <w:t>Tabuľka zhody</w:t>
      </w:r>
    </w:p>
    <w:p w:rsidR="009C154C" w:rsidRPr="00CE140F" w:rsidRDefault="00624FD1" w:rsidP="00624FD1">
      <w:pPr>
        <w:pStyle w:val="Zarkazkladnhotextu2"/>
        <w:spacing w:before="0" w:line="240" w:lineRule="auto"/>
        <w:ind w:firstLine="0"/>
        <w:jc w:val="center"/>
        <w:rPr>
          <w:b/>
          <w:color w:val="FF0000"/>
          <w:sz w:val="20"/>
        </w:rPr>
      </w:pPr>
      <w:r w:rsidRPr="00CE140F">
        <w:rPr>
          <w:b/>
          <w:sz w:val="20"/>
        </w:rPr>
        <w:t>n</w:t>
      </w:r>
      <w:r w:rsidR="009C154C" w:rsidRPr="00CE140F">
        <w:rPr>
          <w:b/>
          <w:sz w:val="20"/>
        </w:rPr>
        <w:t>ávrh</w:t>
      </w:r>
      <w:r w:rsidRPr="00CE140F">
        <w:rPr>
          <w:b/>
          <w:sz w:val="20"/>
        </w:rPr>
        <w:t>u</w:t>
      </w:r>
      <w:r w:rsidR="009C154C" w:rsidRPr="00CE140F">
        <w:rPr>
          <w:b/>
          <w:sz w:val="20"/>
        </w:rPr>
        <w:t xml:space="preserve"> </w:t>
      </w:r>
      <w:r w:rsidRPr="00CE140F">
        <w:rPr>
          <w:b/>
          <w:sz w:val="20"/>
        </w:rPr>
        <w:t>zákona s</w:t>
      </w:r>
      <w:r w:rsidR="009C154C" w:rsidRPr="00CE140F">
        <w:rPr>
          <w:b/>
          <w:sz w:val="20"/>
        </w:rPr>
        <w:t> p</w:t>
      </w:r>
      <w:r w:rsidRPr="00CE140F">
        <w:rPr>
          <w:b/>
          <w:sz w:val="20"/>
        </w:rPr>
        <w:t>rávom</w:t>
      </w:r>
      <w:r w:rsidR="009C154C" w:rsidRPr="00CE140F">
        <w:rPr>
          <w:b/>
          <w:sz w:val="20"/>
        </w:rPr>
        <w:t> Európskej únie</w:t>
      </w:r>
    </w:p>
    <w:p w:rsidR="009C154C" w:rsidRPr="00CE140F" w:rsidRDefault="009C154C" w:rsidP="009C154C">
      <w:pPr>
        <w:jc w:val="center"/>
        <w:rPr>
          <w:rFonts w:ascii="Times New Roman" w:hAnsi="Times New Roman" w:cs="Times New Roman"/>
          <w:sz w:val="20"/>
          <w:szCs w:val="20"/>
        </w:rPr>
      </w:pPr>
    </w:p>
    <w:tbl>
      <w:tblPr>
        <w:tblStyle w:val="Mriekatabuky"/>
        <w:tblW w:w="15985" w:type="dxa"/>
        <w:tblInd w:w="-743" w:type="dxa"/>
        <w:tblLayout w:type="fixed"/>
        <w:tblLook w:val="04A0" w:firstRow="1" w:lastRow="0" w:firstColumn="1" w:lastColumn="0" w:noHBand="0" w:noVBand="1"/>
      </w:tblPr>
      <w:tblGrid>
        <w:gridCol w:w="819"/>
        <w:gridCol w:w="6836"/>
        <w:gridCol w:w="596"/>
        <w:gridCol w:w="567"/>
        <w:gridCol w:w="851"/>
        <w:gridCol w:w="5528"/>
        <w:gridCol w:w="396"/>
        <w:gridCol w:w="392"/>
      </w:tblGrid>
      <w:tr w:rsidR="00624FD1" w:rsidRPr="00CE140F" w:rsidTr="00066BA8">
        <w:trPr>
          <w:trHeight w:val="1542"/>
        </w:trPr>
        <w:tc>
          <w:tcPr>
            <w:tcW w:w="7655" w:type="dxa"/>
            <w:gridSpan w:val="2"/>
          </w:tcPr>
          <w:p w:rsidR="00624FD1" w:rsidRPr="00CE140F" w:rsidRDefault="00624FD1" w:rsidP="00481460">
            <w:pPr>
              <w:spacing w:after="0" w:line="240" w:lineRule="auto"/>
            </w:pPr>
          </w:p>
          <w:p w:rsidR="00624FD1" w:rsidRDefault="00064A46" w:rsidP="00481460">
            <w:pPr>
              <w:spacing w:after="0" w:line="240" w:lineRule="auto"/>
              <w:jc w:val="both"/>
            </w:pPr>
            <w:r w:rsidRPr="00064A46">
              <w:t xml:space="preserve">Smernica Rady </w:t>
            </w:r>
            <w:hyperlink r:id="rId6" w:tooltip="Smernica Rady z 21. mája 1991 o čistení komunálnych odpadových vôd" w:history="1">
              <w:r w:rsidRPr="00064A46">
                <w:rPr>
                  <w:rStyle w:val="Hypertextovprepojenie"/>
                  <w:color w:val="auto"/>
                  <w:u w:val="none"/>
                </w:rPr>
                <w:t>91/271/EHS</w:t>
              </w:r>
            </w:hyperlink>
            <w:r w:rsidRPr="00064A46">
              <w:t xml:space="preserve"> z 21. mája 1991 o čistení komunálnych odpadových vôd (Ú. v. ES L 135. 30. 5. 1991; Mimoriadne vydanie Ú. v. EÚ, kap. 15/zv. 2) v znení smernice Komisie 98/15/ES (Ú. v. ES L 67, 7. 3. 1998; Mimoriadne vydanie Ú. v. EÚ, kap. 15/zv. 4), nariadenia Európskeho parlamentu a Rady (ES) č. 1882/2003 (Ú. v. EÚ L 284, 31. 10. 2003; Mimoriadne vydanie Ú. v. EÚ, kap. 1/zv. 4) a nariadenia Európskeho parlamentu a Rady (ES) č. 1137/2008/ES (Ú. v. EÚ L 311, 21. 11. 2008</w:t>
            </w:r>
            <w:r w:rsidR="004A15B2">
              <w:t>)</w:t>
            </w:r>
          </w:p>
          <w:p w:rsidR="00064A46" w:rsidRPr="00064A46" w:rsidRDefault="00064A46" w:rsidP="00481460">
            <w:pPr>
              <w:spacing w:after="0" w:line="240" w:lineRule="auto"/>
              <w:jc w:val="both"/>
            </w:pPr>
          </w:p>
        </w:tc>
        <w:tc>
          <w:tcPr>
            <w:tcW w:w="596" w:type="dxa"/>
          </w:tcPr>
          <w:p w:rsidR="00624FD1" w:rsidRPr="00CE140F" w:rsidRDefault="00624FD1" w:rsidP="00481460">
            <w:pPr>
              <w:spacing w:after="0" w:line="240" w:lineRule="auto"/>
            </w:pPr>
          </w:p>
        </w:tc>
        <w:tc>
          <w:tcPr>
            <w:tcW w:w="567" w:type="dxa"/>
          </w:tcPr>
          <w:p w:rsidR="00624FD1" w:rsidRPr="00CE140F" w:rsidRDefault="00624FD1" w:rsidP="00481460">
            <w:pPr>
              <w:spacing w:after="0" w:line="240" w:lineRule="auto"/>
            </w:pPr>
          </w:p>
        </w:tc>
        <w:tc>
          <w:tcPr>
            <w:tcW w:w="851" w:type="dxa"/>
          </w:tcPr>
          <w:p w:rsidR="00624FD1" w:rsidRPr="00CE140F" w:rsidRDefault="00624FD1" w:rsidP="00481460">
            <w:pPr>
              <w:spacing w:after="0" w:line="240" w:lineRule="auto"/>
            </w:pPr>
          </w:p>
        </w:tc>
        <w:tc>
          <w:tcPr>
            <w:tcW w:w="5528" w:type="dxa"/>
          </w:tcPr>
          <w:p w:rsidR="00624FD1" w:rsidRPr="00CE140F" w:rsidRDefault="00AF011D" w:rsidP="00FD1A35">
            <w:pPr>
              <w:pStyle w:val="Zarkazkladnhotextu2"/>
              <w:spacing w:before="0" w:line="240" w:lineRule="auto"/>
              <w:ind w:firstLine="0"/>
              <w:rPr>
                <w:sz w:val="20"/>
              </w:rPr>
            </w:pPr>
            <w:r>
              <w:rPr>
                <w:b/>
                <w:sz w:val="20"/>
              </w:rPr>
              <w:t>N</w:t>
            </w:r>
            <w:r w:rsidR="00624FD1" w:rsidRPr="00CE140F">
              <w:rPr>
                <w:b/>
                <w:sz w:val="20"/>
              </w:rPr>
              <w:t>Z -</w:t>
            </w:r>
            <w:r w:rsidR="00624FD1" w:rsidRPr="00CE140F">
              <w:rPr>
                <w:sz w:val="20"/>
              </w:rPr>
              <w:t xml:space="preserve"> Návrh zákona, ktorým sa mení a dopĺňa zákon č. 442/2002 Z. z. o verejných vodovodoch a verejných kanalizáciách a o zmene a doplnení zákona č. 276/2001 Z. z. o regulácii v sieťových odvetviach v znení nesko</w:t>
            </w:r>
            <w:r w:rsidR="00064A46">
              <w:rPr>
                <w:sz w:val="20"/>
              </w:rPr>
              <w:t>rších predpisov a ktorým sa menia a dopĺňajú niektoré zákony</w:t>
            </w:r>
          </w:p>
          <w:p w:rsidR="00624FD1" w:rsidRPr="00CE140F" w:rsidRDefault="00624FD1" w:rsidP="00481460">
            <w:pPr>
              <w:spacing w:after="0" w:line="240" w:lineRule="auto"/>
              <w:ind w:hanging="11"/>
              <w:jc w:val="both"/>
              <w:rPr>
                <w:b/>
              </w:rPr>
            </w:pPr>
          </w:p>
          <w:p w:rsidR="00624FD1" w:rsidRPr="00CE140F" w:rsidRDefault="00624FD1" w:rsidP="00FB1E24">
            <w:pPr>
              <w:spacing w:after="0" w:line="240" w:lineRule="auto"/>
              <w:ind w:hanging="11"/>
              <w:jc w:val="both"/>
            </w:pPr>
          </w:p>
        </w:tc>
        <w:tc>
          <w:tcPr>
            <w:tcW w:w="396" w:type="dxa"/>
          </w:tcPr>
          <w:p w:rsidR="00624FD1" w:rsidRPr="00CE140F" w:rsidRDefault="00624FD1" w:rsidP="00481460">
            <w:pPr>
              <w:spacing w:after="0" w:line="240" w:lineRule="auto"/>
            </w:pPr>
          </w:p>
        </w:tc>
        <w:tc>
          <w:tcPr>
            <w:tcW w:w="392" w:type="dxa"/>
          </w:tcPr>
          <w:p w:rsidR="00624FD1" w:rsidRPr="00CE140F" w:rsidRDefault="00624FD1" w:rsidP="00481460">
            <w:pPr>
              <w:spacing w:after="0" w:line="240" w:lineRule="auto"/>
            </w:pPr>
          </w:p>
        </w:tc>
      </w:tr>
      <w:tr w:rsidR="009C154C" w:rsidRPr="00CE140F" w:rsidTr="0081206A">
        <w:trPr>
          <w:trHeight w:val="490"/>
        </w:trPr>
        <w:tc>
          <w:tcPr>
            <w:tcW w:w="819" w:type="dxa"/>
            <w:vAlign w:val="center"/>
          </w:tcPr>
          <w:p w:rsidR="009C154C" w:rsidRPr="00CE140F" w:rsidRDefault="009C154C" w:rsidP="00481460">
            <w:pPr>
              <w:spacing w:after="0" w:line="240" w:lineRule="auto"/>
            </w:pPr>
            <w:r w:rsidRPr="00CE140F">
              <w:t>1</w:t>
            </w:r>
          </w:p>
        </w:tc>
        <w:tc>
          <w:tcPr>
            <w:tcW w:w="6836" w:type="dxa"/>
            <w:vAlign w:val="center"/>
          </w:tcPr>
          <w:p w:rsidR="009C154C" w:rsidRPr="00CE140F" w:rsidRDefault="009C154C" w:rsidP="00481460">
            <w:pPr>
              <w:spacing w:after="0" w:line="240" w:lineRule="auto"/>
            </w:pPr>
            <w:r w:rsidRPr="00CE140F">
              <w:t>2</w:t>
            </w:r>
          </w:p>
        </w:tc>
        <w:tc>
          <w:tcPr>
            <w:tcW w:w="596" w:type="dxa"/>
            <w:vAlign w:val="center"/>
          </w:tcPr>
          <w:p w:rsidR="009C154C" w:rsidRPr="00CE140F" w:rsidRDefault="009C154C" w:rsidP="00481460">
            <w:pPr>
              <w:spacing w:after="0" w:line="240" w:lineRule="auto"/>
            </w:pPr>
            <w:r w:rsidRPr="00CE140F">
              <w:t>3</w:t>
            </w:r>
          </w:p>
        </w:tc>
        <w:tc>
          <w:tcPr>
            <w:tcW w:w="567" w:type="dxa"/>
            <w:vAlign w:val="center"/>
          </w:tcPr>
          <w:p w:rsidR="009C154C" w:rsidRPr="00CE140F" w:rsidRDefault="009C154C" w:rsidP="00481460">
            <w:pPr>
              <w:spacing w:after="0" w:line="240" w:lineRule="auto"/>
            </w:pPr>
            <w:r w:rsidRPr="00CE140F">
              <w:t>4</w:t>
            </w:r>
          </w:p>
        </w:tc>
        <w:tc>
          <w:tcPr>
            <w:tcW w:w="851" w:type="dxa"/>
            <w:vAlign w:val="center"/>
          </w:tcPr>
          <w:p w:rsidR="009C154C" w:rsidRPr="00CE140F" w:rsidRDefault="009C154C" w:rsidP="00481460">
            <w:pPr>
              <w:spacing w:after="0" w:line="240" w:lineRule="auto"/>
            </w:pPr>
            <w:r w:rsidRPr="00CE140F">
              <w:t>5</w:t>
            </w:r>
          </w:p>
        </w:tc>
        <w:tc>
          <w:tcPr>
            <w:tcW w:w="5528" w:type="dxa"/>
            <w:vAlign w:val="center"/>
          </w:tcPr>
          <w:p w:rsidR="009C154C" w:rsidRPr="00CE140F" w:rsidRDefault="009C154C" w:rsidP="00481460">
            <w:pPr>
              <w:spacing w:after="0" w:line="240" w:lineRule="auto"/>
            </w:pPr>
            <w:r w:rsidRPr="00CE140F">
              <w:t>6</w:t>
            </w:r>
          </w:p>
        </w:tc>
        <w:tc>
          <w:tcPr>
            <w:tcW w:w="396" w:type="dxa"/>
            <w:vAlign w:val="center"/>
          </w:tcPr>
          <w:p w:rsidR="009C154C" w:rsidRPr="00CE140F" w:rsidRDefault="009C154C" w:rsidP="00481460">
            <w:pPr>
              <w:spacing w:after="0" w:line="240" w:lineRule="auto"/>
            </w:pPr>
            <w:r w:rsidRPr="00CE140F">
              <w:t>7</w:t>
            </w:r>
          </w:p>
        </w:tc>
        <w:tc>
          <w:tcPr>
            <w:tcW w:w="392" w:type="dxa"/>
            <w:vAlign w:val="center"/>
          </w:tcPr>
          <w:p w:rsidR="009C154C" w:rsidRPr="00CE140F" w:rsidRDefault="009C154C" w:rsidP="00481460">
            <w:pPr>
              <w:spacing w:after="0" w:line="240" w:lineRule="auto"/>
            </w:pPr>
            <w:r w:rsidRPr="00CE140F">
              <w:t>8</w:t>
            </w:r>
          </w:p>
        </w:tc>
      </w:tr>
      <w:tr w:rsidR="009C154C" w:rsidRPr="00CE140F" w:rsidTr="0081206A">
        <w:trPr>
          <w:cantSplit/>
          <w:trHeight w:val="1134"/>
        </w:trPr>
        <w:tc>
          <w:tcPr>
            <w:tcW w:w="819" w:type="dxa"/>
            <w:vAlign w:val="center"/>
          </w:tcPr>
          <w:p w:rsidR="009C154C" w:rsidRPr="00CE140F" w:rsidRDefault="009C154C" w:rsidP="00481460">
            <w:pPr>
              <w:spacing w:after="0" w:line="240" w:lineRule="auto"/>
            </w:pPr>
            <w:r w:rsidRPr="00CE140F">
              <w:t>Článok</w:t>
            </w:r>
          </w:p>
          <w:p w:rsidR="00624FD1" w:rsidRPr="00CE140F" w:rsidRDefault="00624FD1" w:rsidP="00624FD1">
            <w:pPr>
              <w:spacing w:after="0" w:line="240" w:lineRule="auto"/>
            </w:pPr>
            <w:r w:rsidRPr="00CE140F">
              <w:t>(Č, O, V, P)</w:t>
            </w:r>
          </w:p>
        </w:tc>
        <w:tc>
          <w:tcPr>
            <w:tcW w:w="6836" w:type="dxa"/>
            <w:vAlign w:val="center"/>
          </w:tcPr>
          <w:p w:rsidR="009C154C" w:rsidRPr="00CE140F" w:rsidRDefault="009C154C" w:rsidP="00481460">
            <w:pPr>
              <w:spacing w:after="0" w:line="240" w:lineRule="auto"/>
            </w:pPr>
            <w:r w:rsidRPr="00CE140F">
              <w:t>Text</w:t>
            </w:r>
          </w:p>
        </w:tc>
        <w:tc>
          <w:tcPr>
            <w:tcW w:w="596" w:type="dxa"/>
            <w:textDirection w:val="btLr"/>
            <w:vAlign w:val="center"/>
          </w:tcPr>
          <w:p w:rsidR="009C154C" w:rsidRPr="00CE140F" w:rsidRDefault="009C154C" w:rsidP="00481460">
            <w:pPr>
              <w:spacing w:after="0" w:line="240" w:lineRule="auto"/>
              <w:ind w:left="113" w:right="113"/>
            </w:pPr>
            <w:r w:rsidRPr="00CE140F">
              <w:t>Spôsob transpozície</w:t>
            </w:r>
          </w:p>
        </w:tc>
        <w:tc>
          <w:tcPr>
            <w:tcW w:w="567" w:type="dxa"/>
            <w:textDirection w:val="btLr"/>
            <w:vAlign w:val="center"/>
          </w:tcPr>
          <w:p w:rsidR="009C154C" w:rsidRPr="00CE140F" w:rsidRDefault="009C154C" w:rsidP="00481460">
            <w:pPr>
              <w:spacing w:after="0" w:line="240" w:lineRule="auto"/>
              <w:ind w:left="113" w:right="113"/>
            </w:pPr>
            <w:r w:rsidRPr="00CE140F">
              <w:t>Číslo</w:t>
            </w:r>
          </w:p>
        </w:tc>
        <w:tc>
          <w:tcPr>
            <w:tcW w:w="851" w:type="dxa"/>
            <w:textDirection w:val="btLr"/>
            <w:vAlign w:val="center"/>
          </w:tcPr>
          <w:p w:rsidR="009C154C" w:rsidRPr="00CE140F" w:rsidRDefault="009C154C" w:rsidP="00CE140F">
            <w:pPr>
              <w:spacing w:after="0" w:line="240" w:lineRule="auto"/>
              <w:ind w:left="113" w:right="113"/>
            </w:pPr>
            <w:r w:rsidRPr="00CE140F">
              <w:t>Článok</w:t>
            </w:r>
            <w:r w:rsidR="00F82DC1" w:rsidRPr="00CE140F">
              <w:t>,</w:t>
            </w:r>
            <w:r w:rsidR="00CE140F">
              <w:t xml:space="preserve"> </w:t>
            </w:r>
            <w:r w:rsidR="00624FD1" w:rsidRPr="00CE140F">
              <w:t xml:space="preserve"> </w:t>
            </w:r>
            <w:r w:rsidR="00CE140F">
              <w:t>(</w:t>
            </w:r>
            <w:r w:rsidR="00624FD1" w:rsidRPr="00CE140F">
              <w:t>§,O, V. P)</w:t>
            </w:r>
            <w:r w:rsidR="00F82DC1" w:rsidRPr="00CE140F">
              <w:t xml:space="preserve"> </w:t>
            </w:r>
            <w:r w:rsidRPr="00CE140F">
              <w:t xml:space="preserve"> </w:t>
            </w:r>
          </w:p>
        </w:tc>
        <w:tc>
          <w:tcPr>
            <w:tcW w:w="5528" w:type="dxa"/>
            <w:vAlign w:val="center"/>
          </w:tcPr>
          <w:p w:rsidR="009C154C" w:rsidRPr="00CE140F" w:rsidRDefault="009C154C" w:rsidP="00481460">
            <w:pPr>
              <w:spacing w:after="0" w:line="240" w:lineRule="auto"/>
            </w:pPr>
            <w:r w:rsidRPr="00CE140F">
              <w:t>Text</w:t>
            </w:r>
          </w:p>
          <w:p w:rsidR="009C154C" w:rsidRPr="00CE140F" w:rsidRDefault="009C154C" w:rsidP="00481460">
            <w:pPr>
              <w:spacing w:after="0" w:line="240" w:lineRule="auto"/>
            </w:pPr>
          </w:p>
        </w:tc>
        <w:tc>
          <w:tcPr>
            <w:tcW w:w="396" w:type="dxa"/>
            <w:textDirection w:val="btLr"/>
            <w:vAlign w:val="center"/>
          </w:tcPr>
          <w:p w:rsidR="009C154C" w:rsidRPr="00CE140F" w:rsidRDefault="009C154C" w:rsidP="00481460">
            <w:pPr>
              <w:spacing w:after="0" w:line="240" w:lineRule="auto"/>
              <w:ind w:left="113" w:right="113"/>
            </w:pPr>
            <w:r w:rsidRPr="00CE140F">
              <w:t>Zhoda</w:t>
            </w:r>
          </w:p>
        </w:tc>
        <w:tc>
          <w:tcPr>
            <w:tcW w:w="392" w:type="dxa"/>
            <w:textDirection w:val="btLr"/>
            <w:vAlign w:val="center"/>
          </w:tcPr>
          <w:p w:rsidR="009C154C" w:rsidRPr="00CE140F" w:rsidRDefault="009C154C" w:rsidP="00481460">
            <w:pPr>
              <w:spacing w:after="0" w:line="240" w:lineRule="auto"/>
              <w:ind w:left="113" w:right="113"/>
            </w:pPr>
            <w:r w:rsidRPr="00CE140F">
              <w:t>Poznámky</w:t>
            </w:r>
          </w:p>
        </w:tc>
      </w:tr>
    </w:tbl>
    <w:p w:rsidR="009C154C" w:rsidRPr="00CE140F" w:rsidRDefault="009C154C" w:rsidP="00123B21">
      <w:pPr>
        <w:rPr>
          <w:rFonts w:ascii="Times New Roman" w:hAnsi="Times New Roman" w:cs="Times New Roman"/>
          <w:sz w:val="20"/>
          <w:szCs w:val="20"/>
        </w:rPr>
      </w:pPr>
    </w:p>
    <w:tbl>
      <w:tblPr>
        <w:tblStyle w:val="Mriekatabuky"/>
        <w:tblW w:w="15985" w:type="dxa"/>
        <w:tblInd w:w="-743" w:type="dxa"/>
        <w:tblLayout w:type="fixed"/>
        <w:tblLook w:val="04A0" w:firstRow="1" w:lastRow="0" w:firstColumn="1" w:lastColumn="0" w:noHBand="0" w:noVBand="1"/>
      </w:tblPr>
      <w:tblGrid>
        <w:gridCol w:w="819"/>
        <w:gridCol w:w="6836"/>
        <w:gridCol w:w="596"/>
        <w:gridCol w:w="709"/>
        <w:gridCol w:w="709"/>
        <w:gridCol w:w="5528"/>
        <w:gridCol w:w="425"/>
        <w:gridCol w:w="363"/>
      </w:tblGrid>
      <w:tr w:rsidR="0085603E" w:rsidRPr="00CE140F" w:rsidTr="00CE140F">
        <w:trPr>
          <w:cantSplit/>
          <w:trHeight w:val="567"/>
        </w:trPr>
        <w:tc>
          <w:tcPr>
            <w:tcW w:w="819" w:type="dxa"/>
          </w:tcPr>
          <w:p w:rsidR="0085603E" w:rsidRDefault="0085603E" w:rsidP="00481460">
            <w:pPr>
              <w:spacing w:after="0" w:line="240" w:lineRule="auto"/>
            </w:pPr>
            <w:r>
              <w:lastRenderedPageBreak/>
              <w:t>Čl. 2</w:t>
            </w:r>
          </w:p>
          <w:p w:rsidR="0085603E" w:rsidRPr="00CE140F" w:rsidRDefault="0085603E" w:rsidP="00481460">
            <w:pPr>
              <w:spacing w:after="0" w:line="240" w:lineRule="auto"/>
            </w:pPr>
            <w:r>
              <w:t>Bod 5</w:t>
            </w:r>
          </w:p>
        </w:tc>
        <w:tc>
          <w:tcPr>
            <w:tcW w:w="6836" w:type="dxa"/>
          </w:tcPr>
          <w:p w:rsidR="0085603E" w:rsidRPr="0085603E" w:rsidRDefault="0085603E" w:rsidP="0085603E">
            <w:pPr>
              <w:pStyle w:val="Zkladntext20"/>
              <w:shd w:val="clear" w:color="auto" w:fill="auto"/>
              <w:spacing w:before="0" w:after="178"/>
              <w:ind w:firstLine="0"/>
              <w:rPr>
                <w:rFonts w:ascii="Times New Roman" w:hAnsi="Times New Roman" w:cs="Times New Roman"/>
                <w:sz w:val="20"/>
                <w:szCs w:val="20"/>
              </w:rPr>
            </w:pPr>
            <w:r w:rsidRPr="0085603E">
              <w:rPr>
                <w:rFonts w:ascii="Times New Roman" w:hAnsi="Times New Roman" w:cs="Times New Roman"/>
                <w:sz w:val="20"/>
                <w:szCs w:val="20"/>
              </w:rPr>
              <w:t>5. "zberný systém" je systém kanálov, ktoré zbierajú a odvádzajú komunálnu odpadovú vodu;</w:t>
            </w:r>
          </w:p>
        </w:tc>
        <w:tc>
          <w:tcPr>
            <w:tcW w:w="596" w:type="dxa"/>
          </w:tcPr>
          <w:p w:rsidR="0085603E" w:rsidRPr="00CE140F" w:rsidRDefault="0085603E" w:rsidP="00481460">
            <w:pPr>
              <w:spacing w:after="0" w:line="240" w:lineRule="auto"/>
            </w:pPr>
            <w:r>
              <w:t>N</w:t>
            </w:r>
          </w:p>
        </w:tc>
        <w:tc>
          <w:tcPr>
            <w:tcW w:w="709" w:type="dxa"/>
          </w:tcPr>
          <w:p w:rsidR="0085603E" w:rsidRPr="00CE140F" w:rsidRDefault="0085603E" w:rsidP="00481460">
            <w:pPr>
              <w:spacing w:after="0" w:line="240" w:lineRule="auto"/>
            </w:pPr>
            <w:r>
              <w:t>NZ</w:t>
            </w:r>
          </w:p>
        </w:tc>
        <w:tc>
          <w:tcPr>
            <w:tcW w:w="709" w:type="dxa"/>
          </w:tcPr>
          <w:p w:rsidR="0085603E" w:rsidRDefault="0085603E" w:rsidP="00481460">
            <w:pPr>
              <w:spacing w:after="0" w:line="240" w:lineRule="auto"/>
            </w:pPr>
            <w:r>
              <w:t>§ 2</w:t>
            </w:r>
          </w:p>
          <w:p w:rsidR="0085603E" w:rsidRDefault="0085603E" w:rsidP="007D41C4">
            <w:pPr>
              <w:spacing w:after="0" w:line="240" w:lineRule="auto"/>
            </w:pPr>
            <w:r>
              <w:t>písm.</w:t>
            </w:r>
            <w:r w:rsidR="007D41C4">
              <w:t xml:space="preserve"> b),  n),</w:t>
            </w:r>
          </w:p>
          <w:p w:rsidR="007D41C4" w:rsidRPr="00CE140F" w:rsidRDefault="007D41C4" w:rsidP="007D41C4">
            <w:pPr>
              <w:spacing w:after="0" w:line="240" w:lineRule="auto"/>
            </w:pPr>
            <w:r>
              <w:t>o)</w:t>
            </w:r>
          </w:p>
        </w:tc>
        <w:tc>
          <w:tcPr>
            <w:tcW w:w="5528" w:type="dxa"/>
          </w:tcPr>
          <w:p w:rsidR="007D41C4" w:rsidRDefault="0085603E" w:rsidP="007D41C4">
            <w:pPr>
              <w:shd w:val="clear" w:color="auto" w:fill="FFFFFF"/>
              <w:spacing w:after="0" w:line="240" w:lineRule="auto"/>
              <w:jc w:val="both"/>
              <w:rPr>
                <w:rFonts w:eastAsia="Times New Roman"/>
              </w:rPr>
            </w:pPr>
            <w:r w:rsidRPr="007D41C4">
              <w:t xml:space="preserve">b) </w:t>
            </w:r>
            <w:proofErr w:type="spellStart"/>
            <w:r w:rsidR="007D41C4" w:rsidRPr="007D41C4">
              <w:rPr>
                <w:rFonts w:eastAsia="Segoe UI"/>
                <w:shd w:val="clear" w:color="auto" w:fill="FFFFFF"/>
                <w:lang w:val="en-US" w:eastAsia="zh-CN" w:bidi="ar"/>
              </w:rPr>
              <w:t>verejnou</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kanalizáciou</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prevádzkovo</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samostatný</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súbor</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objektov</w:t>
            </w:r>
            <w:proofErr w:type="spellEnd"/>
            <w:r w:rsidR="007D41C4" w:rsidRPr="007D41C4">
              <w:rPr>
                <w:rFonts w:eastAsia="Segoe UI"/>
                <w:shd w:val="clear" w:color="auto" w:fill="FFFFFF"/>
                <w:lang w:val="en-US" w:eastAsia="zh-CN" w:bidi="ar"/>
              </w:rPr>
              <w:t xml:space="preserve"> a </w:t>
            </w:r>
            <w:proofErr w:type="spellStart"/>
            <w:r w:rsidR="007D41C4" w:rsidRPr="007D41C4">
              <w:rPr>
                <w:rFonts w:eastAsia="Segoe UI"/>
                <w:shd w:val="clear" w:color="auto" w:fill="FFFFFF"/>
                <w:lang w:val="en-US" w:eastAsia="zh-CN" w:bidi="ar"/>
              </w:rPr>
              <w:t>zariadení</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slúžiacich</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verejnej</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potrebe</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na</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hromadné</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odvádzanie</w:t>
            </w:r>
            <w:proofErr w:type="spellEnd"/>
            <w:r w:rsidR="007D41C4" w:rsidRPr="007D41C4">
              <w:rPr>
                <w:rFonts w:eastAsia="Segoe UI"/>
                <w:shd w:val="clear" w:color="auto" w:fill="FFFFFF"/>
                <w:lang w:val="en-US" w:eastAsia="zh-CN" w:bidi="ar"/>
              </w:rPr>
              <w:t xml:space="preserve"> </w:t>
            </w:r>
            <w:r w:rsidR="007D41C4" w:rsidRPr="007D41C4">
              <w:rPr>
                <w:rFonts w:eastAsia="Times New Roman"/>
              </w:rPr>
              <w:t>komunálnych odpadových vôd</w:t>
            </w:r>
            <w:r w:rsidR="007D41C4" w:rsidRPr="007D41C4">
              <w:rPr>
                <w:rFonts w:eastAsia="Times New Roman"/>
                <w:vertAlign w:val="superscript"/>
              </w:rPr>
              <w:t>1</w:t>
            </w:r>
            <w:r w:rsidR="007D41C4" w:rsidRPr="007D41C4">
              <w:rPr>
                <w:rFonts w:eastAsia="Times New Roman"/>
              </w:rPr>
              <w:t>) (ďalej len „odpadová voda“)</w:t>
            </w:r>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umožňujúcich</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neškodný</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príjem</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odvádzanie</w:t>
            </w:r>
            <w:proofErr w:type="spellEnd"/>
            <w:r w:rsidR="007D41C4" w:rsidRPr="007D41C4">
              <w:rPr>
                <w:rFonts w:eastAsia="Segoe UI"/>
                <w:shd w:val="clear" w:color="auto" w:fill="FFFFFF"/>
                <w:lang w:val="en-US" w:eastAsia="zh-CN" w:bidi="ar"/>
              </w:rPr>
              <w:t xml:space="preserve"> a </w:t>
            </w:r>
            <w:proofErr w:type="spellStart"/>
            <w:r w:rsidR="007D41C4" w:rsidRPr="007D41C4">
              <w:rPr>
                <w:rFonts w:eastAsia="Segoe UI"/>
                <w:shd w:val="clear" w:color="auto" w:fill="FFFFFF"/>
                <w:lang w:val="en-US" w:eastAsia="zh-CN" w:bidi="ar"/>
              </w:rPr>
              <w:t>spravidla</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aj</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čistenie</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odpadových</w:t>
            </w:r>
            <w:proofErr w:type="spellEnd"/>
            <w:r w:rsidR="007D41C4" w:rsidRPr="007D41C4">
              <w:rPr>
                <w:rFonts w:eastAsia="Segoe UI"/>
                <w:shd w:val="clear" w:color="auto" w:fill="FFFFFF"/>
                <w:lang w:val="en-US" w:eastAsia="zh-CN" w:bidi="ar"/>
              </w:rPr>
              <w:t xml:space="preserve"> </w:t>
            </w:r>
            <w:proofErr w:type="spellStart"/>
            <w:r w:rsidR="007D41C4" w:rsidRPr="007D41C4">
              <w:rPr>
                <w:rFonts w:eastAsia="Segoe UI"/>
                <w:shd w:val="clear" w:color="auto" w:fill="FFFFFF"/>
                <w:lang w:val="en-US" w:eastAsia="zh-CN" w:bidi="ar"/>
              </w:rPr>
              <w:t>vôd</w:t>
            </w:r>
            <w:proofErr w:type="spellEnd"/>
            <w:r w:rsidR="007D41C4" w:rsidRPr="007D41C4">
              <w:rPr>
                <w:rFonts w:eastAsia="Segoe UI"/>
                <w:shd w:val="clear" w:color="auto" w:fill="FFFFFF"/>
                <w:lang w:val="en-US" w:eastAsia="zh-CN" w:bidi="ar"/>
              </w:rPr>
              <w:t xml:space="preserve">; </w:t>
            </w:r>
            <w:r w:rsidR="007D41C4" w:rsidRPr="007D41C4">
              <w:rPr>
                <w:rFonts w:eastAsia="Times New Roman"/>
              </w:rPr>
              <w:t>verejnou kanalizáciou sa rozumie aj samostatná čistiareň odpadových vôd, ak plní funkciu čistenia odpadových vôd vo verejnom záujme a prívod odpadových vôd do tejto čistiarne sa zabezpečuje iným spôsobom ako stokovou sieťou, na</w:t>
            </w:r>
            <w:r w:rsidR="007D41C4">
              <w:rPr>
                <w:rFonts w:eastAsia="Times New Roman"/>
              </w:rPr>
              <w:t>jmä dovozom fekálnym vozidlom.</w:t>
            </w:r>
          </w:p>
          <w:p w:rsidR="007D41C4" w:rsidRDefault="007D41C4" w:rsidP="007D41C4">
            <w:pPr>
              <w:shd w:val="clear" w:color="auto" w:fill="FFFFFF"/>
              <w:spacing w:after="0" w:line="240" w:lineRule="auto"/>
              <w:jc w:val="both"/>
              <w:rPr>
                <w:rFonts w:eastAsia="Times New Roman"/>
              </w:rPr>
            </w:pPr>
          </w:p>
          <w:p w:rsidR="007D41C4" w:rsidRDefault="007D41C4" w:rsidP="007D41C4">
            <w:pPr>
              <w:tabs>
                <w:tab w:val="left" w:pos="440"/>
              </w:tabs>
              <w:spacing w:after="0" w:line="240" w:lineRule="auto"/>
              <w:jc w:val="both"/>
              <w:rPr>
                <w:rFonts w:eastAsia="Times New Roman"/>
              </w:rPr>
            </w:pPr>
            <w:r w:rsidRPr="007D41C4">
              <w:rPr>
                <w:rFonts w:eastAsia="Times New Roman"/>
              </w:rPr>
              <w:t>n) prevádzkovo súvisiacou verejnou kanalizáciou kanalizácia, ktorá nemôže samostatne odvádzať a spravidla aj čistiť odpadové vody, ale iba prostredníctvom verejnej kanalizácie vo vlastníctve inej právnickej osoby, na ktorú sa pripája,</w:t>
            </w:r>
          </w:p>
          <w:p w:rsidR="007D41C4" w:rsidRDefault="007D41C4" w:rsidP="007D41C4">
            <w:pPr>
              <w:tabs>
                <w:tab w:val="left" w:pos="440"/>
              </w:tabs>
              <w:spacing w:after="0" w:line="240" w:lineRule="auto"/>
              <w:jc w:val="both"/>
              <w:rPr>
                <w:rFonts w:eastAsia="Times New Roman"/>
              </w:rPr>
            </w:pPr>
          </w:p>
          <w:p w:rsidR="007D41C4" w:rsidRPr="007D41C4" w:rsidRDefault="007D41C4" w:rsidP="007D41C4">
            <w:pPr>
              <w:tabs>
                <w:tab w:val="left" w:pos="440"/>
              </w:tabs>
              <w:spacing w:after="0" w:line="240" w:lineRule="auto"/>
              <w:jc w:val="both"/>
              <w:rPr>
                <w:rFonts w:eastAsia="Times New Roman"/>
              </w:rPr>
            </w:pPr>
            <w:r>
              <w:rPr>
                <w:rFonts w:eastAsia="Times New Roman"/>
              </w:rPr>
              <w:t>o</w:t>
            </w:r>
            <w:r w:rsidRPr="007D41C4">
              <w:rPr>
                <w:rFonts w:eastAsia="Times New Roman"/>
              </w:rPr>
              <w:t xml:space="preserve">) súčasťou vodovodného potrubia verejného vodovodu a potrubia stokovej siete verejnej kanalizácie šachty, čerpacie stanice, </w:t>
            </w:r>
            <w:proofErr w:type="spellStart"/>
            <w:r w:rsidRPr="007D41C4">
              <w:rPr>
                <w:rFonts w:eastAsia="Times New Roman"/>
              </w:rPr>
              <w:t>kalníky</w:t>
            </w:r>
            <w:proofErr w:type="spellEnd"/>
            <w:r w:rsidRPr="007D41C4">
              <w:rPr>
                <w:rFonts w:eastAsia="Times New Roman"/>
              </w:rPr>
              <w:t>, vzdušníky a iné objekty</w:t>
            </w:r>
            <w:r w:rsidRPr="007D41C4">
              <w:rPr>
                <w:rFonts w:eastAsia="Times New Roman"/>
                <w:color w:val="FF0000"/>
              </w:rPr>
              <w:t xml:space="preserve"> </w:t>
            </w:r>
            <w:r w:rsidRPr="007D41C4">
              <w:rPr>
                <w:rFonts w:eastAsia="Times New Roman"/>
              </w:rPr>
              <w:t>týchto podzemných vedení.</w:t>
            </w:r>
          </w:p>
          <w:p w:rsidR="007D41C4" w:rsidRDefault="007D41C4" w:rsidP="007D41C4">
            <w:pPr>
              <w:shd w:val="clear" w:color="auto" w:fill="FFFFFF"/>
              <w:spacing w:after="0" w:line="240" w:lineRule="auto"/>
              <w:jc w:val="both"/>
              <w:rPr>
                <w:rFonts w:eastAsia="Times New Roman"/>
              </w:rPr>
            </w:pPr>
          </w:p>
          <w:p w:rsidR="007D41C4" w:rsidRPr="007D41C4" w:rsidRDefault="007D41C4" w:rsidP="007D41C4">
            <w:pPr>
              <w:shd w:val="clear" w:color="auto" w:fill="FFFFFF"/>
              <w:spacing w:after="0" w:line="240" w:lineRule="auto"/>
              <w:jc w:val="both"/>
              <w:rPr>
                <w:rFonts w:eastAsia="Segoe UI"/>
              </w:rPr>
            </w:pPr>
          </w:p>
          <w:p w:rsidR="0085603E" w:rsidRPr="00CE140F" w:rsidRDefault="0085603E" w:rsidP="007D41C4">
            <w:pPr>
              <w:widowControl w:val="0"/>
              <w:spacing w:after="0" w:line="240" w:lineRule="auto"/>
              <w:rPr>
                <w:b/>
              </w:rPr>
            </w:pPr>
          </w:p>
        </w:tc>
        <w:tc>
          <w:tcPr>
            <w:tcW w:w="425" w:type="dxa"/>
          </w:tcPr>
          <w:p w:rsidR="0085603E" w:rsidRPr="00CE140F" w:rsidRDefault="007D41C4" w:rsidP="00481460">
            <w:pPr>
              <w:spacing w:after="0" w:line="240" w:lineRule="auto"/>
            </w:pPr>
            <w:r>
              <w:t>Ú</w:t>
            </w:r>
          </w:p>
        </w:tc>
        <w:tc>
          <w:tcPr>
            <w:tcW w:w="363" w:type="dxa"/>
            <w:textDirection w:val="btLr"/>
          </w:tcPr>
          <w:p w:rsidR="0085603E" w:rsidRPr="00CE140F" w:rsidRDefault="0085603E" w:rsidP="00481460">
            <w:pPr>
              <w:spacing w:after="0" w:line="240" w:lineRule="auto"/>
              <w:ind w:left="113" w:right="113"/>
            </w:pPr>
          </w:p>
        </w:tc>
      </w:tr>
      <w:tr w:rsidR="009C154C" w:rsidRPr="00CE140F" w:rsidTr="00CE140F">
        <w:trPr>
          <w:cantSplit/>
          <w:trHeight w:val="567"/>
        </w:trPr>
        <w:tc>
          <w:tcPr>
            <w:tcW w:w="819" w:type="dxa"/>
          </w:tcPr>
          <w:p w:rsidR="004719BF" w:rsidRPr="00CE140F" w:rsidRDefault="0085603E" w:rsidP="00481460">
            <w:pPr>
              <w:spacing w:after="0" w:line="240" w:lineRule="auto"/>
            </w:pPr>
            <w:r>
              <w:lastRenderedPageBreak/>
              <w:t>Čl. 3</w:t>
            </w:r>
          </w:p>
          <w:p w:rsidR="004719BF" w:rsidRPr="00CE140F" w:rsidRDefault="004719BF" w:rsidP="00481460">
            <w:pPr>
              <w:spacing w:after="0" w:line="240" w:lineRule="auto"/>
            </w:pPr>
            <w:r w:rsidRPr="00CE140F">
              <w:t>Ods. 1</w:t>
            </w:r>
          </w:p>
          <w:p w:rsidR="004719BF" w:rsidRPr="00CE140F" w:rsidRDefault="004719BF" w:rsidP="00481460">
            <w:pPr>
              <w:spacing w:after="0" w:line="240" w:lineRule="auto"/>
            </w:pPr>
            <w:r w:rsidRPr="00CE140F">
              <w:t>3. veta</w:t>
            </w: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tc>
        <w:tc>
          <w:tcPr>
            <w:tcW w:w="6836" w:type="dxa"/>
          </w:tcPr>
          <w:p w:rsidR="004719BF" w:rsidRPr="00CE140F" w:rsidRDefault="004719BF" w:rsidP="00481460">
            <w:pPr>
              <w:pStyle w:val="Zkladntext20"/>
              <w:shd w:val="clear" w:color="auto" w:fill="auto"/>
              <w:spacing w:before="0" w:after="178"/>
              <w:ind w:firstLine="0"/>
              <w:jc w:val="center"/>
              <w:rPr>
                <w:rFonts w:ascii="Times New Roman" w:hAnsi="Times New Roman" w:cs="Times New Roman"/>
                <w:sz w:val="20"/>
                <w:szCs w:val="20"/>
              </w:rPr>
            </w:pPr>
          </w:p>
          <w:p w:rsidR="00C61AF1" w:rsidRPr="00CE140F" w:rsidRDefault="004719BF" w:rsidP="000B77E2">
            <w:pPr>
              <w:pStyle w:val="Zkladntext20"/>
              <w:shd w:val="clear" w:color="auto" w:fill="auto"/>
              <w:spacing w:before="0" w:after="178"/>
              <w:ind w:firstLine="0"/>
              <w:rPr>
                <w:rFonts w:ascii="Times New Roman" w:hAnsi="Times New Roman" w:cs="Times New Roman"/>
                <w:sz w:val="20"/>
                <w:szCs w:val="20"/>
              </w:rPr>
            </w:pPr>
            <w:r w:rsidRPr="00CE140F">
              <w:rPr>
                <w:rFonts w:ascii="Times New Roman" w:hAnsi="Times New Roman" w:cs="Times New Roman"/>
                <w:sz w:val="20"/>
                <w:szCs w:val="20"/>
              </w:rPr>
              <w:t>Tam, kde nie je vytvorenie zberného systému opodstatnené buď kvôli tomu, že by nepredstavoval prínos pre životné prostredie, alebo by vyžadoval rozsiahle náklady, použijú sa individuálne systémy alebo iné primerané systémy dosahujúce rovnakú úroveň ochrany životného prostredia.</w:t>
            </w:r>
          </w:p>
          <w:p w:rsidR="00C61AF1" w:rsidRPr="00CE140F" w:rsidRDefault="00C61AF1" w:rsidP="00481460">
            <w:pPr>
              <w:pStyle w:val="Zkladntext20"/>
              <w:shd w:val="clear" w:color="auto" w:fill="auto"/>
              <w:spacing w:before="0" w:after="178"/>
              <w:ind w:firstLine="0"/>
              <w:jc w:val="center"/>
              <w:rPr>
                <w:rFonts w:ascii="Times New Roman" w:hAnsi="Times New Roman" w:cs="Times New Roman"/>
                <w:sz w:val="20"/>
                <w:szCs w:val="20"/>
              </w:rPr>
            </w:pPr>
          </w:p>
          <w:p w:rsidR="00C61AF1" w:rsidRPr="00CE140F" w:rsidRDefault="00C61AF1" w:rsidP="00481460">
            <w:pPr>
              <w:pStyle w:val="Zkladntext20"/>
              <w:shd w:val="clear" w:color="auto" w:fill="auto"/>
              <w:spacing w:before="0" w:after="178"/>
              <w:ind w:firstLine="0"/>
              <w:jc w:val="center"/>
              <w:rPr>
                <w:rFonts w:ascii="Times New Roman" w:hAnsi="Times New Roman" w:cs="Times New Roman"/>
                <w:sz w:val="20"/>
                <w:szCs w:val="20"/>
              </w:rPr>
            </w:pPr>
          </w:p>
          <w:p w:rsidR="009C154C" w:rsidRPr="00CE140F" w:rsidRDefault="009C154C" w:rsidP="00D33DD1">
            <w:pPr>
              <w:pStyle w:val="Zkladntext20"/>
              <w:shd w:val="clear" w:color="auto" w:fill="auto"/>
              <w:tabs>
                <w:tab w:val="left" w:pos="550"/>
              </w:tabs>
              <w:spacing w:before="0" w:after="240" w:line="211" w:lineRule="exact"/>
              <w:ind w:firstLine="0"/>
              <w:rPr>
                <w:rFonts w:ascii="Times New Roman" w:hAnsi="Times New Roman" w:cs="Times New Roman"/>
                <w:sz w:val="20"/>
                <w:szCs w:val="20"/>
              </w:rPr>
            </w:pPr>
          </w:p>
        </w:tc>
        <w:tc>
          <w:tcPr>
            <w:tcW w:w="596" w:type="dxa"/>
          </w:tcPr>
          <w:p w:rsidR="00C61AF1" w:rsidRPr="00CE140F" w:rsidRDefault="00C61AF1" w:rsidP="00481460">
            <w:pPr>
              <w:spacing w:after="0" w:line="240" w:lineRule="auto"/>
            </w:pPr>
          </w:p>
          <w:p w:rsidR="00C61AF1" w:rsidRPr="00CE140F" w:rsidRDefault="00C61AF1" w:rsidP="00481460">
            <w:pPr>
              <w:spacing w:after="0" w:line="240" w:lineRule="auto"/>
            </w:pPr>
          </w:p>
          <w:p w:rsidR="009C154C" w:rsidRPr="00CE140F" w:rsidRDefault="000B77E2" w:rsidP="00481460">
            <w:pPr>
              <w:spacing w:after="0" w:line="240" w:lineRule="auto"/>
            </w:pPr>
            <w:r w:rsidRPr="00CE140F">
              <w:t>N</w:t>
            </w:r>
          </w:p>
          <w:p w:rsidR="009C154C" w:rsidRPr="00CE140F" w:rsidRDefault="009C154C" w:rsidP="00481460">
            <w:pPr>
              <w:spacing w:after="0" w:line="240" w:lineRule="auto"/>
            </w:pPr>
          </w:p>
          <w:p w:rsidR="009C154C" w:rsidRPr="00CE140F" w:rsidRDefault="009C154C" w:rsidP="00481460">
            <w:pPr>
              <w:spacing w:after="0" w:line="240" w:lineRule="auto"/>
            </w:pPr>
          </w:p>
        </w:tc>
        <w:tc>
          <w:tcPr>
            <w:tcW w:w="709" w:type="dxa"/>
          </w:tcPr>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116D27" w:rsidP="00481460">
            <w:pPr>
              <w:spacing w:after="0" w:line="240" w:lineRule="auto"/>
            </w:pPr>
            <w:r w:rsidRPr="00CE140F">
              <w:t>N</w:t>
            </w:r>
            <w:r w:rsidR="004719BF" w:rsidRPr="00CE140F">
              <w:t>Z</w:t>
            </w: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0B77E2" w:rsidRPr="00CE140F" w:rsidRDefault="000B77E2" w:rsidP="00481460">
            <w:pPr>
              <w:spacing w:after="0" w:line="240" w:lineRule="auto"/>
            </w:pPr>
          </w:p>
          <w:p w:rsidR="001B4393" w:rsidRPr="00CE140F" w:rsidRDefault="001B4393" w:rsidP="00481460">
            <w:pPr>
              <w:spacing w:after="0" w:line="240" w:lineRule="auto"/>
            </w:pPr>
          </w:p>
          <w:p w:rsidR="00C61AF1" w:rsidRPr="00CE140F" w:rsidRDefault="00116D27" w:rsidP="00481460">
            <w:pPr>
              <w:spacing w:after="0" w:line="240" w:lineRule="auto"/>
            </w:pPr>
            <w:r w:rsidRPr="00CE140F">
              <w:t>N</w:t>
            </w:r>
            <w:r w:rsidR="001B4393" w:rsidRPr="00CE140F">
              <w:t>Z</w:t>
            </w: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C61AF1" w:rsidRPr="00CE140F" w:rsidRDefault="00C61AF1" w:rsidP="00481460">
            <w:pPr>
              <w:spacing w:after="0" w:line="240" w:lineRule="auto"/>
            </w:pPr>
          </w:p>
          <w:p w:rsidR="00711D06" w:rsidRPr="00CE140F" w:rsidRDefault="00711D06" w:rsidP="00481460">
            <w:pPr>
              <w:spacing w:after="0" w:line="240" w:lineRule="auto"/>
            </w:pPr>
          </w:p>
          <w:p w:rsidR="00711D06" w:rsidRPr="00CE140F" w:rsidRDefault="00711D06" w:rsidP="00481460">
            <w:pPr>
              <w:spacing w:after="0" w:line="240" w:lineRule="auto"/>
            </w:pPr>
          </w:p>
          <w:p w:rsidR="00711D06" w:rsidRPr="00CE140F" w:rsidRDefault="00711D06" w:rsidP="00481460">
            <w:pPr>
              <w:spacing w:after="0" w:line="240" w:lineRule="auto"/>
            </w:pPr>
          </w:p>
          <w:p w:rsidR="00711D06" w:rsidRPr="00CE140F" w:rsidRDefault="00711D06" w:rsidP="00481460">
            <w:pPr>
              <w:spacing w:after="0" w:line="240" w:lineRule="auto"/>
            </w:pPr>
          </w:p>
          <w:p w:rsidR="009C154C" w:rsidRPr="00CE140F" w:rsidRDefault="009C154C" w:rsidP="00D33DD1">
            <w:pPr>
              <w:spacing w:after="0" w:line="240" w:lineRule="auto"/>
            </w:pPr>
          </w:p>
        </w:tc>
        <w:tc>
          <w:tcPr>
            <w:tcW w:w="709" w:type="dxa"/>
          </w:tcPr>
          <w:p w:rsidR="009C154C" w:rsidRPr="00CE140F" w:rsidRDefault="009C154C" w:rsidP="00481460">
            <w:pPr>
              <w:spacing w:after="0" w:line="240" w:lineRule="auto"/>
            </w:pPr>
          </w:p>
          <w:p w:rsidR="000B77E2" w:rsidRPr="00CE140F" w:rsidRDefault="000B77E2" w:rsidP="00481460">
            <w:pPr>
              <w:spacing w:after="0" w:line="240" w:lineRule="auto"/>
            </w:pPr>
          </w:p>
          <w:p w:rsidR="009C154C" w:rsidRPr="00CE140F" w:rsidRDefault="00FB1E24" w:rsidP="00481460">
            <w:pPr>
              <w:spacing w:after="0" w:line="240" w:lineRule="auto"/>
            </w:pPr>
            <w:r w:rsidRPr="00CE140F">
              <w:t>Čl. II</w:t>
            </w:r>
          </w:p>
          <w:p w:rsidR="009C154C" w:rsidRPr="00CE140F" w:rsidRDefault="004719BF" w:rsidP="00481460">
            <w:pPr>
              <w:spacing w:after="0" w:line="240" w:lineRule="auto"/>
            </w:pPr>
            <w:r w:rsidRPr="00CE140F">
              <w:t>§ 36 ods. 18</w:t>
            </w:r>
            <w:r w:rsidR="00C61AF1" w:rsidRPr="00CE140F">
              <w:t xml:space="preserve"> a 19</w:t>
            </w: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4719BF" w:rsidRPr="00CE140F" w:rsidRDefault="004719BF" w:rsidP="00481460">
            <w:pPr>
              <w:spacing w:after="0" w:line="240" w:lineRule="auto"/>
            </w:pPr>
          </w:p>
          <w:p w:rsidR="00C61AF1" w:rsidRPr="00CE140F" w:rsidRDefault="00C61AF1" w:rsidP="00481460">
            <w:pPr>
              <w:spacing w:after="0" w:line="240" w:lineRule="auto"/>
            </w:pPr>
          </w:p>
          <w:p w:rsidR="001B4393" w:rsidRPr="00CE140F" w:rsidRDefault="001B4393" w:rsidP="00481460">
            <w:pPr>
              <w:spacing w:after="0" w:line="240" w:lineRule="auto"/>
            </w:pPr>
          </w:p>
          <w:p w:rsidR="001B4393" w:rsidRPr="00CE140F" w:rsidRDefault="00FB1E24" w:rsidP="00481460">
            <w:pPr>
              <w:spacing w:after="0" w:line="240" w:lineRule="auto"/>
            </w:pPr>
            <w:r w:rsidRPr="00CE140F">
              <w:t>Čl. II</w:t>
            </w:r>
          </w:p>
          <w:p w:rsidR="009C154C" w:rsidRPr="00CE140F" w:rsidRDefault="001B4393" w:rsidP="00D33DD1">
            <w:pPr>
              <w:spacing w:after="0" w:line="240" w:lineRule="auto"/>
            </w:pPr>
            <w:r w:rsidRPr="00CE140F">
              <w:t>§ 53 ods.2</w:t>
            </w:r>
          </w:p>
        </w:tc>
        <w:tc>
          <w:tcPr>
            <w:tcW w:w="5528" w:type="dxa"/>
          </w:tcPr>
          <w:p w:rsidR="009C154C" w:rsidRPr="00CE140F" w:rsidRDefault="009C154C" w:rsidP="00CE140F">
            <w:pPr>
              <w:widowControl w:val="0"/>
              <w:spacing w:after="0" w:line="240" w:lineRule="auto"/>
              <w:rPr>
                <w:b/>
              </w:rPr>
            </w:pPr>
          </w:p>
          <w:p w:rsidR="004719BF" w:rsidRPr="00CE140F" w:rsidRDefault="004719BF" w:rsidP="00CE140F">
            <w:pPr>
              <w:tabs>
                <w:tab w:val="left" w:pos="440"/>
              </w:tabs>
              <w:autoSpaceDE w:val="0"/>
              <w:autoSpaceDN w:val="0"/>
              <w:spacing w:after="0" w:line="240" w:lineRule="auto"/>
              <w:contextualSpacing/>
              <w:jc w:val="both"/>
            </w:pPr>
          </w:p>
          <w:p w:rsidR="00CE140F" w:rsidRPr="00CE140F" w:rsidRDefault="00CE140F" w:rsidP="00CE140F">
            <w:pPr>
              <w:tabs>
                <w:tab w:val="left" w:pos="440"/>
              </w:tabs>
              <w:autoSpaceDE w:val="0"/>
              <w:autoSpaceDN w:val="0"/>
              <w:spacing w:after="0" w:line="240" w:lineRule="auto"/>
              <w:contextualSpacing/>
              <w:jc w:val="both"/>
            </w:pPr>
            <w:r w:rsidRPr="00CE140F">
              <w:t>(18) Malá čistiareň odpadových vôd do 50 ekvivalentných obyvateľov predstavuje súbor objektov a zariadení na čistenie splaškových odpadových vôd pred ich vypúšťaním do povrchových vôd alebo do podzemných vôd alebo pred ich iným použitím s veľkosťou do 50 ekvivalentných obyvateľov a prítokom menším ako 10 m</w:t>
            </w:r>
            <w:r w:rsidRPr="00CE140F">
              <w:rPr>
                <w:vertAlign w:val="superscript"/>
              </w:rPr>
              <w:t>3</w:t>
            </w:r>
            <w:r w:rsidRPr="00CE140F">
              <w:t xml:space="preserve">/deň. </w:t>
            </w:r>
          </w:p>
          <w:p w:rsidR="00CE140F" w:rsidRPr="00CE140F" w:rsidRDefault="00CE140F" w:rsidP="00CE140F">
            <w:pPr>
              <w:tabs>
                <w:tab w:val="left" w:pos="440"/>
              </w:tabs>
              <w:autoSpaceDE w:val="0"/>
              <w:autoSpaceDN w:val="0"/>
              <w:spacing w:after="0" w:line="240" w:lineRule="auto"/>
              <w:ind w:left="284"/>
              <w:contextualSpacing/>
              <w:jc w:val="both"/>
            </w:pPr>
          </w:p>
          <w:p w:rsidR="00CE140F" w:rsidRPr="00CE140F" w:rsidRDefault="00CE140F" w:rsidP="00CE140F">
            <w:pPr>
              <w:tabs>
                <w:tab w:val="left" w:pos="440"/>
              </w:tabs>
              <w:autoSpaceDE w:val="0"/>
              <w:autoSpaceDN w:val="0"/>
              <w:spacing w:after="0" w:line="240" w:lineRule="auto"/>
              <w:contextualSpacing/>
              <w:jc w:val="both"/>
            </w:pPr>
            <w:r w:rsidRPr="00CE140F">
              <w:t>(19) Podrobnosti o kategóriách malých čistiarní odpadových vôd do 50 ekvivalentných obyvateľov, minimálnej účinnosti malých čistiarní odpadových vôd do 50 ekvivalentných obyvateľov, limitných hodnotách ukazovateľov znečistenia vypúšťaných splaškových odpadových vôd do povrchových vôd a do podzemných vôd, o prevádzke malej čistiarne odpadových vôd do 50 ekvivalentných obyvateľov, prevádzkovom denníku a revíznom technikovi na kontrolu stavu a funkčnosti malej čistiarne odpadových vôd do 50 ekvivalentných obyvateľov, o osvedčení pre revízneho technika, ktoré vydá poverená osoba ministerstvom po absolvovaní preškolenia a o minimálnych požiadavkách na vzdelanie a prax pre revízneho technika  ustanoví</w:t>
            </w:r>
            <w:r w:rsidR="0095417F">
              <w:t xml:space="preserve"> nariadenie, ktoré</w:t>
            </w:r>
            <w:bookmarkStart w:id="0" w:name="_GoBack"/>
            <w:bookmarkEnd w:id="0"/>
            <w:r>
              <w:t xml:space="preserve"> vydá vláda.</w:t>
            </w:r>
          </w:p>
          <w:p w:rsidR="009C154C" w:rsidRPr="00CE140F" w:rsidRDefault="009C154C" w:rsidP="00CE140F">
            <w:pPr>
              <w:widowControl w:val="0"/>
              <w:spacing w:after="0" w:line="240" w:lineRule="auto"/>
              <w:rPr>
                <w:b/>
              </w:rPr>
            </w:pPr>
          </w:p>
          <w:p w:rsidR="009C154C" w:rsidRPr="00CE140F" w:rsidRDefault="009C154C" w:rsidP="00CE140F">
            <w:pPr>
              <w:widowControl w:val="0"/>
              <w:spacing w:after="0" w:line="240" w:lineRule="auto"/>
              <w:rPr>
                <w:b/>
              </w:rPr>
            </w:pPr>
          </w:p>
          <w:p w:rsidR="009D0ACF" w:rsidRPr="00CE140F" w:rsidRDefault="009D0ACF" w:rsidP="00CE140F">
            <w:pPr>
              <w:widowControl w:val="0"/>
              <w:spacing w:after="0" w:line="240" w:lineRule="auto"/>
              <w:rPr>
                <w:b/>
              </w:rPr>
            </w:pPr>
          </w:p>
          <w:p w:rsidR="009C154C" w:rsidRPr="00CE140F" w:rsidRDefault="00CE140F" w:rsidP="00CE140F">
            <w:pPr>
              <w:tabs>
                <w:tab w:val="left" w:pos="440"/>
              </w:tabs>
              <w:autoSpaceDE w:val="0"/>
              <w:autoSpaceDN w:val="0"/>
              <w:spacing w:after="0" w:line="240" w:lineRule="auto"/>
              <w:jc w:val="both"/>
              <w:rPr>
                <w:szCs w:val="24"/>
              </w:rPr>
            </w:pPr>
            <w:r w:rsidRPr="00CE140F">
              <w:rPr>
                <w:szCs w:val="24"/>
              </w:rPr>
              <w:t>(2) Vlastník malej čistiarne odpadových vôd do 50 ekvivalentných obyvateľov je povinný vykonávať raz za rok (bez diaľkového monitoringu) a raz za dva roky (s diaľkovým monitoringom) prostredníctvom odborne spôsobilej osoby poverenej ministerstvom technickú revíziu a výsledky týchto revízií odovzdávať do 30. januára nasledujúceho roka orgánu štátnej vodnej správy. Vlastník malej čistiarne odpadových vôd do 50 ekvivalentných obyvateľov je povinný odstrániť nedostatky v lehote do 60 dní od</w:t>
            </w:r>
            <w:r>
              <w:rPr>
                <w:szCs w:val="24"/>
              </w:rPr>
              <w:t xml:space="preserve"> vykonanej technickej revízie.</w:t>
            </w:r>
          </w:p>
        </w:tc>
        <w:tc>
          <w:tcPr>
            <w:tcW w:w="425" w:type="dxa"/>
          </w:tcPr>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637180" w:rsidP="00637180">
            <w:pPr>
              <w:spacing w:after="0" w:line="240" w:lineRule="auto"/>
              <w:jc w:val="both"/>
            </w:pPr>
            <w:r w:rsidRPr="00CE140F">
              <w:t>Ú</w:t>
            </w: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p>
          <w:p w:rsidR="00637180" w:rsidRPr="00CE140F" w:rsidRDefault="00637180" w:rsidP="00637180">
            <w:pPr>
              <w:spacing w:after="0" w:line="240" w:lineRule="auto"/>
              <w:jc w:val="both"/>
            </w:pPr>
            <w:r w:rsidRPr="00CE140F">
              <w:t>Ú</w:t>
            </w: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p w:rsidR="009C154C" w:rsidRPr="00CE140F" w:rsidRDefault="009C154C" w:rsidP="00481460">
            <w:pPr>
              <w:spacing w:after="0" w:line="240" w:lineRule="auto"/>
            </w:pPr>
          </w:p>
        </w:tc>
        <w:tc>
          <w:tcPr>
            <w:tcW w:w="363" w:type="dxa"/>
            <w:textDirection w:val="btLr"/>
          </w:tcPr>
          <w:p w:rsidR="009C154C" w:rsidRPr="00CE140F" w:rsidRDefault="009C154C" w:rsidP="00481460">
            <w:pPr>
              <w:spacing w:after="0" w:line="240" w:lineRule="auto"/>
              <w:ind w:left="113" w:right="113"/>
            </w:pPr>
          </w:p>
        </w:tc>
      </w:tr>
      <w:tr w:rsidR="00CE140F" w:rsidRPr="00CE140F" w:rsidTr="000B77E2">
        <w:trPr>
          <w:cantSplit/>
          <w:trHeight w:val="70"/>
        </w:trPr>
        <w:tc>
          <w:tcPr>
            <w:tcW w:w="819" w:type="dxa"/>
          </w:tcPr>
          <w:p w:rsidR="00CE140F" w:rsidRPr="00CE140F" w:rsidRDefault="00CE140F" w:rsidP="00481460">
            <w:pPr>
              <w:spacing w:after="0" w:line="240" w:lineRule="auto"/>
            </w:pPr>
            <w:proofErr w:type="spellStart"/>
            <w:r w:rsidRPr="00CE140F">
              <w:lastRenderedPageBreak/>
              <w:t>Príl</w:t>
            </w:r>
            <w:proofErr w:type="spellEnd"/>
            <w:r w:rsidRPr="00CE140F">
              <w:t>. II, bod A</w:t>
            </w:r>
          </w:p>
          <w:p w:rsidR="00CE140F" w:rsidRPr="00CE140F" w:rsidRDefault="00CE140F" w:rsidP="00481460">
            <w:pPr>
              <w:spacing w:after="0" w:line="240" w:lineRule="auto"/>
            </w:pPr>
            <w:r w:rsidRPr="00CE140F">
              <w:t>písm. a), časť i)</w:t>
            </w:r>
          </w:p>
        </w:tc>
        <w:tc>
          <w:tcPr>
            <w:tcW w:w="6836" w:type="dxa"/>
          </w:tcPr>
          <w:p w:rsidR="00CE140F" w:rsidRPr="00CE140F" w:rsidRDefault="00CE140F" w:rsidP="00CE140F">
            <w:pPr>
              <w:pStyle w:val="Normlnywebov"/>
              <w:spacing w:before="0" w:beforeAutospacing="0" w:after="0" w:afterAutospacing="0"/>
              <w:rPr>
                <w:sz w:val="20"/>
                <w:szCs w:val="20"/>
              </w:rPr>
            </w:pPr>
            <w:r w:rsidRPr="00CE140F">
              <w:rPr>
                <w:sz w:val="20"/>
                <w:szCs w:val="20"/>
              </w:rPr>
              <w:t>PRÍLOHA II</w:t>
            </w:r>
          </w:p>
          <w:p w:rsidR="00CE140F" w:rsidRPr="00CE140F" w:rsidRDefault="00CE140F" w:rsidP="00CE140F">
            <w:pPr>
              <w:pStyle w:val="Normlnywebov"/>
              <w:spacing w:before="0" w:beforeAutospacing="0" w:after="0" w:afterAutospacing="0"/>
              <w:rPr>
                <w:sz w:val="20"/>
                <w:szCs w:val="20"/>
              </w:rPr>
            </w:pPr>
            <w:r w:rsidRPr="00CE140F">
              <w:rPr>
                <w:sz w:val="20"/>
                <w:szCs w:val="20"/>
              </w:rPr>
              <w:t>KRITÉRIÁ IDENTIFIKÁCIE CITLIVÝCH A MENEJ CITLIVÝCH OBLASTÍ</w:t>
            </w:r>
          </w:p>
          <w:p w:rsidR="00CE140F" w:rsidRPr="00CE140F" w:rsidRDefault="00CE140F" w:rsidP="00CE140F">
            <w:pPr>
              <w:pStyle w:val="Normlnywebov"/>
              <w:spacing w:before="0" w:beforeAutospacing="0" w:after="0" w:afterAutospacing="0"/>
              <w:rPr>
                <w:sz w:val="20"/>
                <w:szCs w:val="20"/>
              </w:rPr>
            </w:pPr>
            <w:r w:rsidRPr="00CE140F">
              <w:rPr>
                <w:sz w:val="20"/>
                <w:szCs w:val="20"/>
              </w:rPr>
              <w:t>A. Citlivé oblasti</w:t>
            </w:r>
          </w:p>
          <w:p w:rsidR="00CE140F" w:rsidRPr="00CE140F" w:rsidRDefault="00CE140F" w:rsidP="00CE140F">
            <w:pPr>
              <w:pStyle w:val="Normlnywebov"/>
              <w:spacing w:before="0" w:beforeAutospacing="0" w:after="0" w:afterAutospacing="0"/>
              <w:rPr>
                <w:sz w:val="20"/>
                <w:szCs w:val="20"/>
              </w:rPr>
            </w:pPr>
            <w:r w:rsidRPr="00CE140F">
              <w:rPr>
                <w:sz w:val="20"/>
                <w:szCs w:val="20"/>
              </w:rPr>
              <w:t>Vodná oblasť musí byť identifikovaná ako citlivá oblasť, ak patrí do jednej z nasledujúcich skupín:</w:t>
            </w:r>
          </w:p>
          <w:p w:rsidR="00CE140F" w:rsidRPr="00CE140F" w:rsidRDefault="00CE140F" w:rsidP="00CE140F">
            <w:pPr>
              <w:pStyle w:val="Normlnywebov"/>
              <w:spacing w:before="0" w:beforeAutospacing="0" w:after="0" w:afterAutospacing="0"/>
              <w:rPr>
                <w:sz w:val="20"/>
                <w:szCs w:val="20"/>
              </w:rPr>
            </w:pPr>
            <w:r w:rsidRPr="00CE140F">
              <w:rPr>
                <w:sz w:val="20"/>
                <w:szCs w:val="20"/>
              </w:rPr>
              <w:t xml:space="preserve">a) prírodné sladkovodné jazerá, iné sladkovodné oblasti, </w:t>
            </w:r>
            <w:proofErr w:type="spellStart"/>
            <w:r w:rsidRPr="00CE140F">
              <w:rPr>
                <w:sz w:val="20"/>
                <w:szCs w:val="20"/>
              </w:rPr>
              <w:t>estuárie</w:t>
            </w:r>
            <w:proofErr w:type="spellEnd"/>
            <w:r w:rsidRPr="00CE140F">
              <w:rPr>
                <w:sz w:val="20"/>
                <w:szCs w:val="20"/>
              </w:rPr>
              <w:t xml:space="preserve"> a pobrežné vody, ktoré sa pokladajú za </w:t>
            </w:r>
            <w:proofErr w:type="spellStart"/>
            <w:r w:rsidRPr="00CE140F">
              <w:rPr>
                <w:sz w:val="20"/>
                <w:szCs w:val="20"/>
              </w:rPr>
              <w:t>eutrofické</w:t>
            </w:r>
            <w:proofErr w:type="spellEnd"/>
            <w:r w:rsidRPr="00CE140F">
              <w:rPr>
                <w:sz w:val="20"/>
                <w:szCs w:val="20"/>
              </w:rPr>
              <w:t xml:space="preserve"> alebo ktoré sa v blízkej budúcnosti môžu stať </w:t>
            </w:r>
            <w:proofErr w:type="spellStart"/>
            <w:r w:rsidRPr="00CE140F">
              <w:rPr>
                <w:sz w:val="20"/>
                <w:szCs w:val="20"/>
              </w:rPr>
              <w:t>eutrofickými</w:t>
            </w:r>
            <w:proofErr w:type="spellEnd"/>
            <w:r w:rsidRPr="00CE140F">
              <w:rPr>
                <w:sz w:val="20"/>
                <w:szCs w:val="20"/>
              </w:rPr>
              <w:t>, ak sa nepodnikne akcia na ich ochranu.</w:t>
            </w:r>
          </w:p>
          <w:p w:rsidR="00CE140F" w:rsidRPr="00CE140F" w:rsidRDefault="00CE140F" w:rsidP="00CE140F">
            <w:pPr>
              <w:pStyle w:val="Normlnywebov"/>
              <w:spacing w:before="0" w:beforeAutospacing="0" w:after="0" w:afterAutospacing="0"/>
              <w:rPr>
                <w:sz w:val="20"/>
                <w:szCs w:val="20"/>
              </w:rPr>
            </w:pPr>
            <w:r w:rsidRPr="00CE140F">
              <w:rPr>
                <w:sz w:val="20"/>
                <w:szCs w:val="20"/>
              </w:rPr>
              <w:t>Pri posudzovaní toho, ktoré živiny by sa mali znížiť pri ďalšom čistení, sa môžu zohľadniť nasledujúce prvky:</w:t>
            </w:r>
          </w:p>
          <w:p w:rsidR="00CE140F" w:rsidRPr="00CE140F" w:rsidRDefault="00CE140F" w:rsidP="00CE140F">
            <w:pPr>
              <w:pStyle w:val="Normlnywebov"/>
              <w:spacing w:before="0" w:beforeAutospacing="0" w:after="0" w:afterAutospacing="0"/>
              <w:rPr>
                <w:sz w:val="20"/>
                <w:szCs w:val="20"/>
              </w:rPr>
            </w:pPr>
            <w:r w:rsidRPr="00CE140F">
              <w:rPr>
                <w:sz w:val="20"/>
                <w:szCs w:val="20"/>
              </w:rPr>
              <w:t xml:space="preserve">i) jazerá a potoky siahajúce do jazier/rezervoárov/uzavretých zálivov, pri ktorých sa zistila slabá výmena vody a kde môže nastať zhromažďovanie. V týchto oblastiach sa musí zahrnúť odstraňovanie fosforu, pokiaľ sa nedá preukázať, že odstraňovanie nemá účinok na úroveň </w:t>
            </w:r>
            <w:proofErr w:type="spellStart"/>
            <w:r w:rsidRPr="00CE140F">
              <w:rPr>
                <w:sz w:val="20"/>
                <w:szCs w:val="20"/>
              </w:rPr>
              <w:t>eutrofizácie</w:t>
            </w:r>
            <w:proofErr w:type="spellEnd"/>
            <w:r w:rsidRPr="00CE140F">
              <w:rPr>
                <w:sz w:val="20"/>
                <w:szCs w:val="20"/>
              </w:rPr>
              <w:t>. Tam, kde sa robí vypúšťanie z veľkých aglomerácií, sa môže posúdiť tiež odstraňovanie dusíka;</w:t>
            </w:r>
          </w:p>
        </w:tc>
        <w:tc>
          <w:tcPr>
            <w:tcW w:w="596" w:type="dxa"/>
          </w:tcPr>
          <w:p w:rsidR="00CE140F" w:rsidRPr="00CE140F" w:rsidRDefault="00CE140F" w:rsidP="00481460">
            <w:pPr>
              <w:spacing w:after="0" w:line="240" w:lineRule="auto"/>
            </w:pPr>
            <w:r w:rsidRPr="00CE140F">
              <w:t>N</w:t>
            </w:r>
          </w:p>
        </w:tc>
        <w:tc>
          <w:tcPr>
            <w:tcW w:w="709" w:type="dxa"/>
          </w:tcPr>
          <w:p w:rsidR="00CE140F" w:rsidRPr="00CE140F" w:rsidRDefault="00AF011D" w:rsidP="00481460">
            <w:pPr>
              <w:spacing w:after="0" w:line="240" w:lineRule="auto"/>
            </w:pPr>
            <w:r>
              <w:t>N</w:t>
            </w:r>
            <w:r w:rsidR="00CE140F" w:rsidRPr="00CE140F">
              <w:t>Z</w:t>
            </w:r>
          </w:p>
        </w:tc>
        <w:tc>
          <w:tcPr>
            <w:tcW w:w="709" w:type="dxa"/>
          </w:tcPr>
          <w:p w:rsidR="00CE140F" w:rsidRPr="00CE140F" w:rsidRDefault="00CE140F" w:rsidP="00481460">
            <w:pPr>
              <w:spacing w:after="0" w:line="240" w:lineRule="auto"/>
            </w:pPr>
            <w:r w:rsidRPr="00CE140F">
              <w:t>Čl. II</w:t>
            </w:r>
          </w:p>
          <w:p w:rsidR="00CE140F" w:rsidRPr="00CE140F" w:rsidRDefault="00CE140F" w:rsidP="00481460">
            <w:pPr>
              <w:spacing w:after="0" w:line="240" w:lineRule="auto"/>
            </w:pPr>
            <w:r w:rsidRPr="00CE140F">
              <w:t>Príl.3</w:t>
            </w:r>
          </w:p>
          <w:p w:rsidR="00CE140F" w:rsidRPr="00CE140F" w:rsidRDefault="00CE140F" w:rsidP="00481460">
            <w:pPr>
              <w:spacing w:after="0" w:line="240" w:lineRule="auto"/>
            </w:pPr>
            <w:r w:rsidRPr="00CE140F">
              <w:t>Bod 1</w:t>
            </w:r>
          </w:p>
          <w:p w:rsidR="00CE140F" w:rsidRPr="00CE140F" w:rsidRDefault="00CE140F" w:rsidP="00CE140F">
            <w:pPr>
              <w:spacing w:after="0" w:line="240" w:lineRule="auto"/>
            </w:pPr>
            <w:r w:rsidRPr="00CE140F">
              <w:t>2. a 3. veta</w:t>
            </w:r>
          </w:p>
        </w:tc>
        <w:tc>
          <w:tcPr>
            <w:tcW w:w="5528" w:type="dxa"/>
          </w:tcPr>
          <w:p w:rsidR="00CE140F" w:rsidRPr="00CE140F" w:rsidRDefault="00CE140F" w:rsidP="00481460">
            <w:pPr>
              <w:widowControl w:val="0"/>
              <w:spacing w:after="0" w:line="240" w:lineRule="auto"/>
              <w:rPr>
                <w:b/>
              </w:rPr>
            </w:pPr>
            <w:r w:rsidRPr="00CE140F">
              <w:rPr>
                <w:bCs/>
              </w:rPr>
              <w:t xml:space="preserve">Pri posudzovaní, ktoré živiny by mali byť znížené ďalším čistením, sa môže zohľadniť slabá výmena objemu vody v jazerách alebo vo vodných nádržiach v dôsledku nedostatočného prítoku. V týchto oblastiach sa musí zahrnúť odstraňovanie fosforu, ak sa preukáže, že odstraňovanie fosforu bude mať účinok na zníženie rizika alebo úrovne  prejavu  </w:t>
            </w:r>
            <w:proofErr w:type="spellStart"/>
            <w:r w:rsidRPr="00CE140F">
              <w:rPr>
                <w:bCs/>
              </w:rPr>
              <w:t>eutrofizácie</w:t>
            </w:r>
            <w:proofErr w:type="spellEnd"/>
            <w:r w:rsidRPr="00CE140F">
              <w:rPr>
                <w:bCs/>
              </w:rPr>
              <w:t>.</w:t>
            </w:r>
          </w:p>
        </w:tc>
        <w:tc>
          <w:tcPr>
            <w:tcW w:w="425" w:type="dxa"/>
          </w:tcPr>
          <w:p w:rsidR="00CE140F" w:rsidRPr="00CE140F" w:rsidRDefault="00CE140F" w:rsidP="00481460">
            <w:pPr>
              <w:spacing w:after="0" w:line="240" w:lineRule="auto"/>
            </w:pPr>
            <w:r>
              <w:t>Ú</w:t>
            </w:r>
          </w:p>
        </w:tc>
        <w:tc>
          <w:tcPr>
            <w:tcW w:w="363" w:type="dxa"/>
            <w:textDirection w:val="btLr"/>
          </w:tcPr>
          <w:p w:rsidR="00CE140F" w:rsidRPr="00CE140F" w:rsidRDefault="00CE140F" w:rsidP="00481460">
            <w:pPr>
              <w:spacing w:after="0" w:line="240" w:lineRule="auto"/>
              <w:ind w:left="113" w:right="113"/>
            </w:pPr>
          </w:p>
        </w:tc>
      </w:tr>
    </w:tbl>
    <w:p w:rsidR="009C154C" w:rsidRPr="00CE140F" w:rsidRDefault="009C154C" w:rsidP="009C154C">
      <w:pPr>
        <w:rPr>
          <w:rFonts w:ascii="Times New Roman" w:hAnsi="Times New Roman" w:cs="Times New Roman"/>
          <w:sz w:val="20"/>
          <w:szCs w:val="20"/>
        </w:rPr>
      </w:pP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FB1E24" w:rsidRPr="00CE140F" w:rsidTr="00D87201">
        <w:tc>
          <w:tcPr>
            <w:tcW w:w="241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(1):</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článok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odsek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 veta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P – písmeno (číslo)</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p>
        </w:tc>
        <w:tc>
          <w:tcPr>
            <w:tcW w:w="378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(3):</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N – bežná transpozícia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transpozícia s možnosťou voľby</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D – transpozícia podľa úvahy (dobrovoľná)</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proofErr w:type="spellStart"/>
            <w:r w:rsidRPr="00CE140F">
              <w:rPr>
                <w:rFonts w:ascii="Times New Roman" w:eastAsia="Times New Roman" w:hAnsi="Times New Roman" w:cs="Times New Roman"/>
                <w:sz w:val="20"/>
                <w:szCs w:val="20"/>
                <w:lang w:eastAsia="sk-SK"/>
              </w:rPr>
              <w:t>n.a</w:t>
            </w:r>
            <w:proofErr w:type="spellEnd"/>
            <w:r w:rsidRPr="00CE140F">
              <w:rPr>
                <w:rFonts w:ascii="Times New Roman" w:eastAsia="Times New Roman" w:hAnsi="Times New Roman" w:cs="Times New Roman"/>
                <w:sz w:val="20"/>
                <w:szCs w:val="20"/>
                <w:lang w:eastAsia="sk-SK"/>
              </w:rPr>
              <w:t>. – transpozícia sa neuskutočňuje</w:t>
            </w:r>
          </w:p>
        </w:tc>
        <w:tc>
          <w:tcPr>
            <w:tcW w:w="234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(5):</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článok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 – paragraf</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O – odsek</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 veta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P – písmeno (číslo)</w:t>
            </w:r>
          </w:p>
        </w:tc>
        <w:tc>
          <w:tcPr>
            <w:tcW w:w="7200" w:type="dxa"/>
            <w:tcBorders>
              <w:top w:val="nil"/>
              <w:left w:val="nil"/>
              <w:bottom w:val="nil"/>
              <w:right w:val="nil"/>
            </w:tcBorders>
          </w:tcPr>
          <w:p w:rsidR="00FB1E24" w:rsidRPr="00CE140F" w:rsidRDefault="00FB1E24" w:rsidP="00FB1E24">
            <w:pPr>
              <w:spacing w:after="6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V stĺpci (7):</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Ú – úplná zhoda</w:t>
            </w:r>
          </w:p>
          <w:p w:rsidR="00FB1E24" w:rsidRPr="00CE140F" w:rsidRDefault="00FB1E24" w:rsidP="00FB1E24">
            <w:pPr>
              <w:spacing w:after="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Č – čiastočná zhoda</w:t>
            </w:r>
          </w:p>
          <w:p w:rsidR="00FB1E24" w:rsidRPr="00CE140F" w:rsidRDefault="00FB1E24" w:rsidP="00FB1E24">
            <w:pPr>
              <w:autoSpaceDE w:val="0"/>
              <w:autoSpaceDN w:val="0"/>
              <w:spacing w:after="120" w:line="240" w:lineRule="auto"/>
              <w:rPr>
                <w:rFonts w:ascii="Times New Roman" w:eastAsia="Times New Roman" w:hAnsi="Times New Roman" w:cs="Times New Roman"/>
                <w:sz w:val="20"/>
                <w:szCs w:val="20"/>
                <w:lang w:eastAsia="sk-SK"/>
              </w:rPr>
            </w:pPr>
            <w:r w:rsidRPr="00CE140F">
              <w:rPr>
                <w:rFonts w:ascii="Times New Roman" w:eastAsia="Times New Roman" w:hAnsi="Times New Roman" w:cs="Times New Roman"/>
                <w:sz w:val="20"/>
                <w:szCs w:val="20"/>
                <w:lang w:eastAsia="sk-SK"/>
              </w:rPr>
              <w:t xml:space="preserve">Ž – žiadna zhoda (ak nebola dosiahnutá ani </w:t>
            </w:r>
            <w:proofErr w:type="spellStart"/>
            <w:r w:rsidRPr="00CE140F">
              <w:rPr>
                <w:rFonts w:ascii="Times New Roman" w:eastAsia="Times New Roman" w:hAnsi="Times New Roman" w:cs="Times New Roman"/>
                <w:sz w:val="20"/>
                <w:szCs w:val="20"/>
                <w:lang w:eastAsia="sk-SK"/>
              </w:rPr>
              <w:t>čiast</w:t>
            </w:r>
            <w:proofErr w:type="spellEnd"/>
            <w:r w:rsidRPr="00CE140F">
              <w:rPr>
                <w:rFonts w:ascii="Times New Roman" w:eastAsia="Times New Roman" w:hAnsi="Times New Roman" w:cs="Times New Roman"/>
                <w:sz w:val="20"/>
                <w:szCs w:val="20"/>
                <w:lang w:eastAsia="sk-SK"/>
              </w:rPr>
              <w:t>. ani úplná zhoda alebo k prebratiu dôjde v budúcnosti)</w:t>
            </w:r>
          </w:p>
          <w:p w:rsidR="00FB1E24" w:rsidRPr="00CE140F" w:rsidRDefault="00FB1E24" w:rsidP="00FB1E24">
            <w:pPr>
              <w:spacing w:after="0" w:line="240" w:lineRule="auto"/>
              <w:ind w:left="290" w:hanging="290"/>
              <w:rPr>
                <w:rFonts w:ascii="Times New Roman" w:eastAsia="Times New Roman" w:hAnsi="Times New Roman" w:cs="Times New Roman"/>
                <w:sz w:val="20"/>
                <w:szCs w:val="20"/>
                <w:lang w:eastAsia="sk-SK"/>
              </w:rPr>
            </w:pPr>
            <w:proofErr w:type="spellStart"/>
            <w:r w:rsidRPr="00CE140F">
              <w:rPr>
                <w:rFonts w:ascii="Times New Roman" w:eastAsia="Times New Roman" w:hAnsi="Times New Roman" w:cs="Times New Roman"/>
                <w:sz w:val="20"/>
                <w:szCs w:val="20"/>
                <w:lang w:eastAsia="sk-SK"/>
              </w:rPr>
              <w:t>n.a</w:t>
            </w:r>
            <w:proofErr w:type="spellEnd"/>
            <w:r w:rsidRPr="00CE140F">
              <w:rPr>
                <w:rFonts w:ascii="Times New Roman" w:eastAsia="Times New Roman" w:hAnsi="Times New Roman" w:cs="Times New Roman"/>
                <w:sz w:val="20"/>
                <w:szCs w:val="20"/>
                <w:lang w:eastAsia="sk-SK"/>
              </w:rPr>
              <w:t>. – neaplikovateľnosť (ak sa ustanovenie smernice netýka SR alebo nie je potrebné ho prebrať)</w:t>
            </w:r>
          </w:p>
        </w:tc>
      </w:tr>
    </w:tbl>
    <w:p w:rsidR="00283933" w:rsidRPr="00CE140F" w:rsidRDefault="00283933" w:rsidP="009C154C">
      <w:pPr>
        <w:rPr>
          <w:rFonts w:ascii="Times New Roman" w:hAnsi="Times New Roman" w:cs="Times New Roman"/>
          <w:sz w:val="20"/>
          <w:szCs w:val="20"/>
        </w:rPr>
      </w:pPr>
    </w:p>
    <w:sectPr w:rsidR="00283933" w:rsidRPr="00CE140F" w:rsidSect="009C15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E9BD14"/>
    <w:multiLevelType w:val="singleLevel"/>
    <w:tmpl w:val="A8E9BD14"/>
    <w:lvl w:ilvl="0">
      <w:start w:val="1"/>
      <w:numFmt w:val="lowerLetter"/>
      <w:suff w:val="space"/>
      <w:lvlText w:val="%1)"/>
      <w:lvlJc w:val="left"/>
    </w:lvl>
  </w:abstractNum>
  <w:abstractNum w:abstractNumId="1" w15:restartNumberingAfterBreak="0">
    <w:nsid w:val="0081717D"/>
    <w:multiLevelType w:val="multilevel"/>
    <w:tmpl w:val="0081717D"/>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10D53"/>
    <w:multiLevelType w:val="multilevel"/>
    <w:tmpl w:val="0A910D5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2C760E"/>
    <w:multiLevelType w:val="multilevel"/>
    <w:tmpl w:val="0D2C76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53BAE"/>
    <w:multiLevelType w:val="multilevel"/>
    <w:tmpl w:val="10553BAE"/>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381DCB"/>
    <w:multiLevelType w:val="multilevel"/>
    <w:tmpl w:val="19381DCB"/>
    <w:lvl w:ilvl="0">
      <w:start w:val="1"/>
      <w:numFmt w:val="decimal"/>
      <w:lvlText w:val="%1."/>
      <w:lvlJc w:val="left"/>
      <w:pPr>
        <w:ind w:left="620" w:hanging="360"/>
      </w:pPr>
      <w:rPr>
        <w:rFonts w:hint="default"/>
      </w:r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6" w15:restartNumberingAfterBreak="0">
    <w:nsid w:val="24FC195E"/>
    <w:multiLevelType w:val="multilevel"/>
    <w:tmpl w:val="24FC195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E2D5D"/>
    <w:multiLevelType w:val="multilevel"/>
    <w:tmpl w:val="25FE2D5D"/>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E133D12"/>
    <w:multiLevelType w:val="multilevel"/>
    <w:tmpl w:val="2E133D1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B0ABE"/>
    <w:multiLevelType w:val="multilevel"/>
    <w:tmpl w:val="334B0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BA24F4"/>
    <w:multiLevelType w:val="multilevel"/>
    <w:tmpl w:val="3ABA24F4"/>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964FA9"/>
    <w:multiLevelType w:val="multilevel"/>
    <w:tmpl w:val="50964FA9"/>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A3502"/>
    <w:multiLevelType w:val="multilevel"/>
    <w:tmpl w:val="5FAA3502"/>
    <w:lvl w:ilvl="0">
      <w:start w:val="1"/>
      <w:numFmt w:val="upperLetter"/>
      <w:lvlText w:val="%1."/>
      <w:lvlJc w:val="left"/>
      <w:rPr>
        <w:rFonts w:asciiTheme="minorHAnsi" w:eastAsia="Sylfaen" w:hAnsiTheme="minorHAnsi" w:cs="Sylfaen" w:hint="default"/>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60CE5"/>
    <w:multiLevelType w:val="multilevel"/>
    <w:tmpl w:val="75160CE5"/>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A76E3"/>
    <w:multiLevelType w:val="multilevel"/>
    <w:tmpl w:val="767A76E3"/>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6"/>
  </w:num>
  <w:num w:numId="4">
    <w:abstractNumId w:val="8"/>
  </w:num>
  <w:num w:numId="5">
    <w:abstractNumId w:val="14"/>
  </w:num>
  <w:num w:numId="6">
    <w:abstractNumId w:val="3"/>
  </w:num>
  <w:num w:numId="7">
    <w:abstractNumId w:val="10"/>
  </w:num>
  <w:num w:numId="8">
    <w:abstractNumId w:val="4"/>
  </w:num>
  <w:num w:numId="9">
    <w:abstractNumId w:val="2"/>
  </w:num>
  <w:num w:numId="10">
    <w:abstractNumId w:val="1"/>
  </w:num>
  <w:num w:numId="11">
    <w:abstractNumId w:val="7"/>
  </w:num>
  <w:num w:numId="12">
    <w:abstractNumId w:val="5"/>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4C"/>
    <w:rsid w:val="0001516A"/>
    <w:rsid w:val="00064A46"/>
    <w:rsid w:val="000B77E2"/>
    <w:rsid w:val="00102181"/>
    <w:rsid w:val="00116D27"/>
    <w:rsid w:val="00123B21"/>
    <w:rsid w:val="001607A5"/>
    <w:rsid w:val="001B4393"/>
    <w:rsid w:val="00283933"/>
    <w:rsid w:val="003D35EF"/>
    <w:rsid w:val="004719BF"/>
    <w:rsid w:val="004A15B2"/>
    <w:rsid w:val="00607062"/>
    <w:rsid w:val="00624FD1"/>
    <w:rsid w:val="00637180"/>
    <w:rsid w:val="007016C5"/>
    <w:rsid w:val="00711D06"/>
    <w:rsid w:val="007D41C4"/>
    <w:rsid w:val="0081206A"/>
    <w:rsid w:val="0085603E"/>
    <w:rsid w:val="008B70C7"/>
    <w:rsid w:val="0095417F"/>
    <w:rsid w:val="009A7F13"/>
    <w:rsid w:val="009C154C"/>
    <w:rsid w:val="009D0ACF"/>
    <w:rsid w:val="00AD667F"/>
    <w:rsid w:val="00AF011D"/>
    <w:rsid w:val="00C61AF1"/>
    <w:rsid w:val="00C708AB"/>
    <w:rsid w:val="00CE140F"/>
    <w:rsid w:val="00D33DD1"/>
    <w:rsid w:val="00D87093"/>
    <w:rsid w:val="00E13490"/>
    <w:rsid w:val="00F62100"/>
    <w:rsid w:val="00F82DC1"/>
    <w:rsid w:val="00FB1E24"/>
    <w:rsid w:val="00FD1A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4A9D"/>
  <w15:chartTrackingRefBased/>
  <w15:docId w15:val="{53CE94F8-DB93-4250-9721-ABAA3DF0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54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qFormat/>
    <w:rsid w:val="009C154C"/>
    <w:pPr>
      <w:spacing w:after="0" w:line="240" w:lineRule="auto"/>
    </w:pPr>
    <w:rPr>
      <w:rFonts w:ascii="Times New Roman" w:eastAsia="SimSu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C154C"/>
    <w:pPr>
      <w:keepNext/>
      <w:spacing w:before="60" w:after="60" w:line="240" w:lineRule="auto"/>
      <w:ind w:left="720"/>
      <w:contextualSpacing/>
      <w:jc w:val="both"/>
    </w:pPr>
    <w:rPr>
      <w:rFonts w:ascii="Times New Roman" w:eastAsia="Times New Roman" w:hAnsi="Times New Roman" w:cs="Times New Roman"/>
      <w:sz w:val="24"/>
    </w:rPr>
  </w:style>
  <w:style w:type="character" w:customStyle="1" w:styleId="Zkladntext2">
    <w:name w:val="Základní text (2)_"/>
    <w:basedOn w:val="Predvolenpsmoodseku"/>
    <w:link w:val="Zkladntext20"/>
    <w:qFormat/>
    <w:rsid w:val="009C154C"/>
    <w:rPr>
      <w:rFonts w:ascii="Sylfaen" w:eastAsia="Sylfaen" w:hAnsi="Sylfaen" w:cs="Sylfaen"/>
      <w:sz w:val="15"/>
      <w:szCs w:val="15"/>
      <w:shd w:val="clear" w:color="auto" w:fill="FFFFFF"/>
    </w:rPr>
  </w:style>
  <w:style w:type="paragraph" w:customStyle="1" w:styleId="Zkladntext20">
    <w:name w:val="Základní text (2)"/>
    <w:basedOn w:val="Normlny"/>
    <w:link w:val="Zkladntext2"/>
    <w:qFormat/>
    <w:rsid w:val="009C154C"/>
    <w:pPr>
      <w:widowControl w:val="0"/>
      <w:shd w:val="clear" w:color="auto" w:fill="FFFFFF"/>
      <w:spacing w:before="400" w:after="400" w:line="198" w:lineRule="exact"/>
      <w:ind w:hanging="620"/>
      <w:jc w:val="both"/>
    </w:pPr>
    <w:rPr>
      <w:rFonts w:ascii="Sylfaen" w:eastAsia="Sylfaen" w:hAnsi="Sylfaen" w:cs="Sylfaen"/>
      <w:sz w:val="15"/>
      <w:szCs w:val="15"/>
    </w:rPr>
  </w:style>
  <w:style w:type="character" w:customStyle="1" w:styleId="Nadpis2">
    <w:name w:val="Nadpis #2_"/>
    <w:basedOn w:val="Predvolenpsmoodseku"/>
    <w:link w:val="Nadpis20"/>
    <w:qFormat/>
    <w:rsid w:val="009C154C"/>
    <w:rPr>
      <w:rFonts w:ascii="Sylfaen" w:eastAsia="Sylfaen" w:hAnsi="Sylfaen" w:cs="Sylfaen"/>
      <w:b/>
      <w:bCs/>
      <w:sz w:val="19"/>
      <w:szCs w:val="19"/>
      <w:shd w:val="clear" w:color="auto" w:fill="FFFFFF"/>
    </w:rPr>
  </w:style>
  <w:style w:type="paragraph" w:customStyle="1" w:styleId="Nadpis20">
    <w:name w:val="Nadpis #2"/>
    <w:basedOn w:val="Normlny"/>
    <w:link w:val="Nadpis2"/>
    <w:qFormat/>
    <w:rsid w:val="009C154C"/>
    <w:pPr>
      <w:widowControl w:val="0"/>
      <w:shd w:val="clear" w:color="auto" w:fill="FFFFFF"/>
      <w:spacing w:before="620" w:after="0" w:line="336" w:lineRule="exact"/>
      <w:jc w:val="center"/>
      <w:outlineLvl w:val="1"/>
    </w:pPr>
    <w:rPr>
      <w:rFonts w:ascii="Sylfaen" w:eastAsia="Sylfaen" w:hAnsi="Sylfaen" w:cs="Sylfaen"/>
      <w:b/>
      <w:bCs/>
      <w:sz w:val="19"/>
      <w:szCs w:val="19"/>
    </w:rPr>
  </w:style>
  <w:style w:type="paragraph" w:styleId="Zarkazkladnhotextu2">
    <w:name w:val="Body Text Indent 2"/>
    <w:basedOn w:val="Normlny"/>
    <w:link w:val="Zarkazkladnhotextu2Char"/>
    <w:rsid w:val="009C154C"/>
    <w:pPr>
      <w:spacing w:before="120" w:after="0" w:line="400" w:lineRule="atLeast"/>
      <w:ind w:firstLine="567"/>
      <w:jc w:val="both"/>
    </w:pPr>
    <w:rPr>
      <w:rFonts w:ascii="Times New Roman" w:eastAsia="Times New Roman" w:hAnsi="Times New Roman" w:cs="Times New Roman"/>
      <w:sz w:val="26"/>
      <w:szCs w:val="20"/>
      <w:lang w:eastAsia="sk-SK"/>
    </w:rPr>
  </w:style>
  <w:style w:type="character" w:customStyle="1" w:styleId="Zarkazkladnhotextu2Char">
    <w:name w:val="Zarážka základného textu 2 Char"/>
    <w:basedOn w:val="Predvolenpsmoodseku"/>
    <w:link w:val="Zarkazkladnhotextu2"/>
    <w:rsid w:val="009C154C"/>
    <w:rPr>
      <w:rFonts w:ascii="Times New Roman" w:eastAsia="Times New Roman" w:hAnsi="Times New Roman" w:cs="Times New Roman"/>
      <w:sz w:val="26"/>
      <w:szCs w:val="20"/>
      <w:lang w:eastAsia="sk-SK"/>
    </w:rPr>
  </w:style>
  <w:style w:type="paragraph" w:styleId="Textbubliny">
    <w:name w:val="Balloon Text"/>
    <w:basedOn w:val="Normlny"/>
    <w:link w:val="TextbublinyChar"/>
    <w:uiPriority w:val="99"/>
    <w:semiHidden/>
    <w:unhideWhenUsed/>
    <w:rsid w:val="00AD66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667F"/>
    <w:rPr>
      <w:rFonts w:ascii="Segoe UI" w:hAnsi="Segoe UI" w:cs="Segoe UI"/>
      <w:sz w:val="18"/>
      <w:szCs w:val="18"/>
    </w:rPr>
  </w:style>
  <w:style w:type="paragraph" w:styleId="Normlnywebov">
    <w:name w:val="Normal (Web)"/>
    <w:basedOn w:val="Normlny"/>
    <w:uiPriority w:val="99"/>
    <w:semiHidden/>
    <w:unhideWhenUsed/>
    <w:rsid w:val="00CE140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qFormat/>
    <w:rsid w:val="00064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LexUriServ/LexUriServ.do?uri=OJ:L:1991:135:0040:045:S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3DF4-2702-4F68-8DE8-CDF22EB3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912</Words>
  <Characters>5201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Lýdia Bekerová</dc:creator>
  <cp:keywords/>
  <dc:description/>
  <cp:lastModifiedBy>Rozborilová Monika</cp:lastModifiedBy>
  <cp:revision>4</cp:revision>
  <cp:lastPrinted>2021-09-10T07:15:00Z</cp:lastPrinted>
  <dcterms:created xsi:type="dcterms:W3CDTF">2021-09-08T08:54:00Z</dcterms:created>
  <dcterms:modified xsi:type="dcterms:W3CDTF">2021-09-10T07:15:00Z</dcterms:modified>
</cp:coreProperties>
</file>