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5B96" w:rsidRPr="002E32C0" w:rsidTr="00217903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315B96" w:rsidRPr="002E32C0" w:rsidRDefault="00315B96" w:rsidP="00B3321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E32C0">
              <w:rPr>
                <w:b/>
                <w:sz w:val="28"/>
                <w:szCs w:val="24"/>
              </w:rPr>
              <w:t>Analýza vplyvov na životné prostredie</w:t>
            </w:r>
            <w:r w:rsidR="00E66A91">
              <w:rPr>
                <w:b/>
                <w:sz w:val="28"/>
                <w:szCs w:val="24"/>
              </w:rPr>
              <w:t xml:space="preserve"> </w:t>
            </w:r>
          </w:p>
        </w:tc>
      </w:tr>
      <w:tr w:rsidR="00315B96" w:rsidRPr="002E32C0" w:rsidTr="00217903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315B96" w:rsidRPr="002E32C0" w:rsidRDefault="00315B96" w:rsidP="00217903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15B96" w:rsidRPr="002E32C0" w:rsidTr="00217903">
        <w:trPr>
          <w:trHeight w:val="995"/>
        </w:trPr>
        <w:tc>
          <w:tcPr>
            <w:tcW w:w="9212" w:type="dxa"/>
          </w:tcPr>
          <w:p w:rsidR="00315B96" w:rsidRDefault="00315B96" w:rsidP="00217903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315B96" w:rsidRPr="00315B96" w:rsidRDefault="00315B96" w:rsidP="00CB77B3">
            <w:pPr>
              <w:jc w:val="both"/>
              <w:rPr>
                <w:strike/>
                <w:sz w:val="24"/>
                <w:szCs w:val="24"/>
              </w:rPr>
            </w:pPr>
            <w:r w:rsidRPr="00E66A91">
              <w:rPr>
                <w:sz w:val="24"/>
                <w:szCs w:val="24"/>
              </w:rPr>
              <w:t xml:space="preserve">Zavedením </w:t>
            </w:r>
            <w:r w:rsidR="00E66A91" w:rsidRPr="00E66A91">
              <w:rPr>
                <w:sz w:val="24"/>
                <w:szCs w:val="24"/>
              </w:rPr>
              <w:t>upresnenia</w:t>
            </w:r>
            <w:r w:rsidRPr="00E66A91">
              <w:rPr>
                <w:sz w:val="24"/>
                <w:szCs w:val="24"/>
              </w:rPr>
              <w:t xml:space="preserve"> povinností</w:t>
            </w:r>
            <w:r w:rsidR="00E66A91" w:rsidRPr="00E66A91">
              <w:rPr>
                <w:sz w:val="24"/>
                <w:szCs w:val="24"/>
              </w:rPr>
              <w:t xml:space="preserve"> pre vlastníkov verejných vodovodov</w:t>
            </w:r>
            <w:r w:rsidR="00E66A91">
              <w:rPr>
                <w:sz w:val="24"/>
                <w:szCs w:val="24"/>
              </w:rPr>
              <w:t xml:space="preserve"> a vlastníkov verejných kanalizácií odkladať si finančné prostriedky na obnovu existujúceho prevádzkovaného majetku na osobitný účet</w:t>
            </w:r>
            <w:r w:rsidR="008954F3">
              <w:rPr>
                <w:sz w:val="24"/>
                <w:szCs w:val="24"/>
              </w:rPr>
              <w:t xml:space="preserve"> resp. do štátnej pokladnice</w:t>
            </w:r>
            <w:r w:rsidR="00E66A91">
              <w:rPr>
                <w:sz w:val="24"/>
                <w:szCs w:val="24"/>
              </w:rPr>
              <w:t xml:space="preserve"> </w:t>
            </w:r>
            <w:r w:rsidR="00160DED">
              <w:rPr>
                <w:sz w:val="24"/>
                <w:szCs w:val="24"/>
              </w:rPr>
              <w:t xml:space="preserve">– účelová finančná rezerva </w:t>
            </w:r>
            <w:r w:rsidR="00E66A91">
              <w:rPr>
                <w:sz w:val="24"/>
                <w:szCs w:val="24"/>
              </w:rPr>
              <w:t xml:space="preserve">sa predpokladá aj </w:t>
            </w:r>
            <w:r w:rsidR="008A076D">
              <w:rPr>
                <w:sz w:val="24"/>
                <w:szCs w:val="24"/>
              </w:rPr>
              <w:t xml:space="preserve">väčšia kontrola </w:t>
            </w:r>
            <w:r w:rsidR="00E66A91">
              <w:rPr>
                <w:sz w:val="24"/>
                <w:szCs w:val="24"/>
              </w:rPr>
              <w:t>využiti</w:t>
            </w:r>
            <w:r w:rsidR="008A076D">
              <w:rPr>
                <w:sz w:val="24"/>
                <w:szCs w:val="24"/>
              </w:rPr>
              <w:t>a</w:t>
            </w:r>
            <w:r w:rsidR="00E66A91">
              <w:rPr>
                <w:sz w:val="24"/>
                <w:szCs w:val="24"/>
              </w:rPr>
              <w:t xml:space="preserve"> týchto finančných prostriedkov</w:t>
            </w:r>
            <w:r w:rsidR="008A076D">
              <w:rPr>
                <w:sz w:val="24"/>
                <w:szCs w:val="24"/>
              </w:rPr>
              <w:t xml:space="preserve"> na tento účel</w:t>
            </w:r>
            <w:r w:rsidR="00E66A91">
              <w:rPr>
                <w:sz w:val="24"/>
                <w:szCs w:val="24"/>
              </w:rPr>
              <w:t>, kde sa obnovou zamedzí úniku odpadových vôd z</w:t>
            </w:r>
            <w:r w:rsidR="008A076D">
              <w:rPr>
                <w:sz w:val="24"/>
                <w:szCs w:val="24"/>
              </w:rPr>
              <w:t> poškodených častí stokovej siete</w:t>
            </w:r>
            <w:r w:rsidR="00E66A91">
              <w:rPr>
                <w:sz w:val="24"/>
                <w:szCs w:val="24"/>
              </w:rPr>
              <w:t xml:space="preserve">, čím môže dochádzať k pozitívnemu vplyvu na ochranu </w:t>
            </w:r>
            <w:r w:rsidR="008A076D">
              <w:rPr>
                <w:sz w:val="24"/>
                <w:szCs w:val="24"/>
              </w:rPr>
              <w:t xml:space="preserve">podzemných </w:t>
            </w:r>
            <w:r w:rsidR="00E66A91">
              <w:rPr>
                <w:sz w:val="24"/>
                <w:szCs w:val="24"/>
              </w:rPr>
              <w:t>vôd, najmä pri obnove verejných kanalizácií</w:t>
            </w:r>
            <w:r w:rsidR="008A076D">
              <w:rPr>
                <w:sz w:val="24"/>
                <w:szCs w:val="24"/>
              </w:rPr>
              <w:t xml:space="preserve">. Tiež aj pri obnove potrubí verejného vodovodu zníži sa množstvo strát pitnej vody. </w:t>
            </w:r>
            <w:r w:rsidR="00CB77B3">
              <w:rPr>
                <w:sz w:val="24"/>
                <w:szCs w:val="24"/>
              </w:rPr>
              <w:t xml:space="preserve">Vytváraním podmienok pre možnosť sa pripojenia </w:t>
            </w:r>
            <w:r w:rsidR="002D48F8">
              <w:rPr>
                <w:sz w:val="24"/>
                <w:szCs w:val="24"/>
              </w:rPr>
              <w:t xml:space="preserve">ďalších producentov odpadových vôd </w:t>
            </w:r>
            <w:r w:rsidR="00CB77B3">
              <w:rPr>
                <w:sz w:val="24"/>
                <w:szCs w:val="24"/>
              </w:rPr>
              <w:t>na verejnú kanalizáciu sa predpokladá zníženie znečistenia podzemných a povrchových vôd nelegálnym vypúšťaním odpadových vôd z netesných žúmp.</w:t>
            </w:r>
            <w:r w:rsidR="00E151B7">
              <w:rPr>
                <w:sz w:val="24"/>
                <w:szCs w:val="24"/>
              </w:rPr>
              <w:t xml:space="preserve"> Ide o pozitívne vplyvy na životné prostredie v oblasti vôd.</w:t>
            </w:r>
          </w:p>
        </w:tc>
      </w:tr>
      <w:tr w:rsidR="00315B96" w:rsidRPr="002E32C0" w:rsidTr="00217903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315B96" w:rsidRPr="002E32C0" w:rsidRDefault="00315B96" w:rsidP="00217903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15B96" w:rsidRPr="002E32C0" w:rsidTr="00217903">
        <w:trPr>
          <w:trHeight w:val="987"/>
        </w:trPr>
        <w:tc>
          <w:tcPr>
            <w:tcW w:w="9212" w:type="dxa"/>
          </w:tcPr>
          <w:p w:rsidR="00315B96" w:rsidRDefault="00315B96" w:rsidP="00217903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315B96" w:rsidRPr="00AA4134" w:rsidRDefault="00315B96" w:rsidP="00217903">
            <w:pPr>
              <w:jc w:val="both"/>
              <w:rPr>
                <w:sz w:val="24"/>
                <w:szCs w:val="24"/>
              </w:rPr>
            </w:pPr>
            <w:r w:rsidRPr="00AA4134">
              <w:rPr>
                <w:sz w:val="24"/>
                <w:szCs w:val="24"/>
              </w:rPr>
              <w:t>Rovnaký ako na všetky ostatné územia.</w:t>
            </w:r>
          </w:p>
        </w:tc>
      </w:tr>
      <w:tr w:rsidR="00315B96" w:rsidRPr="002E32C0" w:rsidTr="00217903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315B96" w:rsidRPr="002E32C0" w:rsidRDefault="00315B96" w:rsidP="00217903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15B96" w:rsidRPr="002E32C0" w:rsidTr="00217903">
        <w:trPr>
          <w:trHeight w:val="969"/>
        </w:trPr>
        <w:tc>
          <w:tcPr>
            <w:tcW w:w="9212" w:type="dxa"/>
          </w:tcPr>
          <w:p w:rsidR="00315B96" w:rsidRDefault="00315B96" w:rsidP="00217903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315B96" w:rsidRPr="00767906" w:rsidRDefault="00315B96" w:rsidP="00217903">
            <w:pPr>
              <w:jc w:val="both"/>
              <w:rPr>
                <w:b/>
                <w:sz w:val="24"/>
                <w:szCs w:val="24"/>
              </w:rPr>
            </w:pPr>
            <w:r w:rsidRPr="00767906">
              <w:rPr>
                <w:sz w:val="24"/>
                <w:szCs w:val="24"/>
              </w:rPr>
              <w:t>Nepredpokladá sa</w:t>
            </w:r>
            <w:r>
              <w:rPr>
                <w:sz w:val="24"/>
                <w:szCs w:val="24"/>
              </w:rPr>
              <w:t>.</w:t>
            </w:r>
          </w:p>
        </w:tc>
      </w:tr>
      <w:tr w:rsidR="00315B96" w:rsidRPr="002E32C0" w:rsidTr="00217903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315B96" w:rsidRPr="002E32C0" w:rsidRDefault="00315B96" w:rsidP="00217903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315B96" w:rsidRPr="002E32C0" w:rsidTr="00217903">
        <w:trPr>
          <w:trHeight w:val="979"/>
        </w:trPr>
        <w:tc>
          <w:tcPr>
            <w:tcW w:w="9212" w:type="dxa"/>
            <w:shd w:val="clear" w:color="auto" w:fill="FFFFFF"/>
          </w:tcPr>
          <w:p w:rsidR="00315B96" w:rsidRPr="00767906" w:rsidRDefault="005D3448" w:rsidP="00217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Väčšia kontrola použitia finančných prostriedkov </w:t>
            </w:r>
            <w:r w:rsidR="00160DED">
              <w:rPr>
                <w:sz w:val="24"/>
                <w:szCs w:val="24"/>
              </w:rPr>
              <w:t xml:space="preserve">– účelovej finančnej rezervy </w:t>
            </w:r>
            <w:r>
              <w:rPr>
                <w:sz w:val="24"/>
                <w:szCs w:val="24"/>
              </w:rPr>
              <w:t xml:space="preserve">za účelom obnovy </w:t>
            </w:r>
            <w:r w:rsidR="00160DED">
              <w:rPr>
                <w:sz w:val="24"/>
                <w:szCs w:val="24"/>
              </w:rPr>
              <w:t xml:space="preserve">existujúcich </w:t>
            </w:r>
            <w:r>
              <w:rPr>
                <w:sz w:val="24"/>
                <w:szCs w:val="24"/>
              </w:rPr>
              <w:t>verejných vodovodov a verejných kanalizácií</w:t>
            </w:r>
            <w:r w:rsidR="00160DED">
              <w:rPr>
                <w:sz w:val="24"/>
                <w:szCs w:val="24"/>
              </w:rPr>
              <w:t xml:space="preserve"> u vlastníkov verejných vodovodov a vlastníkov verejných kanalizácií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15B96" w:rsidRPr="002E32C0" w:rsidRDefault="00315B96" w:rsidP="00315B96">
      <w:pPr>
        <w:jc w:val="center"/>
        <w:rPr>
          <w:b/>
          <w:bCs/>
          <w:sz w:val="28"/>
          <w:szCs w:val="28"/>
        </w:rPr>
      </w:pPr>
    </w:p>
    <w:p w:rsidR="00315B96" w:rsidRPr="002E32C0" w:rsidRDefault="00315B96" w:rsidP="00AB6EBB">
      <w:pPr>
        <w:jc w:val="center"/>
      </w:pPr>
      <w:r w:rsidRPr="002E32C0">
        <w:rPr>
          <w:b/>
          <w:bCs/>
          <w:sz w:val="28"/>
          <w:szCs w:val="28"/>
        </w:rPr>
        <w:br w:type="page"/>
      </w:r>
      <w:r w:rsidR="00AB6EBB" w:rsidRPr="002E32C0">
        <w:lastRenderedPageBreak/>
        <w:t xml:space="preserve"> </w:t>
      </w:r>
    </w:p>
    <w:p w:rsidR="00B23754" w:rsidRDefault="00B23754"/>
    <w:sectPr w:rsidR="00B237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6CE" w:rsidRDefault="009016CE">
      <w:r>
        <w:separator/>
      </w:r>
    </w:p>
  </w:endnote>
  <w:endnote w:type="continuationSeparator" w:id="0">
    <w:p w:rsidR="009016CE" w:rsidRDefault="0090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374EDB" w:rsidRPr="00374EDB" w:rsidRDefault="00B3321F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FC649F">
          <w:rPr>
            <w:noProof/>
            <w:sz w:val="22"/>
          </w:rPr>
          <w:t>1</w:t>
        </w:r>
        <w:r w:rsidRPr="00374EDB">
          <w:rPr>
            <w:sz w:val="22"/>
          </w:rPr>
          <w:fldChar w:fldCharType="end"/>
        </w:r>
      </w:p>
    </w:sdtContent>
  </w:sdt>
  <w:p w:rsidR="00374EDB" w:rsidRDefault="009016C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6CE" w:rsidRDefault="009016CE">
      <w:r>
        <w:separator/>
      </w:r>
    </w:p>
  </w:footnote>
  <w:footnote w:type="continuationSeparator" w:id="0">
    <w:p w:rsidR="009016CE" w:rsidRDefault="0090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DB" w:rsidRDefault="00B3321F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:rsidR="00374EDB" w:rsidRDefault="009016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96"/>
    <w:rsid w:val="0003250F"/>
    <w:rsid w:val="00160DED"/>
    <w:rsid w:val="002B5F8C"/>
    <w:rsid w:val="002D48F8"/>
    <w:rsid w:val="00315B96"/>
    <w:rsid w:val="005D3448"/>
    <w:rsid w:val="005F221E"/>
    <w:rsid w:val="00644DFF"/>
    <w:rsid w:val="00647725"/>
    <w:rsid w:val="0065580D"/>
    <w:rsid w:val="006F18AF"/>
    <w:rsid w:val="0081123B"/>
    <w:rsid w:val="008954F3"/>
    <w:rsid w:val="008A076D"/>
    <w:rsid w:val="009016CE"/>
    <w:rsid w:val="009576F0"/>
    <w:rsid w:val="00AB6EBB"/>
    <w:rsid w:val="00B23754"/>
    <w:rsid w:val="00B25136"/>
    <w:rsid w:val="00B3321F"/>
    <w:rsid w:val="00CB77B3"/>
    <w:rsid w:val="00D76499"/>
    <w:rsid w:val="00DB37C6"/>
    <w:rsid w:val="00E151B7"/>
    <w:rsid w:val="00E47E56"/>
    <w:rsid w:val="00E66A91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AFB49-1B57-4C27-BC99-E3E50600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5B96"/>
    <w:pPr>
      <w:spacing w:after="0" w:line="240" w:lineRule="auto"/>
    </w:pPr>
    <w:rPr>
      <w:rFonts w:eastAsia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15B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B96"/>
    <w:rPr>
      <w:rFonts w:eastAsia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5B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B96"/>
    <w:rPr>
      <w:rFonts w:eastAsia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12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123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Bekerová Lýdia</dc:creator>
  <cp:keywords/>
  <dc:description/>
  <cp:lastModifiedBy>Rozborilová Monika</cp:lastModifiedBy>
  <cp:revision>2</cp:revision>
  <cp:lastPrinted>2021-03-24T11:25:00Z</cp:lastPrinted>
  <dcterms:created xsi:type="dcterms:W3CDTF">2021-08-19T08:09:00Z</dcterms:created>
  <dcterms:modified xsi:type="dcterms:W3CDTF">2021-08-19T08:09:00Z</dcterms:modified>
</cp:coreProperties>
</file>