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53DC3" w:rsidRPr="00F725A1" w:rsidTr="00217903">
        <w:trPr>
          <w:trHeight w:val="567"/>
        </w:trPr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F725A1">
              <w:rPr>
                <w:b/>
                <w:sz w:val="28"/>
              </w:rPr>
              <w:t xml:space="preserve">Analýza vplyvov na podnikateľské prostredie </w:t>
            </w:r>
          </w:p>
          <w:p w:rsidR="00153DC3" w:rsidRPr="00F725A1" w:rsidRDefault="00153DC3" w:rsidP="00217903">
            <w:pPr>
              <w:jc w:val="center"/>
              <w:rPr>
                <w:b/>
              </w:rPr>
            </w:pPr>
            <w:r w:rsidRPr="00F725A1">
              <w:rPr>
                <w:b/>
                <w:sz w:val="24"/>
              </w:rPr>
              <w:t>(vrátane testu MSP)</w:t>
            </w:r>
          </w:p>
        </w:tc>
      </w:tr>
      <w:tr w:rsidR="00153DC3" w:rsidRPr="00F725A1" w:rsidTr="00217903">
        <w:trPr>
          <w:trHeight w:val="567"/>
        </w:trPr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153DC3" w:rsidRPr="00F725A1" w:rsidTr="00217903">
        <w:trPr>
          <w:trHeight w:val="567"/>
        </w:trPr>
        <w:tc>
          <w:tcPr>
            <w:tcW w:w="921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153DC3" w:rsidRPr="00F725A1" w:rsidTr="00217903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jc w:val="center"/>
                  </w:pPr>
                  <w:r w:rsidRPr="00F725A1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rPr>
                      <w:b/>
                    </w:rPr>
                  </w:pPr>
                  <w:r w:rsidRPr="00F725A1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153DC3" w:rsidRPr="00F725A1" w:rsidTr="00217903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jc w:val="center"/>
                  </w:pPr>
                  <w:r w:rsidRPr="00F725A1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rPr>
                      <w:b/>
                    </w:rPr>
                  </w:pPr>
                  <w:r w:rsidRPr="00F725A1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153DC3" w:rsidRPr="00F725A1" w:rsidTr="00217903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pPr>
                    <w:jc w:val="center"/>
                  </w:pPr>
                  <w:r w:rsidRPr="00F725A1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DC3" w:rsidRPr="00F725A1" w:rsidRDefault="00153DC3" w:rsidP="00217903">
                  <w:r w:rsidRPr="00F725A1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153DC3" w:rsidRPr="00F725A1" w:rsidRDefault="00153DC3" w:rsidP="00217903">
            <w:pPr>
              <w:rPr>
                <w:b/>
              </w:rPr>
            </w:pP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3.1 Dotknuté podnikateľské subjekty</w:t>
            </w:r>
          </w:p>
          <w:p w:rsidR="00153DC3" w:rsidRPr="00F725A1" w:rsidRDefault="00153DC3" w:rsidP="00217903">
            <w:pPr>
              <w:ind w:left="284"/>
              <w:rPr>
                <w:b/>
              </w:rPr>
            </w:pPr>
            <w:r w:rsidRPr="00F725A1">
              <w:rPr>
                <w:sz w:val="24"/>
              </w:rPr>
              <w:t xml:space="preserve">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aké podnikateľské subjekty budú predkladaným návrhom ovplyvnené.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Aký je ich počet?</w:t>
            </w:r>
          </w:p>
        </w:tc>
      </w:tr>
      <w:tr w:rsidR="00153DC3" w:rsidRPr="00F725A1" w:rsidTr="00217903">
        <w:trPr>
          <w:trHeight w:val="1440"/>
        </w:trPr>
        <w:tc>
          <w:tcPr>
            <w:tcW w:w="9212" w:type="dxa"/>
          </w:tcPr>
          <w:p w:rsidR="009D6827" w:rsidRPr="00F725A1" w:rsidRDefault="00153DC3" w:rsidP="009D6827">
            <w:pPr>
              <w:jc w:val="both"/>
            </w:pPr>
            <w:r w:rsidRPr="00F725A1">
              <w:t xml:space="preserve">Dotknutými podnikateľskými subjektami budú najmä tie, ktoré </w:t>
            </w:r>
            <w:r w:rsidR="009D6827" w:rsidRPr="00F725A1">
              <w:t>sú vlastníkmi verejných vodovodov a verejných kanalizácií</w:t>
            </w:r>
          </w:p>
          <w:p w:rsidR="00153DC3" w:rsidRPr="00F725A1" w:rsidRDefault="00153DC3" w:rsidP="00263D8E">
            <w:pPr>
              <w:jc w:val="both"/>
              <w:rPr>
                <w:i/>
                <w:u w:val="single"/>
              </w:rPr>
            </w:pPr>
            <w:r w:rsidRPr="00F725A1">
              <w:t>Tiež firmy</w:t>
            </w:r>
            <w:r w:rsidR="00263D8E" w:rsidRPr="00F725A1">
              <w:t xml:space="preserve"> – právnické osoby a fyzické osoby - podnikatelia</w:t>
            </w:r>
            <w:r w:rsidRPr="00F725A1">
              <w:t>, ktor</w:t>
            </w:r>
            <w:r w:rsidR="00263D8E" w:rsidRPr="00F725A1">
              <w:t>í</w:t>
            </w:r>
            <w:r w:rsidRPr="00F725A1">
              <w:t xml:space="preserve"> zavedením nových skutkových podstát správnych deliktov porušia zákon.</w:t>
            </w:r>
          </w:p>
        </w:tc>
      </w:tr>
      <w:tr w:rsidR="00153DC3" w:rsidRPr="00F725A1" w:rsidTr="00217903">
        <w:trPr>
          <w:trHeight w:val="339"/>
        </w:trPr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3.2 Vyhodnotenie konzultácií</w:t>
            </w:r>
          </w:p>
          <w:p w:rsidR="00153DC3" w:rsidRPr="00F725A1" w:rsidRDefault="00153DC3" w:rsidP="00217903">
            <w:pPr>
              <w:rPr>
                <w:b/>
              </w:rPr>
            </w:pPr>
            <w:r w:rsidRPr="00F725A1">
              <w:rPr>
                <w:sz w:val="24"/>
              </w:rPr>
              <w:t xml:space="preserve">      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rPr>
          <w:trHeight w:val="779"/>
        </w:trPr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akou formou (verejné alebo cielené konzultácie a prečo) a s kým bol návrh konzultovaný.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Ako dlho trvali konzultácie?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 xml:space="preserve">Uveďte hlavné body konzultácií a výsledky konzultácií. </w:t>
            </w:r>
          </w:p>
        </w:tc>
      </w:tr>
      <w:tr w:rsidR="00153DC3" w:rsidRPr="00F725A1" w:rsidTr="00217903">
        <w:trPr>
          <w:trHeight w:val="558"/>
        </w:trPr>
        <w:tc>
          <w:tcPr>
            <w:tcW w:w="9212" w:type="dxa"/>
          </w:tcPr>
          <w:p w:rsidR="00153DC3" w:rsidRPr="00F725A1" w:rsidRDefault="00153DC3" w:rsidP="00217903">
            <w:pPr>
              <w:pStyle w:val="Normlnywebov"/>
              <w:spacing w:before="0" w:beforeAutospacing="0" w:after="120" w:afterAutospacing="0"/>
              <w:ind w:firstLine="709"/>
              <w:jc w:val="both"/>
              <w:rPr>
                <w:sz w:val="20"/>
                <w:szCs w:val="20"/>
                <w:lang w:val="sk-SK"/>
              </w:rPr>
            </w:pPr>
            <w:r w:rsidRPr="00F725A1">
              <w:rPr>
                <w:sz w:val="20"/>
                <w:szCs w:val="20"/>
                <w:lang w:val="sk-SK"/>
              </w:rPr>
              <w:t xml:space="preserve">O príprave  návrhu zákona, ktorým sa mení a dopĺňa zákon </w:t>
            </w:r>
            <w:r w:rsidR="009D6827" w:rsidRPr="00F725A1">
              <w:rPr>
                <w:sz w:val="20"/>
                <w:szCs w:val="20"/>
                <w:lang w:val="sk-SK"/>
              </w:rPr>
              <w:t>442/2002 Z. z. o verejných vodovodoch a verejných kanalizáciách a o zmene a doplnení zákona č. 276/2001 Z. z. o regulácii v sieťových odvetviach v znení neskorších predpisov a ktorým sa mení a dopĺňa zákon č.</w:t>
            </w:r>
            <w:r w:rsidRPr="00F725A1">
              <w:rPr>
                <w:sz w:val="20"/>
                <w:szCs w:val="20"/>
                <w:lang w:val="sk-SK"/>
              </w:rPr>
              <w:t xml:space="preserve"> 364/2004 Z. z. o vodách a o zmene zákona Slovenskej národnej rady č. 372/1990 Zb. o priestupkoch v znení neskorších predpisov (vodný zákon) v znení neskorších predpisov bolo informované prostredníctvom portálu Slov-Lex formou Predbežnej informácie ( PI/2017/</w:t>
            </w:r>
            <w:r w:rsidR="0024656E" w:rsidRPr="00F725A1">
              <w:rPr>
                <w:sz w:val="20"/>
                <w:szCs w:val="20"/>
                <w:lang w:val="sk-SK"/>
              </w:rPr>
              <w:t>316</w:t>
            </w:r>
            <w:r w:rsidRPr="00F725A1">
              <w:rPr>
                <w:sz w:val="20"/>
                <w:szCs w:val="20"/>
                <w:lang w:val="sk-SK"/>
              </w:rPr>
              <w:t xml:space="preserve"> zo dňa </w:t>
            </w:r>
            <w:r w:rsidR="0024656E" w:rsidRPr="00F725A1">
              <w:rPr>
                <w:sz w:val="20"/>
                <w:szCs w:val="20"/>
                <w:lang w:val="sk-SK"/>
              </w:rPr>
              <w:t>21</w:t>
            </w:r>
            <w:r w:rsidR="009D6827" w:rsidRPr="00F725A1">
              <w:rPr>
                <w:sz w:val="20"/>
                <w:szCs w:val="20"/>
                <w:lang w:val="sk-SK"/>
              </w:rPr>
              <w:t>.12</w:t>
            </w:r>
            <w:r w:rsidRPr="00F725A1">
              <w:rPr>
                <w:sz w:val="20"/>
                <w:szCs w:val="20"/>
                <w:lang w:val="sk-SK"/>
              </w:rPr>
              <w:t>. 2017)  s možnosťou zapojiť sa do jeho prípravy formou zasielania podnetov alebo návrhov v intenciách vecného zamerania navrhovaného právneho predpisu.</w:t>
            </w:r>
          </w:p>
          <w:p w:rsidR="00153DC3" w:rsidRPr="00F725A1" w:rsidRDefault="00153DC3" w:rsidP="00217903">
            <w:pPr>
              <w:pStyle w:val="Odsekzoznamu"/>
              <w:spacing w:after="12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5A1">
              <w:rPr>
                <w:rFonts w:ascii="Times New Roman" w:hAnsi="Times New Roman"/>
                <w:sz w:val="20"/>
                <w:szCs w:val="20"/>
              </w:rPr>
              <w:t xml:space="preserve">Ministerstvo životného prostredia Slovenskej republiky v zmysle Jednotnej metodiky na posudzovanie vybraných vplyvov dňom uverejnenia predbežnej informácie začalo proces konzultácií s dotknutými podnikateľskými subjektmi v súvislosti s prípravou návrhu zákona, </w:t>
            </w:r>
            <w:r w:rsidR="009D6827" w:rsidRPr="00F725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ktorým sa mení a dopĺňa zákon č. 442/2002 Z. z. </w:t>
            </w:r>
            <w:r w:rsidR="009D6827" w:rsidRPr="00F72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827" w:rsidRPr="00F725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 verejných vodovodoch a verejných kanalizáciách a o zmene a doplnení zákona č. 276/2001 Z. z. o regulácii v sieťových odvetviach v znení neskorších predpisov a </w:t>
            </w:r>
            <w:r w:rsidRPr="00F725A1">
              <w:rPr>
                <w:rFonts w:ascii="Times New Roman" w:hAnsi="Times New Roman"/>
                <w:sz w:val="20"/>
                <w:szCs w:val="20"/>
                <w:lang w:eastAsia="sk-SK"/>
              </w:rPr>
              <w:t>ktorým sa mení a dopĺňa zákon č. 364/2004 Z. z. o vodách a o zmene zákona Slovenskej národnej rady č. 372/1990 Zb. o priestupkoch v znení neskorších predpisov (vodný zákon) v znení neskorších predpisov.</w:t>
            </w:r>
          </w:p>
          <w:p w:rsidR="00153DC3" w:rsidRPr="00F725A1" w:rsidRDefault="00153DC3" w:rsidP="00B04B7E">
            <w:pPr>
              <w:jc w:val="both"/>
            </w:pPr>
            <w:r w:rsidRPr="00F725A1">
              <w:t xml:space="preserve">Do konzultácií sa mohli zapojiť dotknuté subjekty zaslaním pripomienok, návrhov alebo vyjadrení k predmetnému materiálu. Termín ukončenia konzultácií bol </w:t>
            </w:r>
            <w:r w:rsidR="0024656E" w:rsidRPr="00F725A1">
              <w:rPr>
                <w:bCs/>
              </w:rPr>
              <w:t>10</w:t>
            </w:r>
            <w:r w:rsidR="009D6827" w:rsidRPr="00F725A1">
              <w:rPr>
                <w:bCs/>
              </w:rPr>
              <w:t>. januára</w:t>
            </w:r>
            <w:r w:rsidRPr="00F725A1">
              <w:rPr>
                <w:bCs/>
              </w:rPr>
              <w:t> 201</w:t>
            </w:r>
            <w:r w:rsidR="009D6827" w:rsidRPr="00F725A1">
              <w:rPr>
                <w:bCs/>
              </w:rPr>
              <w:t>8</w:t>
            </w:r>
            <w:r w:rsidRPr="00F725A1">
              <w:t>.</w:t>
            </w:r>
            <w:r w:rsidR="009D6827" w:rsidRPr="00F725A1">
              <w:t xml:space="preserve"> </w:t>
            </w:r>
            <w:r w:rsidR="00BB75E1" w:rsidRPr="00F725A1">
              <w:t xml:space="preserve">Svoje návrhy a požiadavky zaslali Slovenský zväz bytových družstiev, Združenie spoločenstiev vlastníkov bytov na Slovensku, Združenie správcov a užívateľov nehnuteľností. Do konzultácií sa aktívne zapojili </w:t>
            </w:r>
            <w:r w:rsidR="009D6827" w:rsidRPr="00F725A1">
              <w:t xml:space="preserve">zástupcovia Asociácie vodárenských spoločností, ktorí sú vlastníci a prevádzkovatelia </w:t>
            </w:r>
            <w:r w:rsidR="002C39B5" w:rsidRPr="00F725A1">
              <w:t xml:space="preserve">väčšiny </w:t>
            </w:r>
            <w:r w:rsidR="009D6827" w:rsidRPr="00F725A1">
              <w:t>verejných vodovodov a verejných kanalizácií</w:t>
            </w:r>
            <w:r w:rsidR="002C39B5" w:rsidRPr="00F725A1">
              <w:t xml:space="preserve"> na Slovensku</w:t>
            </w:r>
            <w:r w:rsidR="00773EBD" w:rsidRPr="00F725A1">
              <w:t xml:space="preserve">, ktorí predložili svoje odborné návrhy a zmeny písomne a následne </w:t>
            </w:r>
            <w:r w:rsidR="00B827D9" w:rsidRPr="00F725A1">
              <w:t>boli vysvetlené a upresnené v rámci viacerých pracovných konzultácií.</w:t>
            </w:r>
            <w:r w:rsidR="00100FF0" w:rsidRPr="00F725A1">
              <w:t xml:space="preserve"> </w:t>
            </w:r>
            <w:r w:rsidR="009607EF" w:rsidRPr="00F725A1">
              <w:t>Následne pokračoval proces návrhu zákona, prešiel MPK, bol v Legislatívnej rade vlády, a v apríli 2019 bol proces dočasne prerušený. Opätovne bol legislatívny proces obnovený v roku 2020, kde b</w:t>
            </w:r>
            <w:r w:rsidR="00844D82" w:rsidRPr="00F725A1">
              <w:t xml:space="preserve">oli doplnené najmä ustanovenia </w:t>
            </w:r>
            <w:r w:rsidR="009607EF" w:rsidRPr="00F725A1">
              <w:t>týkajúce sa vlastníctva verejných vodovodov a verejných kanalizácií aj so zohľadnením odporúčaní NKÚ z novembra 2019.</w:t>
            </w:r>
            <w:r w:rsidR="00D10AB4" w:rsidRPr="00F725A1">
              <w:t xml:space="preserve"> </w:t>
            </w:r>
            <w:r w:rsidR="00F40A19" w:rsidRPr="00F725A1">
              <w:t xml:space="preserve">  </w:t>
            </w: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>3.3 Náklady regulácie</w:t>
            </w:r>
          </w:p>
          <w:p w:rsidR="00153DC3" w:rsidRPr="00F725A1" w:rsidRDefault="00153DC3" w:rsidP="00217903">
            <w:pPr>
              <w:rPr>
                <w:b/>
              </w:rPr>
            </w:pPr>
            <w:r w:rsidRPr="00F725A1">
              <w:rPr>
                <w:sz w:val="24"/>
              </w:rPr>
              <w:t xml:space="preserve">     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b/>
                <w:i/>
              </w:rPr>
            </w:pPr>
            <w:r w:rsidRPr="00F725A1">
              <w:rPr>
                <w:b/>
                <w:i/>
              </w:rPr>
              <w:t>3.3.1 Priame finančné náklady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153DC3" w:rsidRPr="00F725A1" w:rsidTr="00217903">
        <w:tc>
          <w:tcPr>
            <w:tcW w:w="9212" w:type="dxa"/>
          </w:tcPr>
          <w:p w:rsidR="00E30AEE" w:rsidRPr="00F725A1" w:rsidRDefault="00153DC3" w:rsidP="00E30AEE">
            <w:pPr>
              <w:jc w:val="both"/>
            </w:pPr>
            <w:r w:rsidRPr="00F725A1">
              <w:t xml:space="preserve">Rozsah tohto vplyvu </w:t>
            </w:r>
            <w:r w:rsidRPr="00F725A1">
              <w:rPr>
                <w:b/>
              </w:rPr>
              <w:t>nie je možné kvalifikovane ani odhadnúť</w:t>
            </w:r>
            <w:r w:rsidRPr="00F725A1">
              <w:t xml:space="preserve"> pre absenciu </w:t>
            </w:r>
            <w:r w:rsidR="00212C48" w:rsidRPr="00F725A1">
              <w:t xml:space="preserve">časti </w:t>
            </w:r>
            <w:r w:rsidRPr="00F725A1">
              <w:t>relevantných údajov</w:t>
            </w:r>
            <w:r w:rsidR="00100FF0" w:rsidRPr="00F725A1">
              <w:t>, nakoľko nie je možné odhadnúť počet nových žiadateľov o</w:t>
            </w:r>
            <w:r w:rsidR="005E28DA" w:rsidRPr="00F725A1">
              <w:t> pripojenie sa na verejnú kanalizáciu (noví budúci producenti odpadových vôd, ktorým sa budú realizovať zaústenia kanalizačnej prípojky do verejnej kanalizácie)</w:t>
            </w:r>
            <w:r w:rsidR="00212C48" w:rsidRPr="00F725A1">
              <w:t>, najmä od vlastníkov obcí</w:t>
            </w:r>
            <w:r w:rsidRPr="00F725A1">
              <w:t xml:space="preserve">.  </w:t>
            </w:r>
            <w:r w:rsidR="004353D5" w:rsidRPr="00F725A1">
              <w:t xml:space="preserve">Náklady na zaústenie kanalizačnej prípojky na verejnú kanalizáciu </w:t>
            </w:r>
            <w:r w:rsidR="004353D5" w:rsidRPr="00F725A1">
              <w:lastRenderedPageBreak/>
              <w:t xml:space="preserve">kolíšu rôzne v závislosti od miesta realizácie (napr. pod cestou 2. triedy), geologických pomerov, uloženia iných inžinierskych sietí a ďalších faktorov od </w:t>
            </w:r>
            <w:r w:rsidR="00044944" w:rsidRPr="00F725A1">
              <w:t xml:space="preserve">cca </w:t>
            </w:r>
            <w:r w:rsidR="004353D5" w:rsidRPr="00F725A1">
              <w:t>1 </w:t>
            </w:r>
            <w:r w:rsidR="00334ACE" w:rsidRPr="00F725A1">
              <w:t>3</w:t>
            </w:r>
            <w:r w:rsidR="004353D5" w:rsidRPr="00F725A1">
              <w:t>00 € (v menšej obci) do cca 5 000 € (napr. v Bratislave).</w:t>
            </w:r>
            <w:r w:rsidR="001770A8" w:rsidRPr="00F725A1">
              <w:t>Vlastníkmi verejných kanalizácií sú jednak regionálne vodárenské spoločnosti, akciové spoločnosti – 14 veľkých spoločností (ktoré spravujú verejné kanalizácie v </w:t>
            </w:r>
            <w:r w:rsidR="00820117" w:rsidRPr="00F725A1">
              <w:t>720</w:t>
            </w:r>
            <w:r w:rsidR="001770A8" w:rsidRPr="00F725A1">
              <w:t xml:space="preserve"> obciach s počtom obyvateľov pripojených na verejnú kanalizáciu 3 206 582 )  a 44</w:t>
            </w:r>
            <w:r w:rsidR="00820117" w:rsidRPr="00F725A1">
              <w:t>8</w:t>
            </w:r>
            <w:r w:rsidR="001770A8" w:rsidRPr="00F725A1">
              <w:t xml:space="preserve"> obcí, ktoré majú v správe spravidla menšie verejné kanalizácie s počtom obyvateľov pripojených na verejnú kanalizáciu 396</w:t>
            </w:r>
            <w:r w:rsidR="00B50161" w:rsidRPr="00F725A1">
              <w:t> </w:t>
            </w:r>
            <w:r w:rsidR="001770A8" w:rsidRPr="00F725A1">
              <w:t>535</w:t>
            </w:r>
            <w:r w:rsidR="00B50161" w:rsidRPr="00F725A1">
              <w:t xml:space="preserve">. </w:t>
            </w:r>
            <w:r w:rsidR="00BA65C3" w:rsidRPr="00F725A1">
              <w:t xml:space="preserve"> </w:t>
            </w:r>
            <w:r w:rsidR="00950B2F" w:rsidRPr="00F725A1">
              <w:t>R</w:t>
            </w:r>
            <w:r w:rsidR="00BA65C3" w:rsidRPr="00F725A1">
              <w:t>egionáln</w:t>
            </w:r>
            <w:r w:rsidR="00950B2F" w:rsidRPr="00F725A1">
              <w:t>e</w:t>
            </w:r>
            <w:r w:rsidR="00BA65C3" w:rsidRPr="00F725A1">
              <w:t xml:space="preserve"> vodárensk</w:t>
            </w:r>
            <w:r w:rsidR="00950B2F" w:rsidRPr="00F725A1">
              <w:t>é</w:t>
            </w:r>
            <w:r w:rsidR="00BA65C3" w:rsidRPr="00F725A1">
              <w:t xml:space="preserve"> spoločností poskytl</w:t>
            </w:r>
            <w:r w:rsidR="00950B2F" w:rsidRPr="00F725A1">
              <w:t>i</w:t>
            </w:r>
            <w:r w:rsidR="00BA65C3" w:rsidRPr="00F725A1">
              <w:t xml:space="preserve"> „odhadované“ počty potenciálnych zaústení </w:t>
            </w:r>
            <w:r w:rsidR="00950B2F" w:rsidRPr="00F725A1">
              <w:t xml:space="preserve">a </w:t>
            </w:r>
            <w:r w:rsidR="00BA65C3" w:rsidRPr="00F725A1">
              <w:t xml:space="preserve">je </w:t>
            </w:r>
            <w:r w:rsidR="007C1C6C" w:rsidRPr="00F725A1">
              <w:t xml:space="preserve">ich </w:t>
            </w:r>
            <w:r w:rsidR="00BA65C3" w:rsidRPr="00F725A1">
              <w:t>okolo 41 4</w:t>
            </w:r>
            <w:r w:rsidR="00950B2F" w:rsidRPr="00F725A1">
              <w:t>18</w:t>
            </w:r>
            <w:r w:rsidR="00BA65C3" w:rsidRPr="00F725A1">
              <w:t>, pričom územná pôsobnosť týchto  vodárenských  spoločností je veľmi rozdielna, aj počet potenciálnych zaústení je význačne rozdielny – odhad od</w:t>
            </w:r>
            <w:r w:rsidR="007C1C6C" w:rsidRPr="00F725A1">
              <w:t xml:space="preserve"> 0 ks (4 vodárenské spoločnosti – ďalej len „VS, a .s.“), od 50 do 163 ks (8 VS, a. s.), od 1</w:t>
            </w:r>
            <w:r w:rsidR="00212C48" w:rsidRPr="00F725A1">
              <w:t xml:space="preserve"> </w:t>
            </w:r>
            <w:r w:rsidR="007C1C6C" w:rsidRPr="00F725A1">
              <w:t>938 do 3</w:t>
            </w:r>
            <w:r w:rsidR="00212C48" w:rsidRPr="00F725A1">
              <w:t xml:space="preserve"> </w:t>
            </w:r>
            <w:r w:rsidR="007C1C6C" w:rsidRPr="00F725A1">
              <w:t>990 ks (4 VS, a. s.) až po 28 739 ks (u jedinej VS</w:t>
            </w:r>
            <w:r w:rsidR="00E30AEE" w:rsidRPr="00F725A1">
              <w:t>,</w:t>
            </w:r>
            <w:r w:rsidR="007C1C6C" w:rsidRPr="00F725A1">
              <w:t xml:space="preserve"> a</w:t>
            </w:r>
            <w:r w:rsidR="00BA65C3" w:rsidRPr="00F725A1">
              <w:t>.</w:t>
            </w:r>
            <w:r w:rsidR="007C1C6C" w:rsidRPr="00F725A1">
              <w:t xml:space="preserve"> s.)</w:t>
            </w:r>
            <w:r w:rsidR="00E30AEE" w:rsidRPr="00F725A1">
              <w:t>. Týchto potenciálnych 41 418 zaústení by bolo potrebné vybudovať na prevádzkovaných verejných kanalizáciách, ktoré boli vybudované z </w:t>
            </w:r>
            <w:r w:rsidR="00E30AEE" w:rsidRPr="00F725A1">
              <w:rPr>
                <w:u w:val="single"/>
              </w:rPr>
              <w:t>verejných prostriedkov Európskej únie</w:t>
            </w:r>
            <w:r w:rsidR="00BA65C3" w:rsidRPr="00F725A1">
              <w:t xml:space="preserve"> </w:t>
            </w:r>
            <w:r w:rsidR="00E30AEE" w:rsidRPr="00F725A1">
              <w:t xml:space="preserve">a štátneho rozpočtu od roku 2002 (KF 2004 – 2006, OP ŽP 2007 – 2013, OP KŽP 2014 – 2020) a národných verejných prostriedkov z Environmentálneho fondu. </w:t>
            </w:r>
          </w:p>
          <w:p w:rsidR="008D01FC" w:rsidRPr="00F725A1" w:rsidRDefault="00E30AEE" w:rsidP="004137BD">
            <w:pPr>
              <w:jc w:val="both"/>
            </w:pPr>
            <w:r w:rsidRPr="00F725A1">
              <w:t>Ďalšie odhadované zaústenia by bol</w:t>
            </w:r>
            <w:r w:rsidR="00212C48" w:rsidRPr="00F725A1">
              <w:t>o</w:t>
            </w:r>
            <w:r w:rsidRPr="00F725A1">
              <w:t xml:space="preserve"> možné dobudovať na verejných kanalizáciách vybudovaných pred rokom 2002 v počte 48 753 kusov u VS, a. s. Treba však poznamenať, že zaústenia sa podľa návrhu zákona </w:t>
            </w:r>
            <w:r w:rsidR="007C2B08" w:rsidRPr="00F725A1">
              <w:t>(podľa ods. 4 § 42bc návrhu zákon – novela zákona č. 442/2002 Z. z.) budú budovať len vtedy, ak vlastník stavby alebo vlastník pozemku preukáže zriadenie kanalizačnej prípojky</w:t>
            </w:r>
            <w:r w:rsidR="00212C48" w:rsidRPr="00F725A1">
              <w:t xml:space="preserve"> (časť prípojky najmä na vlastnom pozemku žiadateľa o pripojenie až po zaústenie – resp. kanalizačnú domovú šachtu)</w:t>
            </w:r>
            <w:r w:rsidR="007C2B08" w:rsidRPr="00F725A1">
              <w:t xml:space="preserve">, ktorá spĺňa technické podmienky stanovené vlastníkom verejnej kanalizácie a je spôsobilá na pripojenie na zaústenie, a ak vlastník stavby alebo vlastník pozemku </w:t>
            </w:r>
            <w:r w:rsidR="00212C48" w:rsidRPr="00F725A1">
              <w:t xml:space="preserve">(žiadateľ) </w:t>
            </w:r>
            <w:r w:rsidR="007C2B08" w:rsidRPr="00F725A1">
              <w:t>prejaví záujem dohodnúť sa na uzatvorení zmluvy o pripojení s vlastníkom verejnej kanalizácie k dátumu zriadenia zaústenia.</w:t>
            </w:r>
            <w:r w:rsidR="0072236D" w:rsidRPr="00F725A1">
              <w:t xml:space="preserve"> </w:t>
            </w:r>
            <w:r w:rsidR="00212C48" w:rsidRPr="00F725A1">
              <w:t xml:space="preserve">Z uvedeného vyplýva, že počet zaústení nemusí dosiahnuť uvedené počty; t. j. nebudú sa budovať zaústenia na slepo, bez následného využitia. </w:t>
            </w:r>
            <w:r w:rsidR="0072236D" w:rsidRPr="00F725A1">
              <w:t xml:space="preserve">Miera pripojenia producentov </w:t>
            </w:r>
            <w:r w:rsidR="00212C48" w:rsidRPr="00F725A1">
              <w:br/>
            </w:r>
            <w:r w:rsidR="0072236D" w:rsidRPr="00F725A1">
              <w:t xml:space="preserve">na verejné kanalizácie je rôzna v rámci jednotlivých verejných kanalizácií. Je predpoklad, že najmä </w:t>
            </w:r>
            <w:r w:rsidR="00212C48" w:rsidRPr="00F725A1">
              <w:br/>
            </w:r>
            <w:r w:rsidR="0072236D" w:rsidRPr="00F725A1">
              <w:t xml:space="preserve">v aglomeráciách pod 2 000 ekvivalentných obyvateľov sa prevažne budú realizovať zaústenia tam, kde to bude technicky možné a kapacita verejnej kanalizácie to umožní, t. j. menšie obce (zväčša jednoduchšie podmienky na realizáciu zaústení). </w:t>
            </w:r>
            <w:r w:rsidRPr="00F725A1">
              <w:t xml:space="preserve"> </w:t>
            </w:r>
            <w:r w:rsidR="00BA65C3" w:rsidRPr="00F725A1">
              <w:t>Náklady</w:t>
            </w:r>
            <w:r w:rsidR="00757FBE" w:rsidRPr="00F725A1">
              <w:t xml:space="preserve"> na zaústenie </w:t>
            </w:r>
            <w:r w:rsidR="00B02DBF" w:rsidRPr="00F725A1">
              <w:t>sa tiež výrazne líšia v závislosti od miesta realizácie zaústenia, či je to mesto alebo obec, od triedy komunikácie, zemných prác, súvisiacich prác s odvezením výkopu na skládku, projektu dopravného značenia, samotné dopravné značenie, spätnej úpravy povrchu vozovk</w:t>
            </w:r>
            <w:r w:rsidR="008D094E" w:rsidRPr="00F725A1">
              <w:t>y, od miestnych poplatkov a pod.</w:t>
            </w:r>
            <w:r w:rsidR="0016018D" w:rsidRPr="00F725A1">
              <w:t xml:space="preserve"> </w:t>
            </w:r>
            <w:r w:rsidR="0016018D" w:rsidRPr="00F725A1">
              <w:rPr>
                <w:u w:val="single"/>
              </w:rPr>
              <w:t>Príklad</w:t>
            </w:r>
            <w:r w:rsidR="0072236D" w:rsidRPr="00F725A1">
              <w:rPr>
                <w:u w:val="single"/>
              </w:rPr>
              <w:t xml:space="preserve"> č. 1</w:t>
            </w:r>
            <w:r w:rsidR="0016018D" w:rsidRPr="00F725A1">
              <w:rPr>
                <w:u w:val="single"/>
              </w:rPr>
              <w:t>:</w:t>
            </w:r>
            <w:r w:rsidR="004137BD" w:rsidRPr="00F725A1">
              <w:t xml:space="preserve"> orientačné náklady na vybudovanie zaústenia o dĺžke 7 m, ukončenej revíznou šachtou sú 1085,- € bez DPH; s DPH 1302 €. V cene sú náklady na zemné práce, vrátane asfaltovania cesty, materiál plus montáž prípojky DN 160, inžinierska činnosť.</w:t>
            </w:r>
            <w:r w:rsidR="008D01FC" w:rsidRPr="00F725A1">
              <w:t xml:space="preserve"> </w:t>
            </w:r>
          </w:p>
          <w:p w:rsidR="008D01FC" w:rsidRPr="00F725A1" w:rsidRDefault="002D6E68" w:rsidP="004137BD">
            <w:pPr>
              <w:jc w:val="both"/>
              <w:rPr>
                <w:u w:val="single"/>
              </w:rPr>
            </w:pPr>
            <w:r w:rsidRPr="00F725A1">
              <w:rPr>
                <w:u w:val="single"/>
              </w:rPr>
              <w:t>P</w:t>
            </w:r>
            <w:r w:rsidR="008D01FC" w:rsidRPr="00F725A1">
              <w:rPr>
                <w:u w:val="single"/>
              </w:rPr>
              <w:t xml:space="preserve">ríklad </w:t>
            </w:r>
            <w:r w:rsidRPr="00F725A1">
              <w:rPr>
                <w:u w:val="single"/>
              </w:rPr>
              <w:t xml:space="preserve">č. 2 - </w:t>
            </w:r>
            <w:r w:rsidR="008D01FC" w:rsidRPr="00F725A1">
              <w:rPr>
                <w:u w:val="single"/>
              </w:rPr>
              <w:t>náklad</w:t>
            </w:r>
            <w:r w:rsidRPr="00F725A1">
              <w:rPr>
                <w:u w:val="single"/>
              </w:rPr>
              <w:t>y</w:t>
            </w:r>
            <w:r w:rsidR="008D01FC" w:rsidRPr="00F725A1">
              <w:rPr>
                <w:u w:val="single"/>
              </w:rPr>
              <w:t xml:space="preserve"> na zaústenie:</w:t>
            </w:r>
          </w:p>
          <w:p w:rsidR="008D01FC" w:rsidRPr="00F725A1" w:rsidRDefault="008D01FC" w:rsidP="008D01FC">
            <w:pPr>
              <w:jc w:val="both"/>
            </w:pPr>
            <w:r w:rsidRPr="00F725A1">
              <w:t>Priemerné náklady na zaústenie - realizáciu sú cca 150 – 180</w:t>
            </w:r>
            <w:r w:rsidR="0072236D" w:rsidRPr="00F725A1">
              <w:t xml:space="preserve"> </w:t>
            </w:r>
            <w:r w:rsidRPr="00F725A1">
              <w:t>€/m, čo znamená spolu pri dĺ. 7 m cca 1 050 až 1260 €.</w:t>
            </w:r>
          </w:p>
          <w:p w:rsidR="008D01FC" w:rsidRPr="00F725A1" w:rsidRDefault="008D01FC" w:rsidP="008D01FC">
            <w:pPr>
              <w:jc w:val="both"/>
            </w:pPr>
            <w:r w:rsidRPr="00F725A1">
              <w:rPr>
                <w:u w:val="single"/>
              </w:rPr>
              <w:t>Vybavovanie zaústenia – drobná stavba</w:t>
            </w:r>
            <w:r w:rsidRPr="00F725A1">
              <w:t>: projekt - cca 90€ s DPH;  vyjadrenia - 15 – 150 € (plynári pýtajú až 120 €, preto taký rozdiel);  rozkopávky sú rozdielne – podľa príslušného sídla a treba rozlišovať miestne a štátne komunikácie, kde sú značné rozdiely ( cca 50 – 150 €).</w:t>
            </w:r>
          </w:p>
          <w:p w:rsidR="008D01FC" w:rsidRPr="00F725A1" w:rsidRDefault="008D01FC" w:rsidP="008D01FC">
            <w:pPr>
              <w:jc w:val="both"/>
            </w:pPr>
            <w:r w:rsidRPr="00F725A1">
              <w:rPr>
                <w:u w:val="single"/>
              </w:rPr>
              <w:t>Práce na zaústení:</w:t>
            </w:r>
            <w:r w:rsidRPr="00F725A1">
              <w:t xml:space="preserve"> zriadenie zaústenia DN 200 resp. 150 na stoke DN 300 - 500,vrátane súvisiacich prác s odvezením výkopu na skládku, vrátane skúšky vodotesnosti, bez povrchovej úpravy (s celkovým zásypom ryhy štrkopieskom), lôžko + obsyp do 0,4 mm bez revíznej šachty je 130 – 150 €.</w:t>
            </w:r>
          </w:p>
          <w:p w:rsidR="008D01FC" w:rsidRPr="00F725A1" w:rsidRDefault="008D01FC" w:rsidP="008D01FC">
            <w:pPr>
              <w:jc w:val="both"/>
            </w:pPr>
            <w:r w:rsidRPr="00F725A1">
              <w:rPr>
                <w:u w:val="single"/>
              </w:rPr>
              <w:t>Revízna šachta</w:t>
            </w:r>
            <w:r w:rsidR="002D6E68" w:rsidRPr="00F725A1">
              <w:t xml:space="preserve"> (</w:t>
            </w:r>
            <w:r w:rsidRPr="00F725A1">
              <w:t>len ak sa zriaďuje mimo pozemok vlastníka, ktorý  sa ide pripojiť na verejnú kanalizáciu financujú zväčša  VS, a.</w:t>
            </w:r>
            <w:r w:rsidR="002D6E68" w:rsidRPr="00F725A1">
              <w:t xml:space="preserve"> </w:t>
            </w:r>
            <w:r w:rsidRPr="00F725A1">
              <w:t>s.) stojí DN 400  cca 110 € šachta plus 40€ osadenie= 150 €</w:t>
            </w:r>
            <w:r w:rsidR="002D6E68" w:rsidRPr="00F725A1">
              <w:t xml:space="preserve"> nich) (u časti VS, a. s. si tieto kanalizačné šachty financujú žiadatelia o pripojenie;) .</w:t>
            </w:r>
          </w:p>
          <w:p w:rsidR="008D01FC" w:rsidRPr="00F725A1" w:rsidRDefault="008D01FC" w:rsidP="008D01FC">
            <w:pPr>
              <w:jc w:val="both"/>
            </w:pPr>
            <w:r w:rsidRPr="00F725A1">
              <w:t>Odstránenie a likvidácia asfaltov do hr. 100 mm na 1m</w:t>
            </w:r>
            <w:r w:rsidRPr="00F725A1">
              <w:rPr>
                <w:vertAlign w:val="superscript"/>
              </w:rPr>
              <w:t>2</w:t>
            </w:r>
            <w:r w:rsidRPr="00F725A1">
              <w:t xml:space="preserve"> je cca 7 € (1m2 vychádza na 1m zaústenia)</w:t>
            </w:r>
          </w:p>
          <w:p w:rsidR="008D01FC" w:rsidRPr="00F725A1" w:rsidRDefault="008D01FC" w:rsidP="008D01FC">
            <w:pPr>
              <w:jc w:val="both"/>
            </w:pPr>
            <w:r w:rsidRPr="00F725A1">
              <w:t>Odstránenie a likvidácia betónov alebo podkladovej vrstvy do hr. 200 mm je na 1 m</w:t>
            </w:r>
            <w:r w:rsidRPr="00F725A1">
              <w:rPr>
                <w:vertAlign w:val="superscript"/>
              </w:rPr>
              <w:t>2</w:t>
            </w:r>
            <w:r w:rsidRPr="00F725A1">
              <w:t xml:space="preserve"> cca 12 €</w:t>
            </w:r>
          </w:p>
          <w:p w:rsidR="008D01FC" w:rsidRPr="00F725A1" w:rsidRDefault="008D01FC" w:rsidP="008D01FC">
            <w:pPr>
              <w:jc w:val="both"/>
            </w:pPr>
            <w:r w:rsidRPr="00F725A1">
              <w:t>Znovuzriadenie asfaltov do hr. 100 mm je na 1 m</w:t>
            </w:r>
            <w:r w:rsidRPr="00F725A1">
              <w:rPr>
                <w:vertAlign w:val="superscript"/>
              </w:rPr>
              <w:t>2</w:t>
            </w:r>
            <w:r w:rsidRPr="00F725A1">
              <w:t xml:space="preserve"> cca 22 €. Znovuzriadenie betónov do hr. 150 mm je na 1 m</w:t>
            </w:r>
            <w:r w:rsidRPr="00F725A1">
              <w:rPr>
                <w:vertAlign w:val="superscript"/>
              </w:rPr>
              <w:t>2</w:t>
            </w:r>
            <w:r w:rsidRPr="00F725A1">
              <w:t>.</w:t>
            </w:r>
          </w:p>
          <w:p w:rsidR="008D01FC" w:rsidRPr="00F725A1" w:rsidRDefault="002D6E68" w:rsidP="004137BD">
            <w:pPr>
              <w:jc w:val="both"/>
            </w:pPr>
            <w:r w:rsidRPr="00F725A1">
              <w:t>Teda celková cena zaústenia  je vrátane kanalizačnej revíznej šachty 1 200 € až 1 410 €.</w:t>
            </w:r>
          </w:p>
          <w:p w:rsidR="0067343A" w:rsidRDefault="00757FBE" w:rsidP="00B24D82">
            <w:pPr>
              <w:jc w:val="both"/>
            </w:pPr>
            <w:r w:rsidRPr="00F725A1">
              <w:t>Je potrebné uviesť, že v</w:t>
            </w:r>
            <w:r w:rsidR="00A13C33" w:rsidRPr="00F725A1">
              <w:t> aglomeráciách nad 2 000 ekvivalentných obyvateľov boli zaústenia (odbočenia) budované v rámci projektov spolufinancovaných z EÚ prostriedkov z operačných programov</w:t>
            </w:r>
            <w:r w:rsidR="00334ACE" w:rsidRPr="00F725A1">
              <w:t>: OP Životné prostredie</w:t>
            </w:r>
            <w:r w:rsidR="00A13C33" w:rsidRPr="00F725A1">
              <w:t xml:space="preserve"> v rokoch 2007 – 2013 a </w:t>
            </w:r>
            <w:r w:rsidR="00334ACE" w:rsidRPr="00F725A1">
              <w:t>od</w:t>
            </w:r>
            <w:r w:rsidR="00A13C33" w:rsidRPr="00F725A1">
              <w:t xml:space="preserve"> roku 2014</w:t>
            </w:r>
            <w:r w:rsidR="00334ACE" w:rsidRPr="00F725A1">
              <w:t xml:space="preserve"> v rámci OP Kvalita životné prostredia </w:t>
            </w:r>
            <w:r w:rsidR="00BA006B" w:rsidRPr="00F725A1">
              <w:t xml:space="preserve">2014 – 2020, </w:t>
            </w:r>
            <w:r w:rsidR="001B0DE1" w:rsidRPr="00F725A1">
              <w:t xml:space="preserve">takmer nad 90 % </w:t>
            </w:r>
            <w:r w:rsidR="0072236D" w:rsidRPr="00F725A1">
              <w:t>, tiež aj v rámci stavieb spolufinancovaných z Environmentálneho fondu</w:t>
            </w:r>
            <w:r w:rsidR="00A13C33" w:rsidRPr="00F725A1">
              <w:t xml:space="preserve">. </w:t>
            </w:r>
          </w:p>
          <w:p w:rsidR="0067343A" w:rsidRDefault="00E908AA" w:rsidP="00B24D82">
            <w:pPr>
              <w:jc w:val="both"/>
            </w:pPr>
            <w:r w:rsidRPr="00E908AA">
              <w:t>Úrad pre reguláciu sieťových odvetví na základe tohto návrhu zákona (vo vzťahu na zaústenie</w:t>
            </w:r>
            <w:r>
              <w:t xml:space="preserve"> - § 4 ods. 2 a § 16 ods. 1 písm. j) </w:t>
            </w:r>
            <w:r w:rsidRPr="00E908AA">
              <w:t>, ktoré má povinnosť zabezpečiť jeho vybudovanie vlastník verejnej kanalizácie</w:t>
            </w:r>
            <w:r>
              <w:t xml:space="preserve">, </w:t>
            </w:r>
            <w:r w:rsidRPr="00E908AA">
              <w:t xml:space="preserve">ide zaviesť </w:t>
            </w:r>
            <w:r>
              <w:t xml:space="preserve">v rámci zákona č.250/2012 Z. z. (čl. III návrhu zákona)  a </w:t>
            </w:r>
            <w:r w:rsidRPr="00E908AA">
              <w:t xml:space="preserve">v rámci pripravovanej Regulačnej politiky (ktorá má byť schválená do marca 2022) pripojovací poplatok, ktorý bude úrad regulovať. Podrobnosti o výpočte pripojovacieho poplatku budú uvedené vo vyhláške ÚRSO (ktorá nadobudne účinnosť od 1.1.2023, zverejnená bude na jeseň 2022) - (upravené v článku III návrhu zákona). Z uvedeného dôvodu sa posúva aj účinnosť povinnosti vlastníka verejnej kanalizácie - budovanie „zaústení“ kanalizačnej prípojky na verejnú kanalizáciu (§ 4 ods. 2 a súvisiace ustanovenia)– od 1.1.2023. Predpokladáme, že touto úpravou sa rozdelia náklady na </w:t>
            </w:r>
            <w:r w:rsidRPr="00E908AA">
              <w:lastRenderedPageBreak/>
              <w:t>zaústenie na verejnú kanalizáciu medzi producenta a vlastníka verejnej kanalizácie. Tým bude aj menší dopad na vlastníkov verejnej kanalizácie.</w:t>
            </w:r>
          </w:p>
          <w:p w:rsidR="00153DC3" w:rsidRPr="00F725A1" w:rsidRDefault="00044944" w:rsidP="00B24D82">
            <w:pPr>
              <w:jc w:val="both"/>
              <w:rPr>
                <w:b/>
                <w:i/>
              </w:rPr>
            </w:pPr>
            <w:r w:rsidRPr="00F725A1">
              <w:t xml:space="preserve">Pripojením nových producentov odpadových vôd na verejnú kanalizáciu sa dosiahne efektívne využitie </w:t>
            </w:r>
            <w:r w:rsidR="004137BD" w:rsidRPr="00F725A1">
              <w:t xml:space="preserve">vybudovanej verejnej kanalizácie </w:t>
            </w:r>
            <w:r w:rsidRPr="00F725A1">
              <w:t>a zvyčajne aj zlepšenie prevádzky na čistiarni odpadových vôd.</w:t>
            </w:r>
            <w:r w:rsidR="002C65D6" w:rsidRPr="00F725A1">
              <w:t xml:space="preserve"> </w:t>
            </w:r>
            <w:r w:rsidR="00334ACE" w:rsidRPr="00F725A1">
              <w:t xml:space="preserve">Má to významný pozitívny vplyv na </w:t>
            </w:r>
            <w:r w:rsidR="004137BD" w:rsidRPr="00F725A1">
              <w:t xml:space="preserve">ochranu </w:t>
            </w:r>
            <w:r w:rsidR="00334ACE" w:rsidRPr="00F725A1">
              <w:t>kvalit</w:t>
            </w:r>
            <w:r w:rsidR="004137BD" w:rsidRPr="00F725A1">
              <w:t>y</w:t>
            </w:r>
            <w:r w:rsidR="00334ACE" w:rsidRPr="00F725A1">
              <w:t xml:space="preserve"> podzemných a povrchových vôd v danej obci, oblasti, ak budú odpadové vody odvádzané stokovou sieťou a následne čistené v čistiarni odpadových vôd. V opačnom prípade, ak sa budú i naďalej používať žumpy (často už netesné), bude ohrozovaná kvalita podzemných vôd, ktorú v menších obciach občania často využívajú na individuálne zásobovanie z vlastných domových studní</w:t>
            </w:r>
            <w:r w:rsidR="0072236D" w:rsidRPr="00F725A1">
              <w:t xml:space="preserve"> na pitné účely</w:t>
            </w:r>
            <w:r w:rsidR="00334ACE" w:rsidRPr="00F725A1">
              <w:t>.</w:t>
            </w:r>
            <w:r w:rsidR="00B02DBF" w:rsidRPr="00F725A1">
              <w:t xml:space="preserve"> </w:t>
            </w:r>
            <w:r w:rsidR="0072236D" w:rsidRPr="00F725A1">
              <w:t xml:space="preserve">Vo väčšine individuálnych studní sa rozbormi </w:t>
            </w:r>
            <w:r w:rsidR="006277CE" w:rsidRPr="00F725A1">
              <w:t xml:space="preserve">podzemnej </w:t>
            </w:r>
            <w:r w:rsidR="0072236D" w:rsidRPr="00F725A1">
              <w:t xml:space="preserve">vody </w:t>
            </w:r>
            <w:r w:rsidR="006277CE" w:rsidRPr="00F725A1">
              <w:t>preukazuje prekročenie mikrobiologických ukazovateľov sú to najmä</w:t>
            </w:r>
            <w:r w:rsidR="0072236D" w:rsidRPr="00F725A1">
              <w:t xml:space="preserve"> koliformné bakteriálne </w:t>
            </w:r>
            <w:r w:rsidR="006277CE" w:rsidRPr="00F725A1">
              <w:t>a kultivovateľné mikroorganizmy (pochádzajúce únikom splaškových odpadových vôd z netesných žúmp nepriamo cez podložie do podzemných vôd), čím je ohrozené zdravie obyvateľov a táto voda nespĺňa ukazovatele na ľudskú potrebu. Preto je cieľom tejto úpravy chrániť kvalitu podzemných vôd aj povrchových vôd a zdravie obyvateľov.</w:t>
            </w:r>
            <w:r w:rsidR="00B24D82" w:rsidRPr="00F725A1">
              <w:t xml:space="preserve"> Ministerstvo má</w:t>
            </w:r>
            <w:r w:rsidR="006277CE" w:rsidRPr="00F725A1">
              <w:t xml:space="preserve"> </w:t>
            </w:r>
            <w:r w:rsidR="00B24D82" w:rsidRPr="00F725A1">
              <w:t>záujem, aby majetok, či už verejné vodovody alebo verejné kanalizácie, bol využívaný v čo najväčšej miere, ináč sú to verejné finančné prostriedky  zakopané do zeme bez úžitku.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b/>
                <w:i/>
              </w:rPr>
            </w:pPr>
            <w:r w:rsidRPr="00F725A1">
              <w:rPr>
                <w:b/>
                <w:i/>
              </w:rPr>
              <w:lastRenderedPageBreak/>
              <w:t>3.3.2 Nepriame finančné náklady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153DC3" w:rsidRPr="00F725A1" w:rsidTr="00217903">
        <w:tc>
          <w:tcPr>
            <w:tcW w:w="9212" w:type="dxa"/>
            <w:vAlign w:val="center"/>
          </w:tcPr>
          <w:p w:rsidR="00153DC3" w:rsidRPr="00F725A1" w:rsidRDefault="00153DC3" w:rsidP="00217903">
            <w:pPr>
              <w:rPr>
                <w:b/>
                <w:i/>
                <w:sz w:val="22"/>
              </w:rPr>
            </w:pPr>
            <w:r w:rsidRPr="00F725A1">
              <w:t>Návrh si nevyžaduje dodatočné náklady v súvislosti so zamestnávaním</w:t>
            </w:r>
            <w:r w:rsidRPr="00F725A1">
              <w:rPr>
                <w:sz w:val="22"/>
              </w:rPr>
              <w:t>.</w:t>
            </w:r>
          </w:p>
          <w:p w:rsidR="00153DC3" w:rsidRPr="00F725A1" w:rsidRDefault="00153DC3" w:rsidP="00217903">
            <w:pPr>
              <w:rPr>
                <w:b/>
                <w:i/>
                <w:sz w:val="22"/>
              </w:rPr>
            </w:pP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b/>
                <w:i/>
              </w:rPr>
            </w:pPr>
            <w:r w:rsidRPr="00F725A1">
              <w:rPr>
                <w:b/>
                <w:i/>
              </w:rPr>
              <w:t>3.3.3 Administratívne náklady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153DC3" w:rsidRPr="00F725A1" w:rsidTr="00217903">
        <w:trPr>
          <w:trHeight w:val="703"/>
        </w:trPr>
        <w:tc>
          <w:tcPr>
            <w:tcW w:w="9212" w:type="dxa"/>
            <w:vAlign w:val="center"/>
          </w:tcPr>
          <w:p w:rsidR="00153DC3" w:rsidRPr="00F725A1" w:rsidRDefault="00153DC3" w:rsidP="004A3CAD">
            <w:pPr>
              <w:jc w:val="both"/>
              <w:rPr>
                <w:b/>
                <w:i/>
              </w:rPr>
            </w:pPr>
            <w:r w:rsidRPr="00F725A1">
              <w:t xml:space="preserve">Návrh nevyvoláva </w:t>
            </w:r>
            <w:r w:rsidR="007577CC" w:rsidRPr="00F725A1">
              <w:t xml:space="preserve">priame významné </w:t>
            </w:r>
            <w:r w:rsidRPr="00F725A1">
              <w:t>zvýšenie administratívnych nákladov zamestnávateľov</w:t>
            </w:r>
            <w:r w:rsidR="007577CC" w:rsidRPr="00F725A1">
              <w:t xml:space="preserve"> (vlastníkov verejných vodovodov alebo verejných kanalizácií) v súvislosti </w:t>
            </w:r>
            <w:r w:rsidR="007577CC" w:rsidRPr="00F725A1">
              <w:rPr>
                <w:u w:val="single"/>
              </w:rPr>
              <w:t xml:space="preserve">s obnovou verejného vodovodu alebo verejnej kanalizácie. </w:t>
            </w:r>
            <w:r w:rsidR="007577CC" w:rsidRPr="00F725A1">
              <w:t xml:space="preserve">Vlastníci týchto inžinierskych sietí už majú vypracovaný plán obnovy existujúceho majetku, ktorý priebežne aktualizujú a teraz sa im ukladá povinnosť </w:t>
            </w:r>
            <w:r w:rsidR="00D5028E" w:rsidRPr="00F725A1">
              <w:t>pre ministerstvo</w:t>
            </w:r>
            <w:r w:rsidR="00BD694A" w:rsidRPr="00F725A1">
              <w:t>, alebo okresnému úradu</w:t>
            </w:r>
            <w:r w:rsidR="007577CC" w:rsidRPr="00F725A1">
              <w:t xml:space="preserve"> preukazovanie použitia </w:t>
            </w:r>
            <w:r w:rsidR="009607EF" w:rsidRPr="00F725A1">
              <w:t xml:space="preserve">účelovej finančnej </w:t>
            </w:r>
            <w:r w:rsidR="007577CC" w:rsidRPr="00F725A1">
              <w:t>rezervy na obnovu</w:t>
            </w:r>
            <w:r w:rsidR="008B35A3" w:rsidRPr="00F725A1">
              <w:t xml:space="preserve"> verejných vodovodov a verejných kanalizácií</w:t>
            </w:r>
            <w:r w:rsidR="007577CC" w:rsidRPr="00F725A1">
              <w:t xml:space="preserve">. </w:t>
            </w:r>
            <w:r w:rsidR="00BD694A" w:rsidRPr="00F725A1">
              <w:t xml:space="preserve">Tieto údaje už aj dnes sledujú </w:t>
            </w:r>
            <w:r w:rsidR="004A3CAD" w:rsidRPr="00F725A1">
              <w:t>všetky</w:t>
            </w:r>
            <w:r w:rsidR="00D5028E" w:rsidRPr="00F725A1">
              <w:t xml:space="preserve"> vodárenské spoločnosti (avšak vlastníci napr. developeri tieto prostriedky neakumulujú na obnovu, tiež ani väčšina obcí, ktoré sú vlastníkmi sietí ale prostriedky použijú na iný účel v obci – nie späť do sietí) </w:t>
            </w:r>
            <w:r w:rsidR="00BD694A" w:rsidRPr="00F725A1">
              <w:t xml:space="preserve">a vyhodnocujú ich v rámci svojich </w:t>
            </w:r>
            <w:r w:rsidR="007F0FF9" w:rsidRPr="00F725A1">
              <w:t xml:space="preserve">vodárenských </w:t>
            </w:r>
            <w:r w:rsidR="00BD694A" w:rsidRPr="00F725A1">
              <w:t>spoločností</w:t>
            </w:r>
            <w:r w:rsidR="007F0FF9" w:rsidRPr="00F725A1">
              <w:t xml:space="preserve"> – najmä jednak v investičných plánoch </w:t>
            </w:r>
            <w:r w:rsidR="004A3CAD" w:rsidRPr="00F725A1">
              <w:t xml:space="preserve">a poskytujú ich </w:t>
            </w:r>
            <w:r w:rsidR="007F0FF9" w:rsidRPr="00F725A1">
              <w:t xml:space="preserve">aj pre Úrad pre reguláciu sieťových odvetví, kde hlásia opravy a rekonštrukcie existujúcich objektov verejných vodovodov a verejných kanalizácií (pri </w:t>
            </w:r>
            <w:r w:rsidR="004A3CAD" w:rsidRPr="00F725A1">
              <w:t xml:space="preserve">predkladaní cenového </w:t>
            </w:r>
            <w:r w:rsidR="007F0FF9" w:rsidRPr="00F725A1">
              <w:t xml:space="preserve">návrhu </w:t>
            </w:r>
            <w:r w:rsidR="004A3CAD" w:rsidRPr="00F725A1">
              <w:t>na nasledujúce obdobie, resp. pri zmene cenových návrhov</w:t>
            </w:r>
            <w:r w:rsidR="007F0FF9" w:rsidRPr="00F725A1">
              <w:t>)</w:t>
            </w:r>
            <w:r w:rsidR="00BD694A" w:rsidRPr="00F725A1">
              <w:t xml:space="preserve">. </w:t>
            </w:r>
            <w:r w:rsidR="007F0FF9" w:rsidRPr="00F725A1">
              <w:t xml:space="preserve">Presne nie je možné vyčísliť tieto administratívne náklady, ktoré </w:t>
            </w:r>
            <w:r w:rsidR="004A3CAD" w:rsidRPr="00F725A1">
              <w:t xml:space="preserve">však </w:t>
            </w:r>
            <w:r w:rsidR="007F0FF9" w:rsidRPr="00F725A1">
              <w:t xml:space="preserve">budú minimálne, podľa vyššie uvedeného, už sledovania finančných výdavkov na obnovu („opravy“ – napríklad výmena </w:t>
            </w:r>
            <w:r w:rsidR="004A3CAD" w:rsidRPr="00F725A1">
              <w:t xml:space="preserve">časti </w:t>
            </w:r>
            <w:r w:rsidR="007F0FF9" w:rsidRPr="00F725A1">
              <w:t>vodovodného potrubia alebo kanalizačného potrubia alebo iných objektov na sieti alebo ich rekonštrukcie</w:t>
            </w:r>
            <w:r w:rsidR="00B91DF5" w:rsidRPr="00F725A1">
              <w:t>)</w:t>
            </w:r>
            <w:r w:rsidR="00C037A8" w:rsidRPr="00F725A1">
              <w:t xml:space="preserve"> vodárenskými spoločnosťami</w:t>
            </w:r>
            <w:r w:rsidR="004A3CAD" w:rsidRPr="00F725A1">
              <w:t>, resp. ostatnými vlastníkmi verejných vodovodov alebo verejných kanalizácií</w:t>
            </w:r>
            <w:r w:rsidR="007F0FF9" w:rsidRPr="00F725A1">
              <w:t>.</w:t>
            </w:r>
            <w:r w:rsidR="008B35A3" w:rsidRPr="00F725A1">
              <w:t xml:space="preserve"> </w:t>
            </w:r>
          </w:p>
        </w:tc>
      </w:tr>
      <w:tr w:rsidR="00153DC3" w:rsidRPr="00F725A1" w:rsidTr="00217903">
        <w:trPr>
          <w:trHeight w:val="2318"/>
        </w:trPr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b/>
                <w:i/>
              </w:rPr>
              <w:t>3.3.4 Súhrnná tabuľka nákladov regulácie</w:t>
            </w:r>
          </w:p>
          <w:p w:rsidR="00153DC3" w:rsidRPr="00F725A1" w:rsidRDefault="00153DC3" w:rsidP="00217903">
            <w:pPr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8"/>
              <w:gridCol w:w="2945"/>
              <w:gridCol w:w="2943"/>
            </w:tblGrid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Náklady na 1 podnikateľa v eurách ročne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Náklady na celé podnikateľské prostredie v eurách</w:t>
                  </w: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537467" w:rsidP="0015702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 xml:space="preserve">Nie je možné kvantifikovať na </w:t>
                  </w:r>
                  <w:r w:rsidR="00157023" w:rsidRPr="00F725A1">
                    <w:rPr>
                      <w:i/>
                      <w:sz w:val="22"/>
                    </w:rPr>
                    <w:t>všetky</w:t>
                  </w:r>
                  <w:r w:rsidRPr="00F725A1">
                    <w:rPr>
                      <w:i/>
                      <w:sz w:val="22"/>
                    </w:rPr>
                    <w:t xml:space="preserve"> vodárenské spoločnosti</w:t>
                  </w:r>
                  <w:r w:rsidR="00A0337E" w:rsidRPr="00F725A1">
                    <w:rPr>
                      <w:i/>
                      <w:sz w:val="22"/>
                    </w:rPr>
                    <w:t xml:space="preserve"> (VS,.); uvádzam</w:t>
                  </w:r>
                  <w:r w:rsidR="00E21052" w:rsidRPr="00F725A1">
                    <w:rPr>
                      <w:i/>
                      <w:sz w:val="22"/>
                    </w:rPr>
                    <w:t>e</w:t>
                  </w:r>
                  <w:r w:rsidR="00A0337E" w:rsidRPr="00F725A1">
                    <w:rPr>
                      <w:i/>
                      <w:sz w:val="22"/>
                    </w:rPr>
                    <w:t xml:space="preserve"> príklad </w:t>
                  </w:r>
                  <w:r w:rsidR="00E21052" w:rsidRPr="00F725A1">
                    <w:rPr>
                      <w:i/>
                      <w:sz w:val="22"/>
                    </w:rPr>
                    <w:t xml:space="preserve">nákladov </w:t>
                  </w:r>
                  <w:r w:rsidR="00A0337E" w:rsidRPr="00F725A1">
                    <w:rPr>
                      <w:i/>
                      <w:sz w:val="22"/>
                    </w:rPr>
                    <w:t>pre jednu VS, 3,519</w:t>
                  </w:r>
                  <w:r w:rsidR="00E21052" w:rsidRPr="00F725A1">
                    <w:rPr>
                      <w:i/>
                      <w:sz w:val="22"/>
                    </w:rPr>
                    <w:t>*</w:t>
                  </w:r>
                  <w:r w:rsidR="00E21052" w:rsidRPr="00F725A1">
                    <w:rPr>
                      <w:i/>
                      <w:sz w:val="22"/>
                      <w:vertAlign w:val="superscript"/>
                    </w:rPr>
                    <w:t>1</w:t>
                  </w:r>
                  <w:r w:rsidR="00A0337E" w:rsidRPr="00F725A1">
                    <w:rPr>
                      <w:i/>
                      <w:sz w:val="22"/>
                    </w:rPr>
                    <w:t xml:space="preserve"> mil. € pre aglomerácie nad 2 000 EO </w:t>
                  </w:r>
                  <w:r w:rsidR="00E21052" w:rsidRPr="00F725A1">
                    <w:rPr>
                      <w:i/>
                      <w:sz w:val="22"/>
                    </w:rPr>
                    <w:t>(vybudované z Európskych fondov) 0,61*</w:t>
                  </w:r>
                  <w:r w:rsidR="00E21052" w:rsidRPr="00F725A1">
                    <w:rPr>
                      <w:i/>
                      <w:sz w:val="22"/>
                      <w:vertAlign w:val="superscript"/>
                    </w:rPr>
                    <w:t>1</w:t>
                  </w:r>
                  <w:r w:rsidR="00E21052" w:rsidRPr="00F725A1">
                    <w:rPr>
                      <w:i/>
                      <w:sz w:val="22"/>
                    </w:rPr>
                    <w:t xml:space="preserve"> mil. € pre verejné kanalizácie vybudované pred r. 2002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AF1A18" w:rsidP="0015702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Nie je možné kvantifikovať</w:t>
                  </w:r>
                  <w:r w:rsidR="00157023" w:rsidRPr="00F725A1">
                    <w:rPr>
                      <w:i/>
                      <w:sz w:val="22"/>
                    </w:rPr>
                    <w:t xml:space="preserve"> celkové náklady, nakoľko nie sú dostupné všetky potrebné údaje – len odhadom pre väčšiu časť VS:</w:t>
                  </w:r>
                </w:p>
                <w:p w:rsidR="00157023" w:rsidRPr="00F725A1" w:rsidRDefault="00157023" w:rsidP="0015702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127,141 mil. €*</w:t>
                  </w:r>
                  <w:r w:rsidRPr="00F725A1">
                    <w:rPr>
                      <w:i/>
                      <w:sz w:val="22"/>
                      <w:vertAlign w:val="superscript"/>
                    </w:rPr>
                    <w:t>1</w:t>
                  </w: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jc w:val="center"/>
                    <w:rPr>
                      <w:i/>
                      <w:sz w:val="22"/>
                    </w:rPr>
                  </w:pP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Administratívne náklad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537467" w:rsidP="00537467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Nie je možné kvantifikovať na jednotlivé vodárenské spoločnosti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AF1A18" w:rsidP="00217903">
                  <w:pPr>
                    <w:jc w:val="center"/>
                    <w:rPr>
                      <w:i/>
                      <w:sz w:val="22"/>
                    </w:rPr>
                  </w:pPr>
                  <w:r w:rsidRPr="00F725A1">
                    <w:rPr>
                      <w:i/>
                      <w:sz w:val="22"/>
                    </w:rPr>
                    <w:t>Nie je možné kvantifikovať</w:t>
                  </w:r>
                </w:p>
              </w:tc>
            </w:tr>
            <w:tr w:rsidR="00153DC3" w:rsidRPr="00F725A1" w:rsidTr="00217903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53DC3" w:rsidP="00217903">
                  <w:pPr>
                    <w:rPr>
                      <w:b/>
                      <w:i/>
                      <w:sz w:val="22"/>
                    </w:rPr>
                  </w:pPr>
                  <w:r w:rsidRPr="00F725A1">
                    <w:rPr>
                      <w:b/>
                      <w:i/>
                      <w:sz w:val="22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B04F3" w:rsidP="00217903">
                  <w:pPr>
                    <w:jc w:val="center"/>
                    <w:rPr>
                      <w:b/>
                      <w:i/>
                      <w:sz w:val="22"/>
                      <w:vertAlign w:val="superscript"/>
                    </w:rPr>
                  </w:pPr>
                  <w:r w:rsidRPr="00F725A1">
                    <w:rPr>
                      <w:b/>
                      <w:i/>
                      <w:sz w:val="22"/>
                    </w:rPr>
                    <w:t>4,129 mil. €*</w:t>
                  </w:r>
                  <w:r w:rsidRPr="00F725A1">
                    <w:rPr>
                      <w:b/>
                      <w:i/>
                      <w:sz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3DC3" w:rsidRPr="00F725A1" w:rsidRDefault="001B04F3" w:rsidP="00217903">
                  <w:pPr>
                    <w:jc w:val="center"/>
                    <w:rPr>
                      <w:b/>
                      <w:i/>
                      <w:sz w:val="22"/>
                      <w:vertAlign w:val="superscript"/>
                    </w:rPr>
                  </w:pPr>
                  <w:r w:rsidRPr="00F725A1">
                    <w:rPr>
                      <w:b/>
                      <w:i/>
                      <w:sz w:val="22"/>
                    </w:rPr>
                    <w:t>127,141 mil. €</w:t>
                  </w:r>
                  <w:r w:rsidRPr="00F725A1">
                    <w:rPr>
                      <w:b/>
                      <w:i/>
                      <w:sz w:val="22"/>
                      <w:vertAlign w:val="superscript"/>
                    </w:rPr>
                    <w:t>*1</w:t>
                  </w:r>
                </w:p>
              </w:tc>
            </w:tr>
          </w:tbl>
          <w:p w:rsidR="00153DC3" w:rsidRPr="00F725A1" w:rsidRDefault="00153DC3" w:rsidP="00217903">
            <w:pPr>
              <w:rPr>
                <w:i/>
              </w:rPr>
            </w:pPr>
          </w:p>
          <w:p w:rsidR="00153DC3" w:rsidRPr="00E908AA" w:rsidRDefault="00153DC3" w:rsidP="00452E93">
            <w:pPr>
              <w:pStyle w:val="Odsekzoznamu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E908AA">
              <w:rPr>
                <w:rFonts w:ascii="Times New Roman" w:hAnsi="Times New Roman"/>
              </w:rPr>
              <w:t>nie je možné kvantifikovať</w:t>
            </w:r>
            <w:r w:rsidR="00E908AA">
              <w:rPr>
                <w:rFonts w:ascii="Times New Roman" w:hAnsi="Times New Roman"/>
              </w:rPr>
              <w:t xml:space="preserve"> celkové náklady</w:t>
            </w:r>
            <w:r w:rsidR="00E908AA" w:rsidRPr="00E908AA">
              <w:rPr>
                <w:rFonts w:ascii="Times New Roman" w:hAnsi="Times New Roman"/>
              </w:rPr>
              <w:t>; Celkové náklady budú nižšie, z dôvodu zavedenia pripojovacieho poplatku, ktorý bude regulovať URS</w:t>
            </w:r>
            <w:r w:rsidR="00E908AA">
              <w:rPr>
                <w:rFonts w:ascii="Times New Roman" w:hAnsi="Times New Roman"/>
              </w:rPr>
              <w:t>O (</w:t>
            </w:r>
            <w:r w:rsidR="00E908AA" w:rsidRPr="00E908AA">
              <w:rPr>
                <w:rFonts w:ascii="Times New Roman" w:hAnsi="Times New Roman"/>
              </w:rPr>
              <w:t>a hradiť žiadateľ o pripojenie). Náklady na budovanie zaústení sa týmto návrhom rozložia.</w:t>
            </w:r>
            <w:r w:rsidR="00E908AA">
              <w:rPr>
                <w:rFonts w:ascii="Times New Roman" w:hAnsi="Times New Roman"/>
              </w:rPr>
              <w:t xml:space="preserve"> </w:t>
            </w:r>
            <w:r w:rsidR="00452E93">
              <w:rPr>
                <w:rFonts w:ascii="Times New Roman" w:hAnsi="Times New Roman"/>
              </w:rPr>
              <w:t xml:space="preserve">Budú budované </w:t>
            </w:r>
            <w:r w:rsidR="006C65EF">
              <w:rPr>
                <w:rFonts w:ascii="Times New Roman" w:hAnsi="Times New Roman"/>
              </w:rPr>
              <w:t xml:space="preserve">iba </w:t>
            </w:r>
            <w:r w:rsidR="00452E93">
              <w:rPr>
                <w:rFonts w:ascii="Times New Roman" w:hAnsi="Times New Roman"/>
              </w:rPr>
              <w:t>tie zaústenia podľa</w:t>
            </w:r>
            <w:r w:rsidR="00452E93" w:rsidRPr="00452E93">
              <w:rPr>
                <w:rFonts w:ascii="Times New Roman" w:hAnsi="Times New Roman"/>
              </w:rPr>
              <w:t xml:space="preserve"> návrh zákona v § 42bc </w:t>
            </w:r>
            <w:r w:rsidR="00452E93">
              <w:rPr>
                <w:rFonts w:ascii="Times New Roman" w:hAnsi="Times New Roman"/>
              </w:rPr>
              <w:t xml:space="preserve">- </w:t>
            </w:r>
            <w:r w:rsidR="00452E93" w:rsidRPr="00452E93">
              <w:rPr>
                <w:rFonts w:ascii="Times New Roman" w:hAnsi="Times New Roman"/>
              </w:rPr>
              <w:t xml:space="preserve"> vlastník verejnej kanalizácie bude budovať len tie zaústenia, kde vlastník stavby alebo vlastník pozemku preukáže zriadenie kanalizačnej prípojky (na svojom pozemku až po kanalizačnú revíznu šachtu – podľa podmienok prevádzkovateľa VK), ktorá spĺňa technické podmienky určené vlastníkom verejnej kanalizácie a je spôsobilá na pripojenie na zaústenie, a ak vlastník stavby alebo vlastník pozemku prejaví záujem dohodnúť sa na uzatvorení zmluvy o pripojení s vlastníkom verejnej kanalizácie k dátumu zriadenia zaústenia.</w:t>
            </w:r>
            <w:r w:rsidR="00452E93">
              <w:rPr>
                <w:rFonts w:ascii="Times New Roman" w:hAnsi="Times New Roman"/>
              </w:rPr>
              <w:t xml:space="preserve"> Pôjde o efektívne vynaložené prostriedky, nie budovanie zaústení na slepo bez perspektívy pripojenia sa producenta.</w:t>
            </w:r>
          </w:p>
          <w:p w:rsidR="00E21052" w:rsidRPr="00F725A1" w:rsidRDefault="00E21052" w:rsidP="00217903">
            <w:pPr>
              <w:rPr>
                <w:b/>
              </w:rPr>
            </w:pPr>
          </w:p>
          <w:p w:rsidR="00E21052" w:rsidRPr="00F725A1" w:rsidRDefault="00E21052" w:rsidP="00157023">
            <w:pPr>
              <w:rPr>
                <w:i/>
              </w:rPr>
            </w:pPr>
            <w:r w:rsidRPr="00F725A1">
              <w:t>*1- náklady na vybudovanie zaústení budú v závislosti od reálnej finančnej schopnosti jednotlivých producentov odpadových vôd, ktorí zároveň musia vybudovať časť kanalizačnej prípojky na vlastnej nehnuteľnosti až po zaústenie (t. j. sociálne znevýhodnení občania a pod.)</w:t>
            </w:r>
            <w:r w:rsidR="00157023" w:rsidRPr="00F725A1">
              <w:t>- nie všetky zaústenia budú realizované v jednom roku</w:t>
            </w:r>
            <w:r w:rsidR="00E908AA">
              <w:t xml:space="preserve"> – podľa investičného plánu rozvoja vlastníka verejnej kanalizácie</w:t>
            </w:r>
            <w:r w:rsidR="00157023" w:rsidRPr="00F725A1">
              <w:t>;</w:t>
            </w:r>
            <w:r w:rsidR="001B04F3" w:rsidRPr="00F725A1">
              <w:t xml:space="preserve"> výška nákladov je závislá aj od lokality, kde budú realizované jednotlivé zaústenia; </w:t>
            </w: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lastRenderedPageBreak/>
              <w:t>3.4 Konkurencieschopnosť a správanie sa podnikov na trhu</w:t>
            </w:r>
          </w:p>
          <w:p w:rsidR="00153DC3" w:rsidRPr="00F725A1" w:rsidRDefault="00153DC3" w:rsidP="00217903">
            <w:r w:rsidRPr="00F725A1">
              <w:rPr>
                <w:b/>
                <w:sz w:val="24"/>
              </w:rPr>
              <w:t xml:space="preserve">       </w:t>
            </w:r>
            <w:r w:rsidRPr="00F725A1">
              <w:rPr>
                <w:sz w:val="24"/>
              </w:rPr>
              <w:t xml:space="preserve">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Ako ovplyvní cenu alebo dostupnosť základných zdrojov (suroviny, mechanizmy, pracovná sila, energie atď.)?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Ovplyvňuje prístup k financiám? Ak áno, ako?</w:t>
            </w:r>
          </w:p>
        </w:tc>
      </w:tr>
      <w:tr w:rsidR="00153DC3" w:rsidRPr="00F725A1" w:rsidTr="00217903">
        <w:trPr>
          <w:trHeight w:val="562"/>
        </w:trPr>
        <w:tc>
          <w:tcPr>
            <w:tcW w:w="9212" w:type="dxa"/>
            <w:vAlign w:val="center"/>
          </w:tcPr>
          <w:p w:rsidR="00153DC3" w:rsidRPr="00F725A1" w:rsidRDefault="00153DC3" w:rsidP="00217903">
            <w:r w:rsidRPr="00F725A1">
              <w:t>Bez priameho vplyvu na vytváranie obchodných bariér</w:t>
            </w:r>
            <w:r w:rsidRPr="00F725A1">
              <w:rPr>
                <w:sz w:val="22"/>
              </w:rPr>
              <w:t>.</w:t>
            </w:r>
          </w:p>
        </w:tc>
      </w:tr>
      <w:tr w:rsidR="00153DC3" w:rsidRPr="00F725A1" w:rsidTr="00217903">
        <w:tc>
          <w:tcPr>
            <w:tcW w:w="9212" w:type="dxa"/>
            <w:shd w:val="clear" w:color="auto" w:fill="D9D9D9"/>
          </w:tcPr>
          <w:p w:rsidR="00153DC3" w:rsidRPr="00F725A1" w:rsidRDefault="00153DC3" w:rsidP="00217903">
            <w:pPr>
              <w:rPr>
                <w:b/>
                <w:sz w:val="24"/>
              </w:rPr>
            </w:pPr>
            <w:r w:rsidRPr="00F725A1">
              <w:rPr>
                <w:b/>
                <w:sz w:val="24"/>
              </w:rPr>
              <w:t xml:space="preserve">3.5 Inovácie </w:t>
            </w:r>
          </w:p>
          <w:p w:rsidR="00153DC3" w:rsidRPr="00F725A1" w:rsidRDefault="00153DC3" w:rsidP="00217903">
            <w:pPr>
              <w:rPr>
                <w:b/>
              </w:rPr>
            </w:pPr>
            <w:r w:rsidRPr="00F725A1">
              <w:rPr>
                <w:sz w:val="24"/>
              </w:rPr>
              <w:t xml:space="preserve">       - </w:t>
            </w:r>
            <w:r w:rsidRPr="00F725A1">
              <w:rPr>
                <w:b/>
                <w:sz w:val="24"/>
              </w:rPr>
              <w:t>z toho MSP</w:t>
            </w:r>
          </w:p>
        </w:tc>
      </w:tr>
      <w:tr w:rsidR="00153DC3" w:rsidRPr="00F725A1" w:rsidTr="00217903">
        <w:tc>
          <w:tcPr>
            <w:tcW w:w="9212" w:type="dxa"/>
          </w:tcPr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ako podporuje navrhovaná zmena inovácie.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Zjednodušuje uvedenie alebo rozšírenie nových výrobných metód, technológií a výrobkov na trh?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153DC3" w:rsidRPr="00F725A1" w:rsidRDefault="00153DC3" w:rsidP="00217903">
            <w:pPr>
              <w:rPr>
                <w:i/>
              </w:rPr>
            </w:pPr>
            <w:r w:rsidRPr="00F725A1">
              <w:rPr>
                <w:i/>
              </w:rPr>
              <w:t>Podporuje vyššiu efektivitu výroby/využívania zdrojov? Ak áno, ako?</w:t>
            </w:r>
          </w:p>
          <w:p w:rsidR="00153DC3" w:rsidRPr="00F725A1" w:rsidRDefault="00153DC3" w:rsidP="00217903">
            <w:r w:rsidRPr="00F725A1">
              <w:rPr>
                <w:i/>
              </w:rPr>
              <w:t>Vytvorí zmena nové pracovné miesta pre zamestnancov výskumu a vývoja v SR?</w:t>
            </w:r>
          </w:p>
        </w:tc>
      </w:tr>
      <w:tr w:rsidR="00153DC3" w:rsidRPr="00EE5624" w:rsidTr="00217903">
        <w:trPr>
          <w:trHeight w:val="441"/>
        </w:trPr>
        <w:tc>
          <w:tcPr>
            <w:tcW w:w="9212" w:type="dxa"/>
            <w:vAlign w:val="center"/>
          </w:tcPr>
          <w:p w:rsidR="00153DC3" w:rsidRPr="00EE5624" w:rsidRDefault="00153DC3" w:rsidP="00217903">
            <w:r w:rsidRPr="00F725A1">
              <w:t>Bez vplyvu na inovácie.</w:t>
            </w:r>
          </w:p>
        </w:tc>
      </w:tr>
    </w:tbl>
    <w:p w:rsidR="00153DC3" w:rsidRPr="0051020D" w:rsidRDefault="00153DC3" w:rsidP="00153DC3">
      <w:pPr>
        <w:jc w:val="both"/>
        <w:outlineLvl w:val="0"/>
        <w:rPr>
          <w:bCs/>
          <w:sz w:val="24"/>
          <w:szCs w:val="24"/>
        </w:rPr>
      </w:pPr>
    </w:p>
    <w:p w:rsidR="00B23754" w:rsidRDefault="00B23754"/>
    <w:sectPr w:rsidR="00B23754" w:rsidSect="00E472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51" w:rsidRDefault="00661251">
      <w:r>
        <w:separator/>
      </w:r>
    </w:p>
  </w:endnote>
  <w:endnote w:type="continuationSeparator" w:id="0">
    <w:p w:rsidR="00661251" w:rsidRDefault="0066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96" w:rsidRDefault="0012079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355D5">
      <w:rPr>
        <w:noProof/>
      </w:rPr>
      <w:t>4</w:t>
    </w:r>
    <w:r>
      <w:fldChar w:fldCharType="end"/>
    </w:r>
  </w:p>
  <w:p w:rsidR="00204886" w:rsidRDefault="006612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51" w:rsidRDefault="00661251">
      <w:r>
        <w:separator/>
      </w:r>
    </w:p>
  </w:footnote>
  <w:footnote w:type="continuationSeparator" w:id="0">
    <w:p w:rsidR="00661251" w:rsidRDefault="0066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96" w:rsidRDefault="00120799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 w:rsidR="002355D5">
      <w:rPr>
        <w:noProof/>
      </w:rPr>
      <w:t>4</w:t>
    </w:r>
    <w:r>
      <w:fldChar w:fldCharType="end"/>
    </w:r>
  </w:p>
  <w:p w:rsidR="00204886" w:rsidRDefault="0066125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0FCC"/>
    <w:multiLevelType w:val="hybridMultilevel"/>
    <w:tmpl w:val="F72C1504"/>
    <w:lvl w:ilvl="0" w:tplc="CF42C2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C3"/>
    <w:rsid w:val="00044944"/>
    <w:rsid w:val="000A2324"/>
    <w:rsid w:val="00100FF0"/>
    <w:rsid w:val="00120799"/>
    <w:rsid w:val="00131490"/>
    <w:rsid w:val="00153DC3"/>
    <w:rsid w:val="00157023"/>
    <w:rsid w:val="0016018D"/>
    <w:rsid w:val="001770A8"/>
    <w:rsid w:val="001B04F3"/>
    <w:rsid w:val="001B0DE1"/>
    <w:rsid w:val="001F0812"/>
    <w:rsid w:val="00212C48"/>
    <w:rsid w:val="00232F2E"/>
    <w:rsid w:val="002355D5"/>
    <w:rsid w:val="0024656E"/>
    <w:rsid w:val="00263D8E"/>
    <w:rsid w:val="002C39B5"/>
    <w:rsid w:val="002C65D6"/>
    <w:rsid w:val="002D0B9B"/>
    <w:rsid w:val="002D6E68"/>
    <w:rsid w:val="00304AAD"/>
    <w:rsid w:val="003211D9"/>
    <w:rsid w:val="003311D2"/>
    <w:rsid w:val="00334ACE"/>
    <w:rsid w:val="00342975"/>
    <w:rsid w:val="003B20C8"/>
    <w:rsid w:val="004137BD"/>
    <w:rsid w:val="004353D5"/>
    <w:rsid w:val="00452E93"/>
    <w:rsid w:val="004A17C3"/>
    <w:rsid w:val="004A2FA2"/>
    <w:rsid w:val="004A3CAD"/>
    <w:rsid w:val="004B1E5E"/>
    <w:rsid w:val="004D7B89"/>
    <w:rsid w:val="00512374"/>
    <w:rsid w:val="00537467"/>
    <w:rsid w:val="00573D27"/>
    <w:rsid w:val="005E28DA"/>
    <w:rsid w:val="006072E8"/>
    <w:rsid w:val="00622813"/>
    <w:rsid w:val="006276D7"/>
    <w:rsid w:val="006277CE"/>
    <w:rsid w:val="00661251"/>
    <w:rsid w:val="0067343A"/>
    <w:rsid w:val="006C65EF"/>
    <w:rsid w:val="006D7C61"/>
    <w:rsid w:val="006E5E91"/>
    <w:rsid w:val="0072236D"/>
    <w:rsid w:val="007273C5"/>
    <w:rsid w:val="007577CC"/>
    <w:rsid w:val="00757FBE"/>
    <w:rsid w:val="00773EBD"/>
    <w:rsid w:val="007C1C6C"/>
    <w:rsid w:val="007C2B08"/>
    <w:rsid w:val="007F0FF9"/>
    <w:rsid w:val="00820117"/>
    <w:rsid w:val="008348A2"/>
    <w:rsid w:val="00844D82"/>
    <w:rsid w:val="008B35A3"/>
    <w:rsid w:val="008D01FC"/>
    <w:rsid w:val="008D094E"/>
    <w:rsid w:val="00950B2F"/>
    <w:rsid w:val="009607EF"/>
    <w:rsid w:val="009D6827"/>
    <w:rsid w:val="00A0337E"/>
    <w:rsid w:val="00A035CA"/>
    <w:rsid w:val="00A13C33"/>
    <w:rsid w:val="00A41586"/>
    <w:rsid w:val="00A70B82"/>
    <w:rsid w:val="00AA740D"/>
    <w:rsid w:val="00AE194E"/>
    <w:rsid w:val="00AF1A18"/>
    <w:rsid w:val="00B02DBF"/>
    <w:rsid w:val="00B04B7E"/>
    <w:rsid w:val="00B23754"/>
    <w:rsid w:val="00B24D82"/>
    <w:rsid w:val="00B30158"/>
    <w:rsid w:val="00B46608"/>
    <w:rsid w:val="00B50161"/>
    <w:rsid w:val="00B737C9"/>
    <w:rsid w:val="00B827D9"/>
    <w:rsid w:val="00B91DF5"/>
    <w:rsid w:val="00BA006B"/>
    <w:rsid w:val="00BA65C3"/>
    <w:rsid w:val="00BB2A71"/>
    <w:rsid w:val="00BB75E1"/>
    <w:rsid w:val="00BD694A"/>
    <w:rsid w:val="00BE1A12"/>
    <w:rsid w:val="00C037A8"/>
    <w:rsid w:val="00CD57B9"/>
    <w:rsid w:val="00D10AB4"/>
    <w:rsid w:val="00D3002B"/>
    <w:rsid w:val="00D5028E"/>
    <w:rsid w:val="00D7622F"/>
    <w:rsid w:val="00DE6758"/>
    <w:rsid w:val="00E14810"/>
    <w:rsid w:val="00E204BC"/>
    <w:rsid w:val="00E21052"/>
    <w:rsid w:val="00E30AEE"/>
    <w:rsid w:val="00E34846"/>
    <w:rsid w:val="00E408CD"/>
    <w:rsid w:val="00E908AA"/>
    <w:rsid w:val="00EC52FE"/>
    <w:rsid w:val="00F40A19"/>
    <w:rsid w:val="00F725A1"/>
    <w:rsid w:val="00F767D8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314C-8C55-4E6C-91FE-EFAB6AD6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3DC3"/>
    <w:pPr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3D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53DC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153D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3DC3"/>
    <w:rPr>
      <w:rFonts w:eastAsia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3D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3DC3"/>
    <w:rPr>
      <w:rFonts w:eastAsia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Bekerová Lýdia</dc:creator>
  <cp:keywords/>
  <dc:description/>
  <cp:lastModifiedBy>Rozborilová Monika</cp:lastModifiedBy>
  <cp:revision>2</cp:revision>
  <dcterms:created xsi:type="dcterms:W3CDTF">2021-08-19T08:08:00Z</dcterms:created>
  <dcterms:modified xsi:type="dcterms:W3CDTF">2021-08-19T08:08:00Z</dcterms:modified>
</cp:coreProperties>
</file>