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77240" w14:textId="77777777" w:rsidR="00FC1238" w:rsidRDefault="00FC1238" w:rsidP="00FC1238">
      <w:pPr>
        <w:jc w:val="center"/>
        <w:rPr>
          <w:b/>
          <w:caps/>
          <w:color w:val="000000"/>
          <w:spacing w:val="30"/>
          <w:sz w:val="25"/>
          <w:szCs w:val="25"/>
        </w:rPr>
      </w:pPr>
      <w:r w:rsidRPr="007D23C5">
        <w:rPr>
          <w:b/>
          <w:caps/>
          <w:color w:val="000000"/>
          <w:spacing w:val="30"/>
          <w:sz w:val="25"/>
          <w:szCs w:val="25"/>
        </w:rPr>
        <w:t>Dôvodová správa</w:t>
      </w:r>
    </w:p>
    <w:p w14:paraId="79D6EC78" w14:textId="77777777" w:rsidR="00FC1238" w:rsidRPr="005A1161" w:rsidRDefault="00FC1238" w:rsidP="00FC1238">
      <w:pPr>
        <w:jc w:val="center"/>
        <w:rPr>
          <w:rFonts w:cs="Calibri"/>
          <w:b/>
          <w:caps/>
        </w:rPr>
      </w:pPr>
    </w:p>
    <w:p w14:paraId="453AB519" w14:textId="77777777" w:rsidR="00FC1238" w:rsidRDefault="00FC1238" w:rsidP="00FC1238">
      <w:pPr>
        <w:jc w:val="center"/>
        <w:rPr>
          <w:rFonts w:cs="Calibri"/>
          <w:iCs/>
        </w:rPr>
      </w:pPr>
    </w:p>
    <w:p w14:paraId="78426382" w14:textId="20E5ABBC" w:rsidR="00FC1238" w:rsidRPr="00730901" w:rsidRDefault="00FC1238" w:rsidP="00FC1238">
      <w:pPr>
        <w:rPr>
          <w:iCs/>
        </w:rPr>
      </w:pPr>
      <w:r w:rsidRPr="00730901">
        <w:rPr>
          <w:b/>
          <w:color w:val="000000"/>
          <w:sz w:val="25"/>
          <w:szCs w:val="25"/>
        </w:rPr>
        <w:t>A. Všeobecná časť</w:t>
      </w:r>
    </w:p>
    <w:p w14:paraId="25F073DB" w14:textId="77777777" w:rsidR="00FC1238" w:rsidRDefault="00FC1238" w:rsidP="00FC1238">
      <w:pPr>
        <w:jc w:val="center"/>
        <w:rPr>
          <w:rFonts w:cs="Calibri"/>
          <w:iCs/>
        </w:rPr>
      </w:pPr>
    </w:p>
    <w:p w14:paraId="14995554" w14:textId="77777777" w:rsidR="00FC1238" w:rsidRDefault="00FC1238" w:rsidP="00FC1238">
      <w:pPr>
        <w:jc w:val="center"/>
        <w:rPr>
          <w:rFonts w:cs="Calibri"/>
          <w:iCs/>
        </w:rPr>
      </w:pPr>
    </w:p>
    <w:p w14:paraId="596B36E7" w14:textId="42F60F14" w:rsidR="00FC1238" w:rsidRPr="00865495" w:rsidRDefault="00FC1238" w:rsidP="00FC1238">
      <w:pPr>
        <w:autoSpaceDE w:val="0"/>
        <w:autoSpaceDN w:val="0"/>
        <w:ind w:left="284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Správa štátnych hmotn</w:t>
      </w:r>
      <w:r w:rsidR="00603DB7">
        <w:rPr>
          <w:bCs/>
          <w:sz w:val="24"/>
          <w:szCs w:val="24"/>
        </w:rPr>
        <w:t>ých rezerv Slovenskej republiky</w:t>
      </w:r>
      <w:bookmarkStart w:id="0" w:name="_GoBack"/>
      <w:bookmarkEnd w:id="0"/>
      <w:r>
        <w:rPr>
          <w:bCs/>
          <w:sz w:val="24"/>
          <w:szCs w:val="24"/>
        </w:rPr>
        <w:t xml:space="preserve"> predkladá n</w:t>
      </w:r>
      <w:r w:rsidRPr="00736145">
        <w:rPr>
          <w:bCs/>
          <w:sz w:val="24"/>
          <w:szCs w:val="24"/>
        </w:rPr>
        <w:t xml:space="preserve">ávrh zákona, ktorým sa mení a dopĺňa zákon č. 218/2013 Z. z. o núdzových zásobách ropy a ropných výrobkov a o riešení stavu ropnej núdze a o zmene a doplnení </w:t>
      </w:r>
      <w:r w:rsidRPr="00865495">
        <w:rPr>
          <w:bCs/>
          <w:sz w:val="24"/>
          <w:szCs w:val="24"/>
        </w:rPr>
        <w:t xml:space="preserve">niektorých zákonov </w:t>
      </w:r>
      <w:r>
        <w:rPr>
          <w:bCs/>
          <w:sz w:val="24"/>
          <w:szCs w:val="24"/>
        </w:rPr>
        <w:t xml:space="preserve">v znení neskorších predpisov </w:t>
      </w:r>
      <w:r w:rsidRPr="00865495">
        <w:rPr>
          <w:color w:val="000000"/>
          <w:sz w:val="24"/>
          <w:szCs w:val="24"/>
        </w:rPr>
        <w:t>(ďalej len „návrh zákona“).</w:t>
      </w:r>
    </w:p>
    <w:p w14:paraId="01262F63" w14:textId="77777777" w:rsidR="00FC1238" w:rsidRPr="00724F15" w:rsidRDefault="00FC1238" w:rsidP="00FC1238">
      <w:pPr>
        <w:autoSpaceDE w:val="0"/>
        <w:autoSpaceDN w:val="0"/>
        <w:ind w:left="284"/>
        <w:jc w:val="both"/>
        <w:rPr>
          <w:bCs/>
          <w:sz w:val="24"/>
          <w:szCs w:val="24"/>
        </w:rPr>
      </w:pPr>
    </w:p>
    <w:p w14:paraId="30F498EC" w14:textId="77777777" w:rsidR="00FC1238" w:rsidRDefault="00FC1238" w:rsidP="00FC1238">
      <w:pPr>
        <w:ind w:left="284"/>
        <w:jc w:val="both"/>
        <w:rPr>
          <w:sz w:val="24"/>
          <w:szCs w:val="24"/>
        </w:rPr>
      </w:pPr>
      <w:r w:rsidRPr="00736145">
        <w:rPr>
          <w:bCs/>
          <w:sz w:val="24"/>
          <w:szCs w:val="24"/>
        </w:rPr>
        <w:t xml:space="preserve">Zákon </w:t>
      </w:r>
      <w:r>
        <w:rPr>
          <w:bCs/>
          <w:sz w:val="24"/>
          <w:szCs w:val="24"/>
        </w:rPr>
        <w:t xml:space="preserve">č. 218/2013 Z. z. </w:t>
      </w:r>
      <w:r w:rsidRPr="00736145">
        <w:rPr>
          <w:bCs/>
          <w:sz w:val="24"/>
          <w:szCs w:val="24"/>
        </w:rPr>
        <w:t xml:space="preserve">o núdzových zásobách ropy a ropných výrobkov a o riešení stavu ropnej núdze a o zmene a doplnení </w:t>
      </w:r>
      <w:r w:rsidRPr="00865495">
        <w:rPr>
          <w:bCs/>
          <w:sz w:val="24"/>
          <w:szCs w:val="24"/>
        </w:rPr>
        <w:t>niektorých zákonov</w:t>
      </w:r>
      <w:r w:rsidRPr="00736145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v znení neskorších predpisov</w:t>
      </w:r>
      <w:r>
        <w:rPr>
          <w:sz w:val="24"/>
          <w:szCs w:val="24"/>
        </w:rPr>
        <w:t xml:space="preserve"> (ďalej len „zákon č. 218/2013 Z. z.“) </w:t>
      </w:r>
      <w:r w:rsidRPr="00736145">
        <w:rPr>
          <w:sz w:val="24"/>
          <w:szCs w:val="24"/>
        </w:rPr>
        <w:t>v roku 2013</w:t>
      </w:r>
      <w:r>
        <w:rPr>
          <w:sz w:val="24"/>
          <w:szCs w:val="24"/>
        </w:rPr>
        <w:t xml:space="preserve"> zaviedol</w:t>
      </w:r>
      <w:r w:rsidRPr="00736145">
        <w:rPr>
          <w:sz w:val="24"/>
          <w:szCs w:val="24"/>
        </w:rPr>
        <w:t xml:space="preserve"> úplne nový systém udržiavania núdzových zásob v Slovenskej republike. </w:t>
      </w:r>
      <w:r>
        <w:rPr>
          <w:sz w:val="24"/>
          <w:szCs w:val="24"/>
        </w:rPr>
        <w:t>Dovtedajší systém, v ktorom boli núdzové zásoby vo vlastníctve štátu a spravované Správou štátnych hmotných rezerv, bol nahradený agentúrnym modelom, ktorý v rôznych formách uplatňuje väčšina krajín Európskej únie.</w:t>
      </w:r>
    </w:p>
    <w:p w14:paraId="329B52CE" w14:textId="77777777" w:rsidR="00FC1238" w:rsidRDefault="00FC1238" w:rsidP="00FC1238">
      <w:pPr>
        <w:ind w:left="284"/>
        <w:jc w:val="both"/>
        <w:rPr>
          <w:sz w:val="24"/>
          <w:szCs w:val="24"/>
        </w:rPr>
      </w:pPr>
    </w:p>
    <w:p w14:paraId="0BC4693E" w14:textId="77777777" w:rsidR="00FC1238" w:rsidRDefault="00FC1238" w:rsidP="00FC1238">
      <w:pPr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Aplikačná prax ukázala v ojedinelých prípadoch potenciálne riziko nedostatočnej právnej úpravy pri vynucovaní zákonnej povinnosti vybraných podnikateľov zabezpečiť udržiavanie núdzových zásob ropy a ropných výrobkov prostredníctvom uzatvorenia zmluvy o zabezpečení udržiavania núdzových zásob (ďalej len „zmluva“) s Agentúrou pre núdzové zásoby ropy a ropných výrobkov (ďalej len „agentúra“). Doterajšia právna úprava umožňovala agentúre vypovedať zmluvu s tým vybraným podnikateľom, ktorý si neplnil povinnosti zo zmluvy. Vybranému podnikateľovi, ktorý odmieta uzatvoriť zmluvu s agentúrou, je možné uložiť pokutu v prípade, ak napriek tomu pokračuje v predmetnej činnosti. Ak ani pokuta nepovedie k náprave, je takémuto podnikateľovi možné zrušiť živnostenské oprávnenie. Agentúra však zaznamenala prípad, kedy vypovedala zmluvu s vybraným podnikateľom, ktorý si neplnil povinnosti zo zmluvy, aby mu tak zabránila vo vykonávaní predmetnej podnikateľskej činnosti. Uvedený vybraný podnikateľ však ďalej pokračoval v podnikateľskej činnosti a obratom agentúru požiadal o uzatvorenie novej zmluvy. Podľa doterajšej právnej úpravy agentúra nemohla odoprieť vybranému podnikateľovi uzatvorenie novej zmluvy, pokiaľ o to požiadal, aj keď bolo zjavné, že nebude plniť povinnosti ani podľa tejto novej zmluvy. Takémuto podnikateľovi nebolo možné uložiť pokutu podľa zákona č. 218/2013 Z. z., pretože formálne neodmietal uzatvorenie zmluvy. V záujme zabráneniu takýchto špekulácií návrh zákona upravuje príslušné ustanovenia, aby agentúra bola povinná uzatvoriť zmluvu iba s tým vybraným podnikateľom, ktorý voči nej nemá nesplatené pohľadávky.</w:t>
      </w:r>
    </w:p>
    <w:p w14:paraId="0906146E" w14:textId="77777777" w:rsidR="00FC1238" w:rsidRDefault="00FC1238" w:rsidP="00FC1238">
      <w:pPr>
        <w:jc w:val="both"/>
        <w:rPr>
          <w:bCs/>
          <w:sz w:val="24"/>
          <w:szCs w:val="24"/>
        </w:rPr>
      </w:pPr>
    </w:p>
    <w:p w14:paraId="494A71D3" w14:textId="77777777" w:rsidR="00FC1238" w:rsidRDefault="00FC1238" w:rsidP="00FC1238">
      <w:pPr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Návrh zákona tiež obsahuje niektoré technické úpravy súvisiace najmä s nahlasovaním údajov o vybraných podnikateľoch agentúre zo strany Finančného riaditeľstva Slovenskej republiky, aktualizáciou čísel kombinovanej nomenklatúry colného sadzobníka vybraných ropných výrobkov v prípade ich zmeny v príslušnom európskom nariadení a zosúladením jedného termínu na každoročné predloženie evidencie o núdzových zásobách Európskej komisii v súlade s platným znením smernice </w:t>
      </w:r>
      <w:r w:rsidRPr="00875601">
        <w:rPr>
          <w:bCs/>
          <w:sz w:val="24"/>
          <w:szCs w:val="24"/>
        </w:rPr>
        <w:t>Rady 2009/119/ES zo 14. septembra 2009, ktorou sa členským štátom ukladá povinnosť udržiavať minimálne zásoby ropy a/alebo ropných výrobkov</w:t>
      </w:r>
      <w:r>
        <w:rPr>
          <w:bCs/>
          <w:sz w:val="24"/>
          <w:szCs w:val="24"/>
        </w:rPr>
        <w:t xml:space="preserve"> </w:t>
      </w:r>
      <w:r w:rsidRPr="008736BC">
        <w:rPr>
          <w:bCs/>
          <w:sz w:val="24"/>
          <w:szCs w:val="24"/>
        </w:rPr>
        <w:t>(Ú. v. ES L 265</w:t>
      </w:r>
      <w:r>
        <w:rPr>
          <w:bCs/>
          <w:sz w:val="24"/>
          <w:szCs w:val="24"/>
        </w:rPr>
        <w:t>,</w:t>
      </w:r>
      <w:r w:rsidRPr="008736BC">
        <w:rPr>
          <w:bCs/>
          <w:sz w:val="24"/>
          <w:szCs w:val="24"/>
        </w:rPr>
        <w:t xml:space="preserve"> 9.10.2009)</w:t>
      </w:r>
      <w:r>
        <w:rPr>
          <w:sz w:val="24"/>
          <w:szCs w:val="24"/>
        </w:rPr>
        <w:t>.</w:t>
      </w:r>
    </w:p>
    <w:p w14:paraId="47FD9424" w14:textId="77777777" w:rsidR="00FC1238" w:rsidRPr="008D5EEC" w:rsidRDefault="00FC1238" w:rsidP="00FC1238">
      <w:pPr>
        <w:jc w:val="both"/>
        <w:rPr>
          <w:bCs/>
          <w:sz w:val="24"/>
          <w:szCs w:val="24"/>
        </w:rPr>
      </w:pPr>
    </w:p>
    <w:p w14:paraId="6628FB33" w14:textId="77777777" w:rsidR="00FC1238" w:rsidRDefault="00FC1238" w:rsidP="00FC1238">
      <w:pPr>
        <w:ind w:left="284"/>
        <w:jc w:val="both"/>
        <w:rPr>
          <w:bCs/>
          <w:sz w:val="24"/>
          <w:szCs w:val="24"/>
        </w:rPr>
      </w:pPr>
      <w:r w:rsidRPr="008D5EEC">
        <w:rPr>
          <w:bCs/>
          <w:sz w:val="24"/>
          <w:szCs w:val="24"/>
        </w:rPr>
        <w:t>Návrh zákona nebude mať vplyv</w:t>
      </w:r>
      <w:r>
        <w:rPr>
          <w:bCs/>
          <w:sz w:val="24"/>
          <w:szCs w:val="24"/>
        </w:rPr>
        <w:t>y</w:t>
      </w:r>
      <w:r w:rsidRPr="008D5EE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rozpočet verejnej správy, podnikateľské prostredie, sociálne</w:t>
      </w:r>
      <w:r w:rsidRPr="007D705B">
        <w:rPr>
          <w:bCs/>
          <w:sz w:val="24"/>
          <w:szCs w:val="24"/>
        </w:rPr>
        <w:t xml:space="preserve"> vplyv</w:t>
      </w:r>
      <w:r>
        <w:rPr>
          <w:bCs/>
          <w:sz w:val="24"/>
          <w:szCs w:val="24"/>
        </w:rPr>
        <w:t>y</w:t>
      </w:r>
      <w:r w:rsidRPr="007D705B">
        <w:rPr>
          <w:bCs/>
          <w:sz w:val="24"/>
          <w:szCs w:val="24"/>
        </w:rPr>
        <w:t>, vplyv</w:t>
      </w:r>
      <w:r>
        <w:rPr>
          <w:bCs/>
          <w:sz w:val="24"/>
          <w:szCs w:val="24"/>
        </w:rPr>
        <w:t>y</w:t>
      </w:r>
      <w:r w:rsidRPr="007D705B">
        <w:rPr>
          <w:bCs/>
          <w:sz w:val="24"/>
          <w:szCs w:val="24"/>
        </w:rPr>
        <w:t xml:space="preserve"> na životné prostredie, vplyv</w:t>
      </w:r>
      <w:r>
        <w:rPr>
          <w:bCs/>
          <w:sz w:val="24"/>
          <w:szCs w:val="24"/>
        </w:rPr>
        <w:t>y</w:t>
      </w:r>
      <w:r w:rsidRPr="007D705B">
        <w:rPr>
          <w:bCs/>
          <w:sz w:val="24"/>
          <w:szCs w:val="24"/>
        </w:rPr>
        <w:t xml:space="preserve"> na informatizáciu, vplyv</w:t>
      </w:r>
      <w:r>
        <w:rPr>
          <w:bCs/>
          <w:sz w:val="24"/>
          <w:szCs w:val="24"/>
        </w:rPr>
        <w:t>y</w:t>
      </w:r>
      <w:r w:rsidRPr="007D705B">
        <w:rPr>
          <w:bCs/>
          <w:sz w:val="24"/>
          <w:szCs w:val="24"/>
        </w:rPr>
        <w:t xml:space="preserve"> na sl</w:t>
      </w:r>
      <w:r>
        <w:rPr>
          <w:bCs/>
          <w:sz w:val="24"/>
          <w:szCs w:val="24"/>
        </w:rPr>
        <w:t>užby verejnej správy pre občana, vplyvy na manželstvo, rodičovstvo a rodinu.</w:t>
      </w:r>
    </w:p>
    <w:p w14:paraId="4D39B05D" w14:textId="77777777" w:rsidR="00FC1238" w:rsidRPr="008D5EEC" w:rsidRDefault="00FC1238" w:rsidP="00FC1238">
      <w:pPr>
        <w:ind w:left="284"/>
        <w:jc w:val="both"/>
        <w:rPr>
          <w:bCs/>
          <w:sz w:val="24"/>
          <w:szCs w:val="24"/>
        </w:rPr>
      </w:pPr>
    </w:p>
    <w:p w14:paraId="392FBBA6" w14:textId="77777777" w:rsidR="00FC1238" w:rsidRDefault="00FC1238" w:rsidP="00FC1238">
      <w:pPr>
        <w:ind w:left="284"/>
        <w:jc w:val="both"/>
        <w:rPr>
          <w:bCs/>
          <w:sz w:val="24"/>
          <w:szCs w:val="24"/>
        </w:rPr>
      </w:pPr>
      <w:r w:rsidRPr="008D5EEC">
        <w:rPr>
          <w:bCs/>
          <w:sz w:val="24"/>
          <w:szCs w:val="24"/>
        </w:rPr>
        <w:lastRenderedPageBreak/>
        <w:t>Návrh zákona je v súlade s Ústavou Slovenskej republiky, ústavnými zákonmi</w:t>
      </w:r>
      <w:r>
        <w:t xml:space="preserve">, </w:t>
      </w:r>
      <w:r w:rsidRPr="008023EB">
        <w:rPr>
          <w:bCs/>
          <w:sz w:val="24"/>
          <w:szCs w:val="24"/>
        </w:rPr>
        <w:t>nálezmi ústavného súdu</w:t>
      </w:r>
      <w:r>
        <w:rPr>
          <w:bCs/>
          <w:sz w:val="24"/>
          <w:szCs w:val="24"/>
        </w:rPr>
        <w:t xml:space="preserve">, s inými </w:t>
      </w:r>
      <w:r w:rsidRPr="008D5EEC">
        <w:rPr>
          <w:bCs/>
          <w:sz w:val="24"/>
          <w:szCs w:val="24"/>
        </w:rPr>
        <w:t>zákonmi, medzinárodnými zmluvami a inými medzinárodnými dokumentmi, ktorými je Slovenská republika viazaná, a s právom Európskej únie.</w:t>
      </w:r>
    </w:p>
    <w:p w14:paraId="2C539BCE" w14:textId="77777777" w:rsidR="00FC1238" w:rsidRDefault="00FC1238">
      <w:p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750A9CCA" w14:textId="10519A82"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Doložka vybraných vplyvov</w:t>
      </w:r>
    </w:p>
    <w:p w14:paraId="332DEF30" w14:textId="77777777"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14:paraId="54629D04" w14:textId="77777777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043DDD62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14:paraId="21FB488E" w14:textId="77777777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662E86EE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14:paraId="24616B54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01B3F3C" w14:textId="647F45E9" w:rsidR="003501A1" w:rsidRPr="002303F7" w:rsidRDefault="002303F7" w:rsidP="001F0548">
            <w:pPr>
              <w:jc w:val="both"/>
            </w:pPr>
            <w:r w:rsidRPr="002303F7">
              <w:rPr>
                <w:bCs/>
                <w:sz w:val="22"/>
                <w:szCs w:val="22"/>
              </w:rPr>
              <w:t>Návrh zákona, ktorým sa mení a dopĺňa zákon č. 218/2013 Z. z. o núdzových zásobách ropy a ropných výrobkov a o riešení stavu ropnej núdze a o zmene a doplnení niektorých zákonov</w:t>
            </w:r>
            <w:r w:rsidRPr="002303F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v znení neskorších predpisov</w:t>
            </w:r>
            <w:r w:rsidR="00F9552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(ďalej len „návrh zákona“)</w:t>
            </w:r>
          </w:p>
          <w:p w14:paraId="7055BDDB" w14:textId="77777777" w:rsidR="003501A1" w:rsidRPr="00A179AE" w:rsidRDefault="003501A1" w:rsidP="007B71A4"/>
        </w:tc>
      </w:tr>
      <w:tr w:rsidR="003501A1" w:rsidRPr="00A179AE" w14:paraId="07D69161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14:paraId="485F373A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14:paraId="59A2D02C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93D987" w14:textId="77777777" w:rsidR="003501A1" w:rsidRPr="00EC586F" w:rsidRDefault="002303F7" w:rsidP="007B71A4">
            <w:pPr>
              <w:rPr>
                <w:sz w:val="22"/>
                <w:szCs w:val="22"/>
              </w:rPr>
            </w:pPr>
            <w:r w:rsidRPr="00EC586F">
              <w:rPr>
                <w:sz w:val="22"/>
                <w:szCs w:val="22"/>
              </w:rPr>
              <w:t>Správa štátnych hmotných rezerv Slovenskej republiky</w:t>
            </w:r>
          </w:p>
          <w:p w14:paraId="3C0CFF16" w14:textId="77777777" w:rsidR="003501A1" w:rsidRPr="00A179AE" w:rsidRDefault="003501A1" w:rsidP="007B71A4"/>
        </w:tc>
      </w:tr>
      <w:tr w:rsidR="003501A1" w:rsidRPr="00A179AE" w14:paraId="53BA69C1" w14:textId="77777777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14:paraId="56191860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1BC90666" w14:textId="77777777"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743A3" w14:textId="77777777"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14:paraId="177BC292" w14:textId="77777777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14:paraId="3177EB07" w14:textId="77777777" w:rsidR="003501A1" w:rsidRPr="00A179AE" w:rsidRDefault="003501A1" w:rsidP="007B71A4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6080442E" w14:textId="77777777" w:rsidR="003501A1" w:rsidRPr="00A179AE" w:rsidRDefault="002303F7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3C49458" w14:textId="77777777"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14:paraId="43578359" w14:textId="77777777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01E42346" w14:textId="77777777" w:rsidR="003501A1" w:rsidRPr="00A179AE" w:rsidRDefault="003501A1" w:rsidP="007B71A4"/>
        </w:tc>
        <w:sdt>
          <w:sdtPr>
            <w:id w:val="-18834759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2829EBCE" w14:textId="547ED5C3" w:rsidR="003501A1" w:rsidRPr="00A179AE" w:rsidRDefault="00C16024" w:rsidP="007B71A4">
                <w:pPr>
                  <w:jc w:val="center"/>
                </w:pPr>
                <w:r>
                  <w:rPr>
                    <w:rFonts w:ascii="MS Gothic" w:eastAsia="MS Gothic" w:hAnsi="MS Gothic" w:cs="MS Mincho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B47FA3A" w14:textId="77777777"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14:paraId="72F87C36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14:paraId="0F56C5FA" w14:textId="77777777"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14:paraId="0EF5B6BB" w14:textId="2B59882B" w:rsidR="003501A1" w:rsidRPr="00A87ED3" w:rsidRDefault="00C16024" w:rsidP="00C16024">
            <w:pPr>
              <w:jc w:val="both"/>
              <w:rPr>
                <w:sz w:val="22"/>
                <w:szCs w:val="22"/>
              </w:rPr>
            </w:pPr>
            <w:r w:rsidRPr="00A87ED3">
              <w:rPr>
                <w:sz w:val="22"/>
                <w:szCs w:val="22"/>
              </w:rPr>
              <w:t xml:space="preserve">Smernica Rady 2009/119/ES zo 14. septembra 2009, ktorou sa členským štátom ukladá povinnosť udržiavať minimálne zásoby ropy a/alebo ropných výrobkov (Ú. v. EÚ L 265, 9.10.2009) v platnom znení (konečný termín pre transpozíciu: </w:t>
            </w:r>
            <w:r w:rsidR="00EB3357">
              <w:rPr>
                <w:sz w:val="22"/>
                <w:szCs w:val="22"/>
              </w:rPr>
              <w:t>24. december 2018</w:t>
            </w:r>
            <w:r w:rsidRPr="00A87ED3">
              <w:rPr>
                <w:sz w:val="22"/>
                <w:szCs w:val="22"/>
              </w:rPr>
              <w:t>)</w:t>
            </w:r>
          </w:p>
          <w:p w14:paraId="036FCC2D" w14:textId="77777777" w:rsidR="003501A1" w:rsidRPr="00A179AE" w:rsidRDefault="003501A1" w:rsidP="007B71A4"/>
        </w:tc>
      </w:tr>
      <w:tr w:rsidR="003501A1" w:rsidRPr="00A179AE" w14:paraId="05B318F2" w14:textId="77777777" w:rsidTr="004F6F1F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41C227B7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7A4F" w14:textId="25AF4A25" w:rsidR="003501A1" w:rsidRPr="00A179AE" w:rsidRDefault="00C34951" w:rsidP="007B71A4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3501A1" w:rsidRPr="00A179AE" w14:paraId="3687C4EC" w14:textId="77777777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42D0B323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1A88" w14:textId="0D1C622B" w:rsidR="003501A1" w:rsidRPr="00A179AE" w:rsidRDefault="00A832F2" w:rsidP="007B71A4">
            <w:pPr>
              <w:rPr>
                <w:i/>
              </w:rPr>
            </w:pPr>
            <w:r>
              <w:rPr>
                <w:i/>
              </w:rPr>
              <w:t>apríl</w:t>
            </w:r>
            <w:r w:rsidR="000016B5">
              <w:rPr>
                <w:i/>
              </w:rPr>
              <w:t xml:space="preserve"> </w:t>
            </w:r>
            <w:r w:rsidR="00267171">
              <w:rPr>
                <w:i/>
              </w:rPr>
              <w:t>2021</w:t>
            </w:r>
          </w:p>
        </w:tc>
      </w:tr>
      <w:tr w:rsidR="003501A1" w:rsidRPr="00A179AE" w14:paraId="374CD5E8" w14:textId="77777777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119A72B2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CBC9" w14:textId="55722FAF" w:rsidR="003501A1" w:rsidRPr="00A179AE" w:rsidRDefault="005D4BD5" w:rsidP="007B71A4">
            <w:pPr>
              <w:rPr>
                <w:i/>
              </w:rPr>
            </w:pPr>
            <w:r>
              <w:rPr>
                <w:i/>
              </w:rPr>
              <w:t>august</w:t>
            </w:r>
            <w:r w:rsidR="000016B5">
              <w:rPr>
                <w:i/>
              </w:rPr>
              <w:t xml:space="preserve"> </w:t>
            </w:r>
            <w:r w:rsidR="001F0548">
              <w:rPr>
                <w:i/>
              </w:rPr>
              <w:t>2021</w:t>
            </w:r>
          </w:p>
        </w:tc>
      </w:tr>
      <w:tr w:rsidR="003501A1" w:rsidRPr="00A179AE" w14:paraId="1A3E32C4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B6F0BD" w14:textId="77777777" w:rsidR="003501A1" w:rsidRPr="00A179AE" w:rsidRDefault="003501A1" w:rsidP="007B71A4"/>
        </w:tc>
      </w:tr>
      <w:tr w:rsidR="003501A1" w:rsidRPr="00A179AE" w14:paraId="0F614847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5F2E5434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14:paraId="296BFAB7" w14:textId="77777777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E8929" w14:textId="77777777"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základné problémy, na ktoré navrhovaná regulácia reaguje.</w:t>
            </w:r>
          </w:p>
          <w:p w14:paraId="0880BAAC" w14:textId="56667B8C" w:rsidR="002303F7" w:rsidRDefault="002303F7" w:rsidP="005753AF">
            <w:pPr>
              <w:jc w:val="both"/>
              <w:rPr>
                <w:bCs/>
                <w:sz w:val="22"/>
                <w:szCs w:val="22"/>
              </w:rPr>
            </w:pPr>
            <w:r w:rsidRPr="002303F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Doterajšia aplikačná prax ukázala v ojedinelých prípadoch komplikácie pri vynucovaní zákonných a zmluvných povinností niektorých vybraných podnikateľov, ktorí neplnili svoje povinnosti podľa </w:t>
            </w:r>
            <w:r>
              <w:rPr>
                <w:bCs/>
                <w:sz w:val="22"/>
                <w:szCs w:val="22"/>
              </w:rPr>
              <w:t xml:space="preserve">zákona č. 218/2013 Z. z. </w:t>
            </w:r>
            <w:r w:rsidRPr="002303F7">
              <w:rPr>
                <w:bCs/>
                <w:sz w:val="22"/>
                <w:szCs w:val="22"/>
              </w:rPr>
              <w:t>o núdzových zásobách ropy a ropných výrobkov a o riešení stavu ropnej núdze a o zmene a doplnení niektorých zákonov</w:t>
            </w:r>
            <w:r w:rsidRPr="002303F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v znení neskorších predpisov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303F7">
              <w:rPr>
                <w:bCs/>
                <w:sz w:val="22"/>
                <w:szCs w:val="22"/>
              </w:rPr>
              <w:t>(ďalej len „zákon č. 218/2013 Z. z.“)</w:t>
            </w:r>
            <w:r>
              <w:rPr>
                <w:bCs/>
                <w:sz w:val="22"/>
                <w:szCs w:val="22"/>
              </w:rPr>
              <w:t xml:space="preserve"> a z</w:t>
            </w:r>
            <w:r w:rsidRPr="002303F7">
              <w:rPr>
                <w:bCs/>
                <w:sz w:val="22"/>
                <w:szCs w:val="22"/>
              </w:rPr>
              <w:t>mluvy</w:t>
            </w:r>
            <w:r>
              <w:rPr>
                <w:bCs/>
                <w:sz w:val="22"/>
                <w:szCs w:val="22"/>
              </w:rPr>
              <w:t xml:space="preserve"> o zabezpečení udržiavania núdzových zásob</w:t>
            </w:r>
            <w:r w:rsidR="004F5710">
              <w:rPr>
                <w:bCs/>
                <w:sz w:val="22"/>
                <w:szCs w:val="22"/>
              </w:rPr>
              <w:t xml:space="preserve"> (ďalej len „z</w:t>
            </w:r>
            <w:r w:rsidRPr="002303F7">
              <w:rPr>
                <w:bCs/>
                <w:sz w:val="22"/>
                <w:szCs w:val="22"/>
              </w:rPr>
              <w:t>mluva“)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303F7">
              <w:rPr>
                <w:bCs/>
                <w:sz w:val="22"/>
                <w:szCs w:val="22"/>
              </w:rPr>
              <w:t>uzatvorenej s</w:t>
            </w:r>
            <w:r>
              <w:rPr>
                <w:bCs/>
                <w:sz w:val="22"/>
                <w:szCs w:val="22"/>
              </w:rPr>
              <w:t> </w:t>
            </w:r>
            <w:r w:rsidRPr="002303F7">
              <w:rPr>
                <w:bCs/>
                <w:sz w:val="22"/>
                <w:szCs w:val="22"/>
              </w:rPr>
              <w:t>Agentúrou</w:t>
            </w:r>
            <w:r>
              <w:rPr>
                <w:bCs/>
                <w:sz w:val="22"/>
                <w:szCs w:val="22"/>
              </w:rPr>
              <w:t xml:space="preserve"> pre núdzové zásoby ropy a ropných výrobkov</w:t>
            </w:r>
            <w:r w:rsidRPr="002303F7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4D86049E" w14:textId="1BD913AD" w:rsidR="003501A1" w:rsidRPr="002303F7" w:rsidRDefault="00EC586F" w:rsidP="00C34951">
            <w:pPr>
              <w:jc w:val="both"/>
              <w:rPr>
                <w:b/>
              </w:rPr>
            </w:pPr>
            <w:r>
              <w:rPr>
                <w:bCs/>
                <w:sz w:val="22"/>
                <w:szCs w:val="22"/>
              </w:rPr>
              <w:t xml:space="preserve">Okrem toho poslednú novelizáciu zákona č. </w:t>
            </w:r>
            <w:r w:rsidRPr="002303F7">
              <w:rPr>
                <w:bCs/>
                <w:sz w:val="22"/>
                <w:szCs w:val="22"/>
              </w:rPr>
              <w:t>218/2013 Z. z.</w:t>
            </w:r>
            <w:r>
              <w:rPr>
                <w:bCs/>
                <w:sz w:val="22"/>
                <w:szCs w:val="22"/>
              </w:rPr>
              <w:t xml:space="preserve"> bolo potrebné vykonať iba v dôsledku technickej zmeny</w:t>
            </w:r>
            <w:r w:rsidR="00D9535C">
              <w:rPr>
                <w:bCs/>
                <w:sz w:val="22"/>
                <w:szCs w:val="22"/>
              </w:rPr>
              <w:t>, resp. prečíslovania niektorých ropných výrobkov</w:t>
            </w:r>
            <w:r>
              <w:rPr>
                <w:bCs/>
                <w:sz w:val="22"/>
                <w:szCs w:val="22"/>
              </w:rPr>
              <w:t xml:space="preserve"> v príslušnom </w:t>
            </w:r>
            <w:r w:rsidR="00D9535C">
              <w:rPr>
                <w:bCs/>
                <w:sz w:val="22"/>
                <w:szCs w:val="22"/>
              </w:rPr>
              <w:t>európskom nariadení upravujúco</w:t>
            </w:r>
            <w:r>
              <w:rPr>
                <w:bCs/>
                <w:sz w:val="22"/>
                <w:szCs w:val="22"/>
              </w:rPr>
              <w:t xml:space="preserve">m spoločný colný sadzobník. </w:t>
            </w:r>
            <w:r w:rsidR="00D9535C">
              <w:rPr>
                <w:bCs/>
                <w:sz w:val="22"/>
                <w:szCs w:val="22"/>
              </w:rPr>
              <w:t>Taká situácia sa môže opakovať aj v</w:t>
            </w:r>
            <w:r w:rsidR="00C34951">
              <w:rPr>
                <w:bCs/>
                <w:sz w:val="22"/>
                <w:szCs w:val="22"/>
              </w:rPr>
              <w:t> </w:t>
            </w:r>
            <w:r w:rsidR="00D9535C">
              <w:rPr>
                <w:bCs/>
                <w:sz w:val="22"/>
                <w:szCs w:val="22"/>
              </w:rPr>
              <w:t>budúcnosti</w:t>
            </w:r>
            <w:r w:rsidR="00C34951">
              <w:rPr>
                <w:bCs/>
                <w:sz w:val="22"/>
                <w:szCs w:val="22"/>
              </w:rPr>
              <w:t>,</w:t>
            </w:r>
            <w:r w:rsidR="00D9535C">
              <w:rPr>
                <w:bCs/>
                <w:sz w:val="22"/>
                <w:szCs w:val="22"/>
              </w:rPr>
              <w:t xml:space="preserve"> a preto nie je žiadúce, aby kvôli tomu bolo znovu potrebné novelizovať zákon č. </w:t>
            </w:r>
            <w:r w:rsidR="00D9535C" w:rsidRPr="002303F7">
              <w:rPr>
                <w:bCs/>
                <w:sz w:val="22"/>
                <w:szCs w:val="22"/>
              </w:rPr>
              <w:t>218/2013 Z. z.</w:t>
            </w:r>
            <w:r w:rsidR="00D9535C">
              <w:rPr>
                <w:bCs/>
                <w:sz w:val="22"/>
                <w:szCs w:val="22"/>
              </w:rPr>
              <w:t xml:space="preserve"> Tiež </w:t>
            </w:r>
            <w:r w:rsidR="002303F7">
              <w:rPr>
                <w:bCs/>
                <w:sz w:val="22"/>
                <w:szCs w:val="22"/>
              </w:rPr>
              <w:t xml:space="preserve"> je potrebné precíznejšie upraviť proces hlásenia údajov z Finančného riaditeľstva S</w:t>
            </w:r>
            <w:r w:rsidR="00C34951">
              <w:rPr>
                <w:bCs/>
                <w:sz w:val="22"/>
                <w:szCs w:val="22"/>
              </w:rPr>
              <w:t>lovenskej republiky</w:t>
            </w:r>
            <w:r w:rsidR="002303F7">
              <w:rPr>
                <w:bCs/>
                <w:sz w:val="22"/>
                <w:szCs w:val="22"/>
              </w:rPr>
              <w:t xml:space="preserve"> pre Agentúru</w:t>
            </w:r>
            <w:r w:rsidR="00A832F2">
              <w:rPr>
                <w:bCs/>
                <w:sz w:val="22"/>
                <w:szCs w:val="22"/>
              </w:rPr>
              <w:t xml:space="preserve"> pre núdzové zásoby ropy a ropných výrobkov</w:t>
            </w:r>
            <w:r w:rsidR="002303F7">
              <w:rPr>
                <w:bCs/>
                <w:sz w:val="22"/>
                <w:szCs w:val="22"/>
              </w:rPr>
              <w:t>, aby bol tento postup v súlade s ostatnými právnymi predpismi v oblasti správy daní.</w:t>
            </w:r>
          </w:p>
        </w:tc>
      </w:tr>
      <w:tr w:rsidR="003501A1" w:rsidRPr="00A179AE" w14:paraId="33AEF389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E7E05BD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A179AE" w14:paraId="389FE032" w14:textId="77777777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19A5F" w14:textId="77777777"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hlavné ciele navrhovaného predpisu (aký výsledný stav chcete reguláciou dosiahnuť).</w:t>
            </w:r>
          </w:p>
          <w:p w14:paraId="734C12EA" w14:textId="488C4D77" w:rsidR="002303F7" w:rsidRPr="002303F7" w:rsidRDefault="002303F7" w:rsidP="005753AF">
            <w:pPr>
              <w:jc w:val="both"/>
              <w:rPr>
                <w:sz w:val="22"/>
                <w:szCs w:val="22"/>
              </w:rPr>
            </w:pPr>
            <w:r w:rsidRPr="002303F7">
              <w:rPr>
                <w:sz w:val="22"/>
                <w:szCs w:val="22"/>
              </w:rPr>
              <w:t>Právna úprava podľa návrhu zákona umožní Agentúre</w:t>
            </w:r>
            <w:r w:rsidR="00A832F2">
              <w:rPr>
                <w:sz w:val="22"/>
                <w:szCs w:val="22"/>
              </w:rPr>
              <w:t xml:space="preserve"> </w:t>
            </w:r>
            <w:r w:rsidR="00A832F2">
              <w:rPr>
                <w:bCs/>
                <w:sz w:val="22"/>
                <w:szCs w:val="22"/>
              </w:rPr>
              <w:t>pre núdzové zásoby ropy a ropných výrobkov</w:t>
            </w:r>
            <w:r w:rsidR="004F5710">
              <w:rPr>
                <w:sz w:val="22"/>
                <w:szCs w:val="22"/>
              </w:rPr>
              <w:t xml:space="preserve"> uzatvárať z</w:t>
            </w:r>
            <w:r w:rsidRPr="002303F7">
              <w:rPr>
                <w:sz w:val="22"/>
                <w:szCs w:val="22"/>
              </w:rPr>
              <w:t xml:space="preserve">mluvu iba s tými vybranými podnikateľmi, ktorí voči nej nemajú žiadne nesplatené záväzky. S vybranými podnikateľmi, ktorí si neplnili svoje povinnosti </w:t>
            </w:r>
            <w:r w:rsidR="004F5710">
              <w:rPr>
                <w:sz w:val="22"/>
                <w:szCs w:val="22"/>
              </w:rPr>
              <w:t>zo zmluvy, bude možné vypovedať z</w:t>
            </w:r>
            <w:r w:rsidRPr="002303F7">
              <w:rPr>
                <w:sz w:val="22"/>
                <w:szCs w:val="22"/>
              </w:rPr>
              <w:t>mluvu, čo bude pre nich mať príslušné následky podľa zákona č. 218/2013 Z. z.</w:t>
            </w:r>
          </w:p>
          <w:p w14:paraId="487E8422" w14:textId="5F9DC6DF" w:rsidR="003501A1" w:rsidRPr="00001A9F" w:rsidRDefault="002303F7" w:rsidP="00C34951">
            <w:pPr>
              <w:jc w:val="both"/>
              <w:rPr>
                <w:sz w:val="22"/>
                <w:szCs w:val="22"/>
              </w:rPr>
            </w:pPr>
            <w:r w:rsidRPr="002303F7">
              <w:rPr>
                <w:sz w:val="22"/>
                <w:szCs w:val="22"/>
              </w:rPr>
              <w:t>Návrh zákona obsahuje aj legislatívno-technické úpravy súvisiace s aktualizáciou kódov kombinovanej nomenklatúry colného sadzobníka v prípade zmeny týchto kódov podľa európskej legislatívy a úpravu niekt</w:t>
            </w:r>
            <w:r>
              <w:rPr>
                <w:sz w:val="22"/>
                <w:szCs w:val="22"/>
              </w:rPr>
              <w:t>orých ustanovení súvisiacich s hlásením údajov</w:t>
            </w:r>
            <w:r>
              <w:rPr>
                <w:bCs/>
                <w:sz w:val="22"/>
                <w:szCs w:val="22"/>
              </w:rPr>
              <w:t xml:space="preserve"> z Finančného riaditeľstva S</w:t>
            </w:r>
            <w:r w:rsidR="00C34951">
              <w:rPr>
                <w:bCs/>
                <w:sz w:val="22"/>
                <w:szCs w:val="22"/>
              </w:rPr>
              <w:t>lovenskej republiky</w:t>
            </w:r>
            <w:r>
              <w:rPr>
                <w:bCs/>
                <w:sz w:val="22"/>
                <w:szCs w:val="22"/>
              </w:rPr>
              <w:t xml:space="preserve"> pre Agentúru</w:t>
            </w:r>
            <w:r w:rsidR="00A832F2">
              <w:rPr>
                <w:bCs/>
                <w:sz w:val="22"/>
                <w:szCs w:val="22"/>
              </w:rPr>
              <w:t xml:space="preserve"> pre núdzové zásoby ropy a ropných výrobkov</w:t>
            </w:r>
            <w:r w:rsidRPr="002303F7">
              <w:rPr>
                <w:sz w:val="22"/>
                <w:szCs w:val="22"/>
              </w:rPr>
              <w:t>.</w:t>
            </w:r>
            <w:r w:rsidR="00001A9F">
              <w:rPr>
                <w:sz w:val="22"/>
                <w:szCs w:val="22"/>
              </w:rPr>
              <w:t xml:space="preserve"> Je tiež potrebné zmeniť jeden termín pre nahlásenie evidencie núdzových zásob Slovenskej republiky Európskej komisii v súlade s </w:t>
            </w:r>
            <w:r w:rsidR="000B7A68">
              <w:rPr>
                <w:sz w:val="22"/>
                <w:szCs w:val="22"/>
              </w:rPr>
              <w:t xml:space="preserve">platným </w:t>
            </w:r>
            <w:r w:rsidR="00001A9F">
              <w:rPr>
                <w:sz w:val="22"/>
                <w:szCs w:val="22"/>
              </w:rPr>
              <w:lastRenderedPageBreak/>
              <w:t xml:space="preserve">znením </w:t>
            </w:r>
            <w:r w:rsidR="00C34951">
              <w:rPr>
                <w:sz w:val="22"/>
                <w:szCs w:val="22"/>
              </w:rPr>
              <w:t xml:space="preserve">smernice </w:t>
            </w:r>
            <w:r w:rsidR="00001A9F">
              <w:rPr>
                <w:sz w:val="22"/>
                <w:szCs w:val="22"/>
              </w:rPr>
              <w:t xml:space="preserve">rady </w:t>
            </w:r>
            <w:r w:rsidR="00001A9F" w:rsidRPr="00001A9F">
              <w:rPr>
                <w:sz w:val="22"/>
                <w:szCs w:val="22"/>
              </w:rPr>
              <w:t>2009/119/ES zo</w:t>
            </w:r>
            <w:r w:rsidR="00001A9F">
              <w:rPr>
                <w:sz w:val="22"/>
                <w:szCs w:val="22"/>
              </w:rPr>
              <w:t xml:space="preserve"> </w:t>
            </w:r>
            <w:r w:rsidR="00001A9F" w:rsidRPr="00001A9F">
              <w:rPr>
                <w:sz w:val="22"/>
                <w:szCs w:val="22"/>
              </w:rPr>
              <w:t>14.</w:t>
            </w:r>
            <w:r w:rsidR="00001A9F">
              <w:rPr>
                <w:sz w:val="22"/>
                <w:szCs w:val="22"/>
              </w:rPr>
              <w:t xml:space="preserve"> </w:t>
            </w:r>
            <w:r w:rsidR="00001A9F" w:rsidRPr="00001A9F">
              <w:rPr>
                <w:sz w:val="22"/>
                <w:szCs w:val="22"/>
              </w:rPr>
              <w:t>septembra</w:t>
            </w:r>
            <w:r w:rsidR="00001A9F">
              <w:rPr>
                <w:sz w:val="22"/>
                <w:szCs w:val="22"/>
              </w:rPr>
              <w:t xml:space="preserve"> </w:t>
            </w:r>
            <w:r w:rsidR="00001A9F" w:rsidRPr="00001A9F">
              <w:rPr>
                <w:sz w:val="22"/>
                <w:szCs w:val="22"/>
              </w:rPr>
              <w:t>20</w:t>
            </w:r>
            <w:r w:rsidR="00001A9F">
              <w:rPr>
                <w:sz w:val="22"/>
                <w:szCs w:val="22"/>
              </w:rPr>
              <w:t xml:space="preserve">09, ktorou sa členským štátom ukladá </w:t>
            </w:r>
            <w:r w:rsidR="00001A9F" w:rsidRPr="00001A9F">
              <w:rPr>
                <w:sz w:val="22"/>
                <w:szCs w:val="22"/>
              </w:rPr>
              <w:t>povinnosť udržiavať</w:t>
            </w:r>
            <w:r w:rsidR="00001A9F">
              <w:rPr>
                <w:sz w:val="22"/>
                <w:szCs w:val="22"/>
              </w:rPr>
              <w:t xml:space="preserve"> </w:t>
            </w:r>
            <w:r w:rsidR="00001A9F" w:rsidRPr="00001A9F">
              <w:rPr>
                <w:sz w:val="22"/>
                <w:szCs w:val="22"/>
              </w:rPr>
              <w:t>minimálne</w:t>
            </w:r>
            <w:r w:rsidR="00001A9F">
              <w:rPr>
                <w:sz w:val="22"/>
                <w:szCs w:val="22"/>
              </w:rPr>
              <w:t xml:space="preserve"> </w:t>
            </w:r>
            <w:r w:rsidR="00001A9F" w:rsidRPr="00001A9F">
              <w:rPr>
                <w:sz w:val="22"/>
                <w:szCs w:val="22"/>
              </w:rPr>
              <w:t>zásoby</w:t>
            </w:r>
            <w:r w:rsidR="00001A9F">
              <w:rPr>
                <w:sz w:val="22"/>
                <w:szCs w:val="22"/>
              </w:rPr>
              <w:t xml:space="preserve"> </w:t>
            </w:r>
            <w:r w:rsidR="00001A9F" w:rsidRPr="00001A9F">
              <w:rPr>
                <w:sz w:val="22"/>
                <w:szCs w:val="22"/>
              </w:rPr>
              <w:t>ropy</w:t>
            </w:r>
            <w:r w:rsidR="00001A9F">
              <w:rPr>
                <w:sz w:val="22"/>
                <w:szCs w:val="22"/>
              </w:rPr>
              <w:t xml:space="preserve"> </w:t>
            </w:r>
            <w:r w:rsidR="00001A9F" w:rsidRPr="00001A9F">
              <w:rPr>
                <w:sz w:val="22"/>
                <w:szCs w:val="22"/>
              </w:rPr>
              <w:t>a/alebo</w:t>
            </w:r>
            <w:r w:rsidR="00001A9F">
              <w:rPr>
                <w:sz w:val="22"/>
                <w:szCs w:val="22"/>
              </w:rPr>
              <w:t xml:space="preserve"> </w:t>
            </w:r>
            <w:r w:rsidR="00001A9F" w:rsidRPr="00001A9F">
              <w:rPr>
                <w:sz w:val="22"/>
                <w:szCs w:val="22"/>
              </w:rPr>
              <w:t>ropných</w:t>
            </w:r>
            <w:r w:rsidR="00001A9F">
              <w:rPr>
                <w:sz w:val="22"/>
                <w:szCs w:val="22"/>
              </w:rPr>
              <w:t xml:space="preserve"> </w:t>
            </w:r>
            <w:r w:rsidR="00001A9F" w:rsidRPr="00001A9F">
              <w:rPr>
                <w:sz w:val="22"/>
                <w:szCs w:val="22"/>
              </w:rPr>
              <w:t>výrobkov</w:t>
            </w:r>
            <w:r w:rsidR="000B7A68">
              <w:rPr>
                <w:sz w:val="22"/>
                <w:szCs w:val="22"/>
              </w:rPr>
              <w:t xml:space="preserve"> </w:t>
            </w:r>
            <w:r w:rsidR="000B7A68" w:rsidRPr="000B7A68">
              <w:rPr>
                <w:sz w:val="22"/>
                <w:szCs w:val="22"/>
              </w:rPr>
              <w:t>(Ú. v. ES L 265 9.10.2009)</w:t>
            </w:r>
            <w:r w:rsidR="00001A9F">
              <w:rPr>
                <w:sz w:val="22"/>
                <w:szCs w:val="22"/>
              </w:rPr>
              <w:t>.</w:t>
            </w:r>
          </w:p>
        </w:tc>
      </w:tr>
      <w:tr w:rsidR="003501A1" w:rsidRPr="00A179AE" w14:paraId="15E05F19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868C1D1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>Dotknuté subjekty</w:t>
            </w:r>
          </w:p>
        </w:tc>
      </w:tr>
      <w:tr w:rsidR="003501A1" w:rsidRPr="00A179AE" w14:paraId="53B124A7" w14:textId="77777777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CF256" w14:textId="77777777"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subjekty, ktorých sa zmeny návrhu dotknú priamo aj nepriamo:</w:t>
            </w:r>
          </w:p>
          <w:p w14:paraId="14D9A62F" w14:textId="77777777" w:rsidR="003501A1" w:rsidRPr="005753AF" w:rsidRDefault="00D9535C" w:rsidP="005753AF">
            <w:pPr>
              <w:pStyle w:val="Odsekzoznamu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53AF">
              <w:rPr>
                <w:rFonts w:ascii="Times New Roman" w:hAnsi="Times New Roman" w:cs="Times New Roman"/>
              </w:rPr>
              <w:t>vybraní podnikatelia v zmysle definície podľa § 2 písm. d) zákona č. 218/2013 Z. z.,</w:t>
            </w:r>
          </w:p>
          <w:p w14:paraId="7CC923D9" w14:textId="77777777" w:rsidR="00D9535C" w:rsidRPr="005753AF" w:rsidRDefault="00D9535C" w:rsidP="005753AF">
            <w:pPr>
              <w:pStyle w:val="Odsekzoznamu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53AF">
              <w:rPr>
                <w:rFonts w:ascii="Times New Roman" w:hAnsi="Times New Roman" w:cs="Times New Roman"/>
              </w:rPr>
              <w:t xml:space="preserve">Agentúra </w:t>
            </w:r>
            <w:r w:rsidRPr="005753AF">
              <w:rPr>
                <w:rFonts w:ascii="Times New Roman" w:hAnsi="Times New Roman" w:cs="Times New Roman"/>
                <w:bCs/>
              </w:rPr>
              <w:t>pre núdzové zásoby ropy a ropných výrobkov,</w:t>
            </w:r>
          </w:p>
          <w:p w14:paraId="4B7146AC" w14:textId="77777777" w:rsidR="00D9535C" w:rsidRPr="00D9535C" w:rsidRDefault="00D9535C" w:rsidP="005753AF">
            <w:pPr>
              <w:pStyle w:val="Odsekzoznamu"/>
              <w:numPr>
                <w:ilvl w:val="0"/>
                <w:numId w:val="2"/>
              </w:numPr>
              <w:spacing w:line="240" w:lineRule="auto"/>
              <w:jc w:val="both"/>
            </w:pPr>
            <w:r w:rsidRPr="005753AF">
              <w:rPr>
                <w:rFonts w:ascii="Times New Roman" w:hAnsi="Times New Roman" w:cs="Times New Roman"/>
                <w:bCs/>
              </w:rPr>
              <w:t>Finančné riaditeľstvo Slovenskej republiky.</w:t>
            </w:r>
          </w:p>
        </w:tc>
      </w:tr>
      <w:tr w:rsidR="003501A1" w:rsidRPr="00A179AE" w14:paraId="70505675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DD7F149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A179AE" w14:paraId="3639E2C8" w14:textId="77777777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1B7A5" w14:textId="77777777"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Aké alternatívne riešenia boli posudzované?</w:t>
            </w:r>
          </w:p>
          <w:p w14:paraId="23BF1992" w14:textId="77777777"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Uveďte, aké alternatívne spôsoby na odstránenie definovaného problému boli identifikované a posudzované.</w:t>
            </w:r>
          </w:p>
          <w:p w14:paraId="7544CDB4" w14:textId="77777777" w:rsidR="00A11B55" w:rsidRPr="00A11B55" w:rsidRDefault="00A11B55" w:rsidP="00575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záujme efektívneho fungovania systému udržiavania núdzových zásob ropy a ropných výrobkov Slovenskej republiky nie sú k dispozícii alternatívne riešenia.</w:t>
            </w:r>
          </w:p>
          <w:p w14:paraId="6B946029" w14:textId="77777777" w:rsidR="00A11B55" w:rsidRPr="00A179AE" w:rsidRDefault="00A11B55" w:rsidP="007B71A4">
            <w:pPr>
              <w:rPr>
                <w:i/>
              </w:rPr>
            </w:pPr>
          </w:p>
        </w:tc>
      </w:tr>
      <w:tr w:rsidR="003501A1" w:rsidRPr="00A179AE" w14:paraId="3FD67073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65BDDD0F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A179AE" w14:paraId="42E553ED" w14:textId="77777777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A4CA1D" w14:textId="77777777"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EA884F" w14:textId="77777777" w:rsidR="003501A1" w:rsidRPr="00A179AE" w:rsidRDefault="00603DB7" w:rsidP="007B71A4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7C2D5D" w14:textId="77777777" w:rsidR="003501A1" w:rsidRPr="00A179AE" w:rsidRDefault="00603DB7" w:rsidP="007B71A4">
            <w:pPr>
              <w:jc w:val="center"/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B5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1A1" w:rsidRPr="00A179AE">
              <w:t xml:space="preserve">  Nie</w:t>
            </w:r>
          </w:p>
        </w:tc>
      </w:tr>
      <w:tr w:rsidR="003501A1" w:rsidRPr="00A179AE" w14:paraId="1A00780A" w14:textId="77777777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190C6" w14:textId="77777777"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  <w:p w14:paraId="6CABE86C" w14:textId="77777777" w:rsidR="003501A1" w:rsidRPr="00A179AE" w:rsidRDefault="003501A1" w:rsidP="007B71A4"/>
        </w:tc>
      </w:tr>
      <w:tr w:rsidR="003501A1" w:rsidRPr="00A179AE" w14:paraId="572632CE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1F09D467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A179AE" w14:paraId="6916EC4A" w14:textId="77777777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F77FC4C" w14:textId="77777777"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Uveďte, v ktorých ustanoveniach ide národná právna úprava nad rámec minimálnych požiadaviek EÚ spolu s odôvodnením.</w:t>
            </w:r>
          </w:p>
        </w:tc>
      </w:tr>
      <w:tr w:rsidR="003501A1" w:rsidRPr="00A179AE" w14:paraId="0525F654" w14:textId="77777777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73B650" w14:textId="77777777" w:rsidR="003501A1" w:rsidRPr="00A179AE" w:rsidRDefault="003501A1" w:rsidP="007B71A4">
            <w:pPr>
              <w:jc w:val="center"/>
            </w:pPr>
          </w:p>
        </w:tc>
      </w:tr>
      <w:tr w:rsidR="003501A1" w:rsidRPr="00A179AE" w14:paraId="51033D2B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1C67B123" w14:textId="77777777"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A179AE" w14:paraId="7610E5BC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E6FF8" w14:textId="77777777"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termín, kedy by malo dôjsť k preskúmaniu účinnosti a účelnosti navrhovaného predpisu.</w:t>
            </w:r>
          </w:p>
          <w:p w14:paraId="502A2C4C" w14:textId="77777777"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kritériá, na základe ktorých bude preskúmanie vykonané.</w:t>
            </w:r>
          </w:p>
          <w:p w14:paraId="7CF24A14" w14:textId="77777777"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14:paraId="6BEB431D" w14:textId="77777777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4A62E6" w14:textId="77777777" w:rsidR="004F6F1F" w:rsidRDefault="004F6F1F" w:rsidP="004C60B8">
            <w:pPr>
              <w:ind w:left="142" w:hanging="142"/>
            </w:pPr>
          </w:p>
          <w:p w14:paraId="1DC0BFF0" w14:textId="77777777" w:rsidR="00D13B6F" w:rsidRDefault="00D13B6F" w:rsidP="004C60B8">
            <w:pPr>
              <w:ind w:left="142" w:hanging="142"/>
            </w:pPr>
          </w:p>
          <w:p w14:paraId="06901E61" w14:textId="77777777" w:rsidR="00F62771" w:rsidRDefault="00F62771" w:rsidP="004C60B8">
            <w:pPr>
              <w:ind w:left="142" w:hanging="142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14:paraId="61EA1317" w14:textId="77777777" w:rsidR="003501A1" w:rsidRPr="00A179AE" w:rsidRDefault="00F62771" w:rsidP="00F22831">
            <w:r>
              <w:t>*</w:t>
            </w:r>
            <w:r w:rsidR="00F22831">
              <w:t>* nepovinné</w:t>
            </w:r>
          </w:p>
        </w:tc>
      </w:tr>
      <w:tr w:rsidR="003501A1" w:rsidRPr="00A179AE" w14:paraId="6C0B1EF6" w14:textId="77777777" w:rsidTr="004F6F1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7AAB51" w14:textId="77777777" w:rsidR="003501A1" w:rsidRPr="00A179AE" w:rsidRDefault="003501A1" w:rsidP="003501A1">
            <w:pPr>
              <w:rPr>
                <w:b/>
              </w:rPr>
            </w:pPr>
          </w:p>
        </w:tc>
      </w:tr>
      <w:tr w:rsidR="003501A1" w:rsidRPr="00A179AE" w14:paraId="4B0ED67A" w14:textId="77777777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14:paraId="01AFA9B9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3501A1" w:rsidRPr="00A179AE" w14:paraId="6B3B2DF6" w14:textId="77777777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346EFF9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370F249" w14:textId="77777777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B914B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9D1BB9E" w14:textId="77777777" w:rsidR="003501A1" w:rsidRPr="00A179AE" w:rsidRDefault="00A11B55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78047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6A10281" w14:textId="77777777" w:rsidR="003501A1" w:rsidRPr="00A179AE" w:rsidRDefault="003501A1" w:rsidP="007B71A4">
                <w:pPr>
                  <w:ind w:left="-107" w:right="-108"/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9D91F" w14:textId="77777777" w:rsidR="003501A1" w:rsidRPr="00A179AE" w:rsidRDefault="003501A1" w:rsidP="007B71A4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14:paraId="5ABA71D6" w14:textId="77777777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14:paraId="585F1CF1" w14:textId="77777777" w:rsidR="003501A1" w:rsidRPr="00A179AE" w:rsidRDefault="003501A1" w:rsidP="007B71A4">
            <w:r w:rsidRPr="00A179AE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3E63D04" w14:textId="77777777"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BF98C5" w14:textId="77777777" w:rsidR="003501A1" w:rsidRPr="00A179AE" w:rsidRDefault="003501A1" w:rsidP="007B71A4">
            <w:r w:rsidRPr="00A179AE"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B54A0FF" w14:textId="77777777" w:rsidR="003501A1" w:rsidRPr="00A179AE" w:rsidRDefault="00A11B55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B131E7" w14:textId="77777777" w:rsidR="003501A1" w:rsidRPr="00A179AE" w:rsidRDefault="003501A1" w:rsidP="007B71A4">
            <w:r w:rsidRPr="00A179AE"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0D4278A" w14:textId="77777777" w:rsidR="003501A1" w:rsidRPr="00A179AE" w:rsidRDefault="003501A1" w:rsidP="007B71A4">
                <w:pPr>
                  <w:ind w:left="-107" w:right="-108"/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D8A96" w14:textId="77777777" w:rsidR="003501A1" w:rsidRPr="00A179AE" w:rsidRDefault="003501A1" w:rsidP="007B71A4">
            <w:pPr>
              <w:ind w:left="34"/>
            </w:pPr>
            <w:r w:rsidRPr="00A179AE">
              <w:t>Čiastočne</w:t>
            </w:r>
          </w:p>
        </w:tc>
      </w:tr>
      <w:tr w:rsidR="003501A1" w:rsidRPr="00A179AE" w14:paraId="09EE0C04" w14:textId="77777777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DADF450" w14:textId="77777777"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582652C" w14:textId="77777777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02719" w14:textId="77777777"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798A2F5" w14:textId="77777777" w:rsidR="003501A1" w:rsidRPr="00A179AE" w:rsidRDefault="00A11B55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03F4F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5799D47" w14:textId="77777777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395FF" w14:textId="77777777"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14:paraId="671CD304" w14:textId="77777777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14:paraId="0C4FA7A9" w14:textId="77777777" w:rsidR="003501A1" w:rsidRPr="00A179AE" w:rsidRDefault="003501A1" w:rsidP="007B71A4">
            <w:r w:rsidRPr="00A179AE">
              <w:t xml:space="preserve">    z toho vplyvy na MSP</w:t>
            </w:r>
          </w:p>
        </w:tc>
        <w:sdt>
          <w:sdt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14:paraId="66DFA654" w14:textId="77777777"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CDD9A" w14:textId="77777777" w:rsidR="003501A1" w:rsidRPr="00A179AE" w:rsidRDefault="003501A1" w:rsidP="007B71A4">
            <w:pPr>
              <w:ind w:right="-108"/>
            </w:pPr>
            <w:r w:rsidRPr="00A179AE">
              <w:t>Pozitívne</w:t>
            </w:r>
          </w:p>
        </w:tc>
        <w:sdt>
          <w:sdt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BCE24CC" w14:textId="77777777"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6ADBB" w14:textId="77777777" w:rsidR="003501A1" w:rsidRPr="00A179AE" w:rsidRDefault="003501A1" w:rsidP="007B71A4">
            <w:r w:rsidRPr="00A179AE">
              <w:t>Žiadne</w:t>
            </w:r>
          </w:p>
        </w:tc>
        <w:sdt>
          <w:sdt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423B015" w14:textId="77777777"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6E49A" w14:textId="77777777" w:rsidR="003501A1" w:rsidRPr="00A179AE" w:rsidRDefault="003501A1" w:rsidP="007B71A4">
            <w:pPr>
              <w:ind w:left="54"/>
            </w:pPr>
            <w:r w:rsidRPr="00A179AE">
              <w:t>Negatívne</w:t>
            </w:r>
          </w:p>
        </w:tc>
      </w:tr>
      <w:tr w:rsidR="003501A1" w:rsidRPr="00A179AE" w14:paraId="2746018A" w14:textId="77777777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7D82FF2" w14:textId="77777777"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BB43B8C" w14:textId="77777777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D1B29" w14:textId="77777777"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AE7E1AA" w14:textId="7D88EFAF" w:rsidR="003501A1" w:rsidRPr="00A179AE" w:rsidRDefault="00F95525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914A5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929C846" w14:textId="77777777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4E01A" w14:textId="77777777"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14:paraId="41734C01" w14:textId="77777777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3B5D889" w14:textId="77777777"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240CB99" w14:textId="77777777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F7F86" w14:textId="77777777"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55C3ACF" w14:textId="77777777" w:rsidR="003501A1" w:rsidRPr="00A179AE" w:rsidRDefault="00A11B55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8C5E1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8DC28CD" w14:textId="77777777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5EEB5" w14:textId="77777777"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14:paraId="5512EB96" w14:textId="77777777" w:rsidTr="006B38B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F378951" w14:textId="77777777"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09BF49F" w14:textId="77777777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4258B" w14:textId="77777777"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C211EAA" w14:textId="617A4B2D" w:rsidR="003501A1" w:rsidRPr="00A179AE" w:rsidRDefault="00F95525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21914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EA8EC62" w14:textId="77777777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13676" w14:textId="77777777"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14:paraId="4D4F412F" w14:textId="77777777" w:rsidTr="006B38B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1E4C577" w14:textId="6D5CA8D0" w:rsidR="0045465B" w:rsidRPr="00653ADA" w:rsidRDefault="0045465B" w:rsidP="00B83402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</w:t>
            </w:r>
            <w:r w:rsidR="006047CE">
              <w:rPr>
                <w:rFonts w:eastAsia="Calibri"/>
                <w:b/>
                <w:lang w:eastAsia="en-US"/>
              </w:rPr>
              <w:t> </w:t>
            </w:r>
            <w:r>
              <w:rPr>
                <w:rFonts w:eastAsia="Calibri"/>
                <w:b/>
                <w:lang w:eastAsia="en-US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7841B8" w14:textId="77777777"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7E015E" w14:textId="77777777" w:rsidR="0045465B" w:rsidRPr="00653ADA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073E99" w14:textId="77777777"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F9706A" w14:textId="77777777" w:rsidR="0045465B" w:rsidRPr="00653ADA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5A5DAA" w14:textId="77777777"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C7FD5B" w14:textId="77777777" w:rsidR="0045465B" w:rsidRPr="00653ADA" w:rsidRDefault="0045465B" w:rsidP="00B83402">
            <w:pPr>
              <w:ind w:left="54"/>
              <w:rPr>
                <w:b/>
              </w:rPr>
            </w:pPr>
          </w:p>
        </w:tc>
      </w:tr>
      <w:tr w:rsidR="0045465B" w:rsidRPr="009634B3" w14:paraId="0A873BCB" w14:textId="77777777" w:rsidTr="006B38B3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4848518" w14:textId="77777777" w:rsidR="0045465B" w:rsidRPr="009634B3" w:rsidRDefault="0045465B" w:rsidP="00B83402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F2D338" w14:textId="77777777" w:rsidR="0045465B" w:rsidRPr="009634B3" w:rsidRDefault="0045465B" w:rsidP="00B83402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DDB97" w14:textId="77777777" w:rsidR="0045465B" w:rsidRPr="009634B3" w:rsidRDefault="0045465B" w:rsidP="00B83402">
            <w:pPr>
              <w:ind w:right="-108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E1E4C" w14:textId="3FDF5EB3" w:rsidR="0045465B" w:rsidRPr="009634B3" w:rsidRDefault="00603DB7" w:rsidP="00B83402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sdt>
              <w:sdtPr>
                <w:rPr>
                  <w:b/>
                </w:rPr>
                <w:id w:val="18010348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525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D3FEC" w14:textId="77777777" w:rsidR="0045465B" w:rsidRPr="009634B3" w:rsidRDefault="0045465B" w:rsidP="00B83402">
            <w:pPr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A1361" w14:textId="77777777" w:rsidR="0045465B" w:rsidRPr="009634B3" w:rsidRDefault="0045465B" w:rsidP="00B83402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F6577D" w14:textId="7BB261AD" w:rsidR="0045465B" w:rsidRPr="009634B3" w:rsidRDefault="0045465B" w:rsidP="00B83402">
            <w:pPr>
              <w:ind w:left="54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Negatívne</w:t>
            </w:r>
          </w:p>
        </w:tc>
      </w:tr>
      <w:tr w:rsidR="00F95525" w:rsidRPr="009634B3" w14:paraId="48ACC850" w14:textId="77777777" w:rsidTr="006B38B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10D8503" w14:textId="77777777" w:rsidR="0045465B" w:rsidRPr="009634B3" w:rsidRDefault="0045465B" w:rsidP="00B83402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B46248" w14:textId="77777777" w:rsidR="0045465B" w:rsidRPr="009634B3" w:rsidRDefault="0045465B" w:rsidP="00B83402">
            <w:pPr>
              <w:jc w:val="center"/>
              <w:rPr>
                <w:rFonts w:eastAsia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2B6C13" w14:textId="77777777" w:rsidR="0045465B" w:rsidRPr="009634B3" w:rsidRDefault="0045465B" w:rsidP="00B83402">
            <w:pPr>
              <w:ind w:right="-108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DE0D50" w14:textId="3A4ECA44" w:rsidR="0045465B" w:rsidRPr="009634B3" w:rsidRDefault="00603DB7" w:rsidP="00B83402">
            <w:pPr>
              <w:jc w:val="center"/>
              <w:rPr>
                <w:rFonts w:eastAsia="MS Mincho"/>
                <w:b/>
                <w:lang w:eastAsia="en-US"/>
              </w:rPr>
            </w:pPr>
            <w:sdt>
              <w:sdtPr>
                <w:rPr>
                  <w:b/>
                </w:rPr>
                <w:id w:val="181382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525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B18BED" w14:textId="77777777" w:rsidR="0045465B" w:rsidRPr="009634B3" w:rsidRDefault="0045465B" w:rsidP="00B83402">
            <w:pPr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520971" w14:textId="77777777" w:rsidR="0045465B" w:rsidRPr="009634B3" w:rsidRDefault="0045465B" w:rsidP="00B83402">
            <w:pPr>
              <w:jc w:val="center"/>
              <w:rPr>
                <w:rFonts w:eastAsia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281D" w14:textId="055A14ED" w:rsidR="0045465B" w:rsidRPr="009634B3" w:rsidRDefault="0045465B" w:rsidP="00B83402">
            <w:pPr>
              <w:ind w:left="54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Negatívne</w:t>
            </w:r>
          </w:p>
        </w:tc>
      </w:tr>
      <w:tr w:rsidR="00F95525" w:rsidRPr="009634B3" w14:paraId="0DE04187" w14:textId="77777777" w:rsidTr="00E17F20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CFCC76E" w14:textId="16C52708" w:rsidR="00F95525" w:rsidRDefault="00E17F20" w:rsidP="00F95525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Vplyvy na manželstvo, rodičovstvo a</w:t>
            </w:r>
            <w:r w:rsidR="006047CE">
              <w:rPr>
                <w:rFonts w:eastAsia="Calibri"/>
                <w:b/>
                <w:lang w:eastAsia="en-US"/>
              </w:rPr>
              <w:t> </w:t>
            </w:r>
            <w:r>
              <w:rPr>
                <w:rFonts w:eastAsia="Calibri"/>
                <w:b/>
                <w:lang w:eastAsia="en-US"/>
              </w:rPr>
              <w:t>rodinu</w:t>
            </w:r>
          </w:p>
        </w:tc>
        <w:sdt>
          <w:sdtPr>
            <w:rPr>
              <w:rFonts w:eastAsia="MS Mincho"/>
              <w:b/>
              <w:lang w:eastAsia="en-US"/>
            </w:rPr>
            <w:id w:val="144111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87BB93A" w14:textId="2573D693" w:rsidR="00F95525" w:rsidRPr="009634B3" w:rsidRDefault="005505AF" w:rsidP="00F95525">
                <w:pPr>
                  <w:jc w:val="center"/>
                  <w:rPr>
                    <w:rFonts w:ascii="MS Mincho" w:eastAsia="MS Mincho" w:hAnsi="MS Mincho" w:cs="MS Mincho"/>
                    <w:b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7DC00E" w14:textId="6752E21F" w:rsidR="00F95525" w:rsidRPr="009634B3" w:rsidRDefault="00F95525" w:rsidP="00F95525">
            <w:pPr>
              <w:ind w:right="-108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Pozitívne</w:t>
            </w:r>
          </w:p>
        </w:tc>
        <w:sdt>
          <w:sdtPr>
            <w:rPr>
              <w:rFonts w:eastAsia="MS Mincho"/>
              <w:b/>
              <w:lang w:eastAsia="en-US"/>
            </w:rPr>
            <w:id w:val="-4495479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C3DDF0E" w14:textId="71B9A191" w:rsidR="00F95525" w:rsidRDefault="00F95525" w:rsidP="00F9552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lang w:eastAsia="en-US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A31399" w14:textId="79781D80" w:rsidR="00F95525" w:rsidRPr="009634B3" w:rsidRDefault="00F95525" w:rsidP="00F95525">
            <w:pPr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Žiadne</w:t>
            </w:r>
          </w:p>
        </w:tc>
        <w:sdt>
          <w:sdtPr>
            <w:rPr>
              <w:rFonts w:eastAsia="MS Mincho"/>
              <w:b/>
              <w:lang w:eastAsia="en-US"/>
            </w:rPr>
            <w:id w:val="928082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733A38F" w14:textId="1010B203" w:rsidR="00F95525" w:rsidRPr="009634B3" w:rsidRDefault="00F95525" w:rsidP="00F95525">
                <w:pPr>
                  <w:jc w:val="center"/>
                  <w:rPr>
                    <w:rFonts w:ascii="MS Mincho" w:eastAsia="MS Mincho" w:hAnsi="MS Mincho" w:cs="MS Mincho"/>
                    <w:b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69AA" w14:textId="6B89CFF7" w:rsidR="00F95525" w:rsidRPr="009634B3" w:rsidRDefault="00F95525" w:rsidP="00F95525">
            <w:pPr>
              <w:ind w:left="54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Negatívne</w:t>
            </w:r>
          </w:p>
        </w:tc>
      </w:tr>
    </w:tbl>
    <w:p w14:paraId="278D6E92" w14:textId="77777777" w:rsidR="003501A1" w:rsidRPr="00A179AE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14:paraId="24008F15" w14:textId="77777777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7D791C8" w14:textId="77777777"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14:paraId="13BF8526" w14:textId="77777777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447DE1FC" w14:textId="77777777" w:rsidR="004F6F1F" w:rsidRPr="00A179AE" w:rsidRDefault="004F6F1F" w:rsidP="004F6F1F">
            <w:pPr>
              <w:rPr>
                <w:i/>
              </w:rPr>
            </w:pPr>
            <w:r w:rsidRPr="00A179AE">
              <w:rPr>
                <w:i/>
              </w:rPr>
              <w:t>V prípade potreby uveďte doplňujúce informácie k návrhu.</w:t>
            </w:r>
          </w:p>
          <w:p w14:paraId="2C5353B8" w14:textId="77777777" w:rsidR="004F6F1F" w:rsidRPr="006421D7" w:rsidRDefault="004F6F1F" w:rsidP="006421D7">
            <w:pPr>
              <w:rPr>
                <w:b/>
              </w:rPr>
            </w:pPr>
          </w:p>
        </w:tc>
      </w:tr>
      <w:tr w:rsidR="003501A1" w:rsidRPr="00A179AE" w14:paraId="507C757D" w14:textId="77777777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3563CB56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>Kontakt na spracovateľa</w:t>
            </w:r>
          </w:p>
        </w:tc>
      </w:tr>
      <w:tr w:rsidR="003501A1" w:rsidRPr="00A179AE" w14:paraId="03A413FD" w14:textId="77777777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7028B" w14:textId="77777777" w:rsidR="003501A1" w:rsidRDefault="00D13B6F">
            <w:pPr>
              <w:rPr>
                <w:i/>
              </w:rPr>
            </w:pPr>
            <w:r>
              <w:rPr>
                <w:i/>
              </w:rPr>
              <w:t>Uveďte</w:t>
            </w:r>
            <w:r w:rsidRPr="00D13B6F">
              <w:rPr>
                <w:i/>
              </w:rPr>
              <w:t xml:space="preserve"> údaje na kontaktnú osobu, ktorú je možné kontaktovať v súvislosti s posúdením vybraných vplyvov</w:t>
            </w:r>
          </w:p>
          <w:p w14:paraId="088502A6" w14:textId="77777777" w:rsidR="00D82664" w:rsidRPr="00D82664" w:rsidRDefault="00D82664" w:rsidP="00D82664">
            <w:pPr>
              <w:rPr>
                <w:iCs/>
              </w:rPr>
            </w:pPr>
            <w:r w:rsidRPr="00D82664">
              <w:rPr>
                <w:iCs/>
              </w:rPr>
              <w:t>JUDr. Radoslav Demeter</w:t>
            </w:r>
          </w:p>
          <w:p w14:paraId="71C35319" w14:textId="77777777" w:rsidR="00D82664" w:rsidRPr="00D82664" w:rsidRDefault="00D82664" w:rsidP="00D82664">
            <w:pPr>
              <w:rPr>
                <w:iCs/>
              </w:rPr>
            </w:pPr>
            <w:r w:rsidRPr="00D82664">
              <w:rPr>
                <w:iCs/>
              </w:rPr>
              <w:t>radoslav.demeter@reserves.gov.sk</w:t>
            </w:r>
          </w:p>
          <w:p w14:paraId="51B40EAE" w14:textId="11E20060" w:rsidR="00267171" w:rsidRPr="00267171" w:rsidRDefault="00D82664" w:rsidP="00D82664">
            <w:pPr>
              <w:rPr>
                <w:iCs/>
              </w:rPr>
            </w:pPr>
            <w:r w:rsidRPr="00D82664">
              <w:rPr>
                <w:iCs/>
              </w:rPr>
              <w:t>02/57278290</w:t>
            </w:r>
          </w:p>
        </w:tc>
      </w:tr>
      <w:tr w:rsidR="003501A1" w:rsidRPr="00A179AE" w14:paraId="29B8065F" w14:textId="77777777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489F7E2B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A179AE" w14:paraId="6364876C" w14:textId="77777777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940AF" w14:textId="77777777"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zdroje</w:t>
            </w:r>
            <w:r w:rsidR="00EB59E3">
              <w:rPr>
                <w:i/>
              </w:rPr>
              <w:t xml:space="preserve"> </w:t>
            </w:r>
            <w:r w:rsidR="00D75D35">
              <w:rPr>
                <w:i/>
              </w:rPr>
              <w:t>(štatistiky, prieskumy, spoluprácu s odborníkmi a iné)</w:t>
            </w:r>
            <w:r w:rsidRPr="00A179AE">
              <w:rPr>
                <w:i/>
              </w:rPr>
              <w:t>, z ktorých ste pri vypracovávaní doložky, príp. analýz vplyvov vychádzali.</w:t>
            </w:r>
          </w:p>
          <w:p w14:paraId="42C7BF23" w14:textId="4458AE05" w:rsidR="000F0ACF" w:rsidRPr="000F0ACF" w:rsidRDefault="000F0ACF" w:rsidP="007B71A4">
            <w:r w:rsidRPr="000F0ACF">
              <w:t xml:space="preserve">Pri </w:t>
            </w:r>
            <w:r>
              <w:t>vypracovávaní doložky vplyvov sme vychádzali z konzultácií a spolupráce so zástupcami Agentúry pre núdzové zásoby ropy a ropných výrobkov, ktorí sú v pravidelnom kontakte s vybranými podnikateľmi, ako aj z konzultácií so zamestnancami Finančného riaditeľstva Slovenskej republiky.</w:t>
            </w:r>
          </w:p>
          <w:p w14:paraId="109328B5" w14:textId="77777777" w:rsidR="003501A1" w:rsidRPr="00A179AE" w:rsidRDefault="003501A1" w:rsidP="007B71A4">
            <w:pPr>
              <w:rPr>
                <w:i/>
              </w:rPr>
            </w:pPr>
          </w:p>
          <w:p w14:paraId="788D64E4" w14:textId="77777777" w:rsidR="003501A1" w:rsidRPr="00A179AE" w:rsidRDefault="003501A1" w:rsidP="007B71A4">
            <w:pPr>
              <w:rPr>
                <w:b/>
              </w:rPr>
            </w:pPr>
          </w:p>
        </w:tc>
      </w:tr>
      <w:tr w:rsidR="003501A1" w:rsidRPr="00A179AE" w14:paraId="3F4E65C8" w14:textId="77777777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22AC192C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3501A1" w:rsidRPr="00A179AE" w14:paraId="2D7B76A1" w14:textId="77777777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3775B" w14:textId="77777777"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 xml:space="preserve">Uveďte stanovisko </w:t>
            </w:r>
            <w:r>
              <w:rPr>
                <w:i/>
              </w:rPr>
              <w:t>Komisie pre posudzovanie vybraných vplyvov</w:t>
            </w:r>
            <w:r w:rsidRPr="00A179AE">
              <w:rPr>
                <w:i/>
              </w:rPr>
              <w:t>, ktoré Vám bolo zaslané v rámci predbežného pripomienkového konania</w:t>
            </w:r>
          </w:p>
          <w:p w14:paraId="4326C5C2" w14:textId="676AD3F0" w:rsidR="003501A1" w:rsidRPr="00A179AE" w:rsidRDefault="003501A1" w:rsidP="007B71A4">
            <w:pPr>
              <w:rPr>
                <w:b/>
              </w:rPr>
            </w:pPr>
          </w:p>
          <w:p w14:paraId="417D8C4D" w14:textId="77777777" w:rsidR="003501A1" w:rsidRPr="00A179AE" w:rsidRDefault="003501A1" w:rsidP="007B71A4">
            <w:pPr>
              <w:rPr>
                <w:b/>
              </w:rPr>
            </w:pPr>
          </w:p>
          <w:p w14:paraId="087C443C" w14:textId="77777777" w:rsidR="003501A1" w:rsidRPr="00A179AE" w:rsidRDefault="003501A1" w:rsidP="007B71A4">
            <w:pPr>
              <w:rPr>
                <w:b/>
              </w:rPr>
            </w:pPr>
          </w:p>
          <w:p w14:paraId="2252789B" w14:textId="77777777" w:rsidR="003501A1" w:rsidRPr="00A179AE" w:rsidRDefault="003501A1" w:rsidP="007B71A4">
            <w:pPr>
              <w:rPr>
                <w:b/>
              </w:rPr>
            </w:pPr>
          </w:p>
          <w:p w14:paraId="50E99EBC" w14:textId="77777777" w:rsidR="003501A1" w:rsidRPr="00A179AE" w:rsidRDefault="003501A1" w:rsidP="007B71A4">
            <w:pPr>
              <w:rPr>
                <w:b/>
              </w:rPr>
            </w:pPr>
          </w:p>
        </w:tc>
      </w:tr>
    </w:tbl>
    <w:p w14:paraId="38A68CBF" w14:textId="17C92B25" w:rsidR="00CB3623" w:rsidRDefault="00CB3623">
      <w:pPr>
        <w:rPr>
          <w:b/>
          <w:sz w:val="24"/>
          <w:szCs w:val="24"/>
        </w:rPr>
      </w:pPr>
    </w:p>
    <w:p w14:paraId="1B88E38A" w14:textId="761A4588" w:rsidR="00FC1238" w:rsidRDefault="00FC123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80CFAA7" w14:textId="77777777" w:rsidR="00FC1238" w:rsidRPr="00117A7E" w:rsidRDefault="00FC1238" w:rsidP="00FC1238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lastRenderedPageBreak/>
        <w:t>Doložka zlučiteľnosti</w:t>
      </w:r>
    </w:p>
    <w:p w14:paraId="74F89548" w14:textId="77777777" w:rsidR="00FC1238" w:rsidRPr="00117A7E" w:rsidRDefault="00FC1238" w:rsidP="00FC1238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návrhu zákona</w:t>
      </w:r>
      <w:r w:rsidRPr="00117A7E">
        <w:rPr>
          <w:b/>
          <w:sz w:val="25"/>
          <w:szCs w:val="25"/>
        </w:rPr>
        <w:t xml:space="preserve"> s právom Európskej únie</w:t>
      </w:r>
    </w:p>
    <w:p w14:paraId="7F83E955" w14:textId="77777777" w:rsidR="00FC1238" w:rsidRPr="00117A7E" w:rsidRDefault="00FC1238" w:rsidP="00FC1238">
      <w:pPr>
        <w:jc w:val="center"/>
        <w:rPr>
          <w:b/>
          <w:sz w:val="25"/>
          <w:szCs w:val="25"/>
        </w:rPr>
      </w:pPr>
    </w:p>
    <w:p w14:paraId="029B5D97" w14:textId="77777777" w:rsidR="00FC1238" w:rsidRPr="00117A7E" w:rsidRDefault="00FC1238" w:rsidP="00FC1238">
      <w:pPr>
        <w:jc w:val="center"/>
        <w:rPr>
          <w:b/>
          <w:sz w:val="25"/>
          <w:szCs w:val="25"/>
        </w:rPr>
      </w:pPr>
    </w:p>
    <w:tbl>
      <w:tblPr>
        <w:tblStyle w:val="Mriekatabu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618"/>
      </w:tblGrid>
      <w:tr w:rsidR="00FC1238" w:rsidRPr="00117A7E" w14:paraId="438942BD" w14:textId="77777777" w:rsidTr="00BC6E2C">
        <w:tc>
          <w:tcPr>
            <w:tcW w:w="454" w:type="dxa"/>
          </w:tcPr>
          <w:p w14:paraId="1D621923" w14:textId="77777777" w:rsidR="00FC1238" w:rsidRPr="00117A7E" w:rsidRDefault="00FC1238" w:rsidP="001E51C7">
            <w:pPr>
              <w:tabs>
                <w:tab w:val="left" w:pos="360"/>
              </w:tabs>
              <w:ind w:right="50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8618" w:type="dxa"/>
          </w:tcPr>
          <w:p w14:paraId="576B1ECB" w14:textId="77777777" w:rsidR="00FC1238" w:rsidRPr="00117A7E" w:rsidRDefault="00FC1238" w:rsidP="001E51C7">
            <w:pPr>
              <w:tabs>
                <w:tab w:val="left" w:pos="360"/>
              </w:tabs>
              <w:ind w:right="50"/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Navrhovateľ</w:t>
            </w:r>
            <w:r w:rsidRPr="00117A7E">
              <w:rPr>
                <w:b/>
                <w:sz w:val="25"/>
                <w:szCs w:val="25"/>
              </w:rPr>
              <w:t xml:space="preserve"> </w:t>
            </w:r>
            <w:r>
              <w:rPr>
                <w:b/>
                <w:sz w:val="25"/>
                <w:szCs w:val="25"/>
              </w:rPr>
              <w:t>zákona</w:t>
            </w:r>
            <w:r w:rsidRPr="00117A7E">
              <w:rPr>
                <w:b/>
                <w:sz w:val="25"/>
                <w:szCs w:val="25"/>
              </w:rPr>
              <w:t>:</w:t>
            </w:r>
            <w:r w:rsidRPr="00117A7E">
              <w:rPr>
                <w:sz w:val="25"/>
                <w:szCs w:val="25"/>
              </w:rPr>
              <w:t xml:space="preserve"> </w:t>
            </w:r>
            <w:r w:rsidRPr="00117A7E">
              <w:rPr>
                <w:sz w:val="25"/>
                <w:szCs w:val="25"/>
              </w:rPr>
              <w:fldChar w:fldCharType="begin"/>
            </w:r>
            <w:r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Pr="00117A7E">
              <w:rPr>
                <w:sz w:val="25"/>
                <w:szCs w:val="25"/>
              </w:rPr>
              <w:fldChar w:fldCharType="separate"/>
            </w:r>
            <w:r>
              <w:rPr>
                <w:sz w:val="25"/>
                <w:szCs w:val="25"/>
              </w:rPr>
              <w:t>Správa štátnych hmotných rezerv Slovenskej republiky</w:t>
            </w:r>
            <w:r w:rsidRPr="00117A7E">
              <w:rPr>
                <w:sz w:val="25"/>
                <w:szCs w:val="25"/>
              </w:rPr>
              <w:fldChar w:fldCharType="end"/>
            </w:r>
          </w:p>
        </w:tc>
      </w:tr>
      <w:tr w:rsidR="00FC1238" w:rsidRPr="00117A7E" w14:paraId="41A7142F" w14:textId="77777777" w:rsidTr="00BC6E2C">
        <w:tc>
          <w:tcPr>
            <w:tcW w:w="454" w:type="dxa"/>
          </w:tcPr>
          <w:p w14:paraId="03D22335" w14:textId="77777777" w:rsidR="00FC1238" w:rsidRPr="00117A7E" w:rsidRDefault="00FC1238" w:rsidP="001E51C7">
            <w:pPr>
              <w:tabs>
                <w:tab w:val="left" w:pos="360"/>
              </w:tabs>
              <w:ind w:right="50"/>
              <w:rPr>
                <w:sz w:val="25"/>
                <w:szCs w:val="25"/>
              </w:rPr>
            </w:pPr>
          </w:p>
        </w:tc>
        <w:tc>
          <w:tcPr>
            <w:tcW w:w="8618" w:type="dxa"/>
          </w:tcPr>
          <w:p w14:paraId="2F9D53DD" w14:textId="77777777" w:rsidR="00FC1238" w:rsidRPr="00117A7E" w:rsidRDefault="00FC1238" w:rsidP="001E51C7">
            <w:pPr>
              <w:tabs>
                <w:tab w:val="left" w:pos="360"/>
              </w:tabs>
              <w:ind w:right="50"/>
              <w:rPr>
                <w:sz w:val="25"/>
                <w:szCs w:val="25"/>
              </w:rPr>
            </w:pPr>
          </w:p>
        </w:tc>
      </w:tr>
      <w:tr w:rsidR="00FC1238" w:rsidRPr="00117A7E" w14:paraId="749C199E" w14:textId="77777777" w:rsidTr="00BC6E2C">
        <w:tc>
          <w:tcPr>
            <w:tcW w:w="454" w:type="dxa"/>
          </w:tcPr>
          <w:p w14:paraId="41BE332E" w14:textId="77777777" w:rsidR="00FC1238" w:rsidRPr="00117A7E" w:rsidRDefault="00FC1238" w:rsidP="001E51C7">
            <w:pPr>
              <w:tabs>
                <w:tab w:val="left" w:pos="360"/>
              </w:tabs>
              <w:ind w:right="50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8618" w:type="dxa"/>
          </w:tcPr>
          <w:p w14:paraId="38BE38F6" w14:textId="77777777" w:rsidR="00FC1238" w:rsidRPr="00117A7E" w:rsidRDefault="00FC1238" w:rsidP="001E51C7">
            <w:pPr>
              <w:tabs>
                <w:tab w:val="left" w:pos="360"/>
              </w:tabs>
              <w:ind w:right="50"/>
              <w:jc w:val="both"/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Názov návrhu </w:t>
            </w:r>
            <w:r>
              <w:rPr>
                <w:b/>
                <w:sz w:val="25"/>
                <w:szCs w:val="25"/>
              </w:rPr>
              <w:t>zákona</w:t>
            </w:r>
            <w:r w:rsidRPr="00117A7E">
              <w:rPr>
                <w:b/>
                <w:sz w:val="25"/>
                <w:szCs w:val="25"/>
              </w:rPr>
              <w:t>:</w:t>
            </w:r>
            <w:r w:rsidRPr="00117A7E">
              <w:rPr>
                <w:sz w:val="25"/>
                <w:szCs w:val="25"/>
              </w:rPr>
              <w:t xml:space="preserve"> </w:t>
            </w:r>
            <w:r w:rsidRPr="00117A7E">
              <w:rPr>
                <w:sz w:val="25"/>
                <w:szCs w:val="25"/>
              </w:rPr>
              <w:fldChar w:fldCharType="begin"/>
            </w:r>
            <w:r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Pr="00117A7E">
              <w:rPr>
                <w:sz w:val="25"/>
                <w:szCs w:val="25"/>
              </w:rPr>
              <w:fldChar w:fldCharType="separate"/>
            </w:r>
            <w:r>
              <w:rPr>
                <w:sz w:val="25"/>
                <w:szCs w:val="25"/>
              </w:rPr>
              <w:t xml:space="preserve"> Zákon, ktorým sa mení a dopĺňa zákon č. 218/2013 Z. z. o núdzových zásobách ropy a ropných výrobkov a o riešení stavu ropnej núdze a o zmene a doplnení niektorých zákonov</w:t>
            </w:r>
            <w:r w:rsidRPr="00117A7E">
              <w:rPr>
                <w:sz w:val="25"/>
                <w:szCs w:val="25"/>
              </w:rPr>
              <w:fldChar w:fldCharType="end"/>
            </w:r>
            <w:r>
              <w:rPr>
                <w:sz w:val="25"/>
                <w:szCs w:val="25"/>
              </w:rPr>
              <w:t xml:space="preserve"> v znení neskorších predpisov</w:t>
            </w:r>
            <w:r w:rsidRPr="00117A7E">
              <w:rPr>
                <w:sz w:val="25"/>
                <w:szCs w:val="25"/>
              </w:rPr>
              <w:fldChar w:fldCharType="begin"/>
            </w:r>
            <w:r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Pr="00117A7E">
              <w:rPr>
                <w:sz w:val="25"/>
                <w:szCs w:val="25"/>
              </w:rPr>
              <w:fldChar w:fldCharType="end"/>
            </w:r>
            <w:r w:rsidRPr="00117A7E">
              <w:rPr>
                <w:sz w:val="25"/>
                <w:szCs w:val="25"/>
              </w:rPr>
              <w:fldChar w:fldCharType="begin"/>
            </w:r>
            <w:r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117A7E">
              <w:rPr>
                <w:sz w:val="25"/>
                <w:szCs w:val="25"/>
              </w:rPr>
              <w:fldChar w:fldCharType="end"/>
            </w:r>
            <w:r w:rsidRPr="00117A7E">
              <w:rPr>
                <w:sz w:val="25"/>
                <w:szCs w:val="25"/>
              </w:rPr>
              <w:fldChar w:fldCharType="begin"/>
            </w:r>
            <w:r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117A7E">
              <w:rPr>
                <w:sz w:val="25"/>
                <w:szCs w:val="25"/>
              </w:rPr>
              <w:fldChar w:fldCharType="end"/>
            </w:r>
          </w:p>
        </w:tc>
      </w:tr>
      <w:tr w:rsidR="00FC1238" w:rsidRPr="00117A7E" w14:paraId="583C5BB0" w14:textId="77777777" w:rsidTr="00BC6E2C">
        <w:tc>
          <w:tcPr>
            <w:tcW w:w="454" w:type="dxa"/>
          </w:tcPr>
          <w:p w14:paraId="238FC3F4" w14:textId="77777777" w:rsidR="00FC1238" w:rsidRPr="00117A7E" w:rsidRDefault="00FC1238" w:rsidP="001E51C7">
            <w:pPr>
              <w:tabs>
                <w:tab w:val="left" w:pos="360"/>
              </w:tabs>
              <w:ind w:right="50"/>
              <w:rPr>
                <w:sz w:val="25"/>
                <w:szCs w:val="25"/>
              </w:rPr>
            </w:pPr>
          </w:p>
        </w:tc>
        <w:tc>
          <w:tcPr>
            <w:tcW w:w="8618" w:type="dxa"/>
          </w:tcPr>
          <w:p w14:paraId="5D5D1D5D" w14:textId="77777777" w:rsidR="00FC1238" w:rsidRPr="00117A7E" w:rsidRDefault="00FC1238" w:rsidP="001E51C7">
            <w:pPr>
              <w:tabs>
                <w:tab w:val="left" w:pos="360"/>
              </w:tabs>
              <w:ind w:right="50"/>
              <w:rPr>
                <w:sz w:val="25"/>
                <w:szCs w:val="25"/>
              </w:rPr>
            </w:pPr>
          </w:p>
        </w:tc>
      </w:tr>
      <w:tr w:rsidR="00FC1238" w:rsidRPr="00117A7E" w14:paraId="34D7EEF9" w14:textId="77777777" w:rsidTr="00BC6E2C">
        <w:tc>
          <w:tcPr>
            <w:tcW w:w="454" w:type="dxa"/>
          </w:tcPr>
          <w:p w14:paraId="1E966627" w14:textId="77777777" w:rsidR="00FC1238" w:rsidRPr="00117A7E" w:rsidRDefault="00FC1238" w:rsidP="001E51C7">
            <w:pPr>
              <w:tabs>
                <w:tab w:val="left" w:pos="360"/>
              </w:tabs>
              <w:ind w:right="50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8618" w:type="dxa"/>
          </w:tcPr>
          <w:p w14:paraId="0AD99946" w14:textId="77777777" w:rsidR="00FC1238" w:rsidRPr="00117A7E" w:rsidRDefault="00FC1238" w:rsidP="001E51C7">
            <w:pPr>
              <w:tabs>
                <w:tab w:val="left" w:pos="360"/>
              </w:tabs>
              <w:ind w:right="50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Predmet</w:t>
            </w:r>
            <w:r w:rsidRPr="00117A7E">
              <w:rPr>
                <w:b/>
                <w:sz w:val="25"/>
                <w:szCs w:val="25"/>
              </w:rPr>
              <w:t xml:space="preserve"> návrhu </w:t>
            </w:r>
            <w:r>
              <w:rPr>
                <w:b/>
                <w:sz w:val="25"/>
                <w:szCs w:val="25"/>
              </w:rPr>
              <w:t>zákona -</w:t>
            </w:r>
            <w:r>
              <w:rPr>
                <w:rFonts w:ascii="Times" w:hAnsi="Times" w:cs="Times"/>
                <w:sz w:val="25"/>
                <w:szCs w:val="25"/>
              </w:rPr>
              <w:t xml:space="preserve"> je upravená v práve Európskej únie</w:t>
            </w:r>
            <w:r w:rsidRPr="00117A7E">
              <w:rPr>
                <w:b/>
                <w:sz w:val="25"/>
                <w:szCs w:val="25"/>
              </w:rPr>
              <w:t>:</w:t>
            </w:r>
          </w:p>
          <w:p w14:paraId="58D9C142" w14:textId="77777777" w:rsidR="00FC1238" w:rsidRPr="00117A7E" w:rsidRDefault="00FC1238" w:rsidP="001E51C7">
            <w:pPr>
              <w:tabs>
                <w:tab w:val="left" w:pos="360"/>
              </w:tabs>
              <w:ind w:right="50"/>
              <w:rPr>
                <w:sz w:val="25"/>
                <w:szCs w:val="25"/>
              </w:rPr>
            </w:pPr>
          </w:p>
        </w:tc>
      </w:tr>
      <w:tr w:rsidR="00FC1238" w:rsidRPr="00117A7E" w14:paraId="27E5CFD6" w14:textId="77777777" w:rsidTr="00BC6E2C">
        <w:tc>
          <w:tcPr>
            <w:tcW w:w="454" w:type="dxa"/>
          </w:tcPr>
          <w:p w14:paraId="5AF792CF" w14:textId="77777777" w:rsidR="00FC1238" w:rsidRPr="00117A7E" w:rsidRDefault="00FC1238" w:rsidP="001E51C7">
            <w:pPr>
              <w:tabs>
                <w:tab w:val="left" w:pos="360"/>
              </w:tabs>
              <w:ind w:right="50"/>
            </w:pPr>
          </w:p>
        </w:tc>
        <w:tc>
          <w:tcPr>
            <w:tcW w:w="8618" w:type="dxa"/>
          </w:tcPr>
          <w:p w14:paraId="66C7EC8F" w14:textId="77777777" w:rsidR="00FC1238" w:rsidRPr="003C0BA0" w:rsidRDefault="00FC1238" w:rsidP="00FC1238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50"/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v </w:t>
            </w:r>
            <w:r w:rsidRPr="00A32AA5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primárnom </w:t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>práve</w:t>
            </w:r>
            <w:r w:rsidRPr="00A32AA5">
              <w:rPr>
                <w:rFonts w:ascii="Times" w:hAnsi="Times" w:cs="Times"/>
                <w:sz w:val="25"/>
                <w:szCs w:val="25"/>
              </w:rPr>
              <w:br/>
            </w:r>
          </w:p>
          <w:p w14:paraId="1ECB103B" w14:textId="77777777" w:rsidR="00FC1238" w:rsidRPr="00A32AA5" w:rsidRDefault="00FC1238" w:rsidP="001E51C7">
            <w:pPr>
              <w:pStyle w:val="Odsekzoznamu"/>
              <w:tabs>
                <w:tab w:val="left" w:pos="360"/>
              </w:tabs>
              <w:ind w:left="360" w:right="50"/>
              <w:jc w:val="both"/>
            </w:pPr>
            <w:r w:rsidRPr="00A32AA5">
              <w:rPr>
                <w:rFonts w:ascii="Times" w:hAnsi="Times" w:cs="Times"/>
                <w:sz w:val="25"/>
                <w:szCs w:val="25"/>
              </w:rPr>
              <w:t>čl. 122 ods. 1 Zmluvy o fungovaní Európskej únie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3C5222">
              <w:rPr>
                <w:rFonts w:ascii="Times" w:hAnsi="Times" w:cs="Times"/>
                <w:sz w:val="25"/>
                <w:szCs w:val="25"/>
              </w:rPr>
              <w:t>(Ú. v. EÚ C 202, 7.6.2016)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3C5222">
              <w:rPr>
                <w:rFonts w:ascii="Times" w:hAnsi="Times" w:cs="Times"/>
                <w:sz w:val="25"/>
                <w:szCs w:val="25"/>
              </w:rPr>
              <w:t>v platnom znení</w:t>
            </w:r>
          </w:p>
          <w:p w14:paraId="6F3A5896" w14:textId="77777777" w:rsidR="00FC1238" w:rsidRPr="00117A7E" w:rsidRDefault="00FC1238" w:rsidP="001E51C7">
            <w:pPr>
              <w:pStyle w:val="Odsekzoznamu"/>
              <w:tabs>
                <w:tab w:val="left" w:pos="360"/>
              </w:tabs>
              <w:ind w:left="0" w:right="50"/>
            </w:pPr>
          </w:p>
          <w:p w14:paraId="2C655254" w14:textId="77777777" w:rsidR="00FC1238" w:rsidRPr="00164C25" w:rsidRDefault="00FC1238" w:rsidP="00FC1238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v </w:t>
            </w:r>
            <w:r w:rsidRPr="00A32AA5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sekundárnom </w:t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>práve</w:t>
            </w:r>
            <w:r w:rsidRPr="00A32AA5">
              <w:rPr>
                <w:rFonts w:ascii="Times" w:hAnsi="Times" w:cs="Times"/>
                <w:sz w:val="25"/>
                <w:szCs w:val="25"/>
              </w:rPr>
              <w:br/>
            </w:r>
          </w:p>
          <w:p w14:paraId="46142048" w14:textId="77777777" w:rsidR="00FC1238" w:rsidRPr="00B65B6A" w:rsidRDefault="00FC1238" w:rsidP="001E51C7">
            <w:pPr>
              <w:pStyle w:val="Odsekzoznamu"/>
              <w:ind w:left="363" w:right="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Nariadenie</w:t>
            </w:r>
            <w:r w:rsidRPr="00A74527">
              <w:rPr>
                <w:rFonts w:ascii="Times" w:hAnsi="Times" w:cs="Times"/>
                <w:sz w:val="25"/>
                <w:szCs w:val="25"/>
              </w:rPr>
              <w:t xml:space="preserve"> Rady (EHS) č. 2658/87 z 23. júla 1987 o colnej a štatistickej nomenklatúre a o Spoločnom colnom sadzobníku (Ú. v. ES L 256, 7.9.1987; Mimoriadne vydanie Ú. v. EÚ, kap. 2/zv. 2)</w:t>
            </w:r>
            <w:r>
              <w:rPr>
                <w:rFonts w:ascii="Times" w:hAnsi="Times" w:cs="Times"/>
                <w:sz w:val="25"/>
                <w:szCs w:val="25"/>
              </w:rPr>
              <w:t xml:space="preserve"> v platnom znení; gestor: MF SR.</w:t>
            </w:r>
          </w:p>
          <w:p w14:paraId="0D2733BD" w14:textId="77777777" w:rsidR="00FC1238" w:rsidRDefault="00FC1238" w:rsidP="001E51C7">
            <w:pPr>
              <w:pStyle w:val="Odsekzoznamu"/>
              <w:ind w:left="363" w:right="50"/>
              <w:jc w:val="both"/>
              <w:rPr>
                <w:rFonts w:ascii="Times" w:hAnsi="Times" w:cs="Times"/>
                <w:sz w:val="25"/>
                <w:szCs w:val="25"/>
              </w:rPr>
            </w:pPr>
          </w:p>
          <w:p w14:paraId="33F89B60" w14:textId="77777777" w:rsidR="00FC1238" w:rsidRDefault="00FC1238" w:rsidP="001E51C7">
            <w:pPr>
              <w:pStyle w:val="Odsekzoznamu"/>
              <w:ind w:left="363" w:right="50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A32AA5">
              <w:rPr>
                <w:rFonts w:ascii="Times" w:hAnsi="Times" w:cs="Times"/>
                <w:sz w:val="25"/>
                <w:szCs w:val="25"/>
              </w:rPr>
              <w:t>Smernica Rady 2009/119/ES zo 14. septembra 2009, ktorou sa členským štátom ukladá povinnosť udržiavať minimálne zásoby ropy a/alebo ropných výrobkov (Ú. v. EÚ L 265, 9.10.2009) v platnom znení</w:t>
            </w:r>
            <w:r>
              <w:rPr>
                <w:rFonts w:ascii="Times" w:hAnsi="Times" w:cs="Times"/>
                <w:sz w:val="25"/>
                <w:szCs w:val="25"/>
              </w:rPr>
              <w:t>;</w:t>
            </w:r>
            <w:r w:rsidRPr="00A32AA5">
              <w:rPr>
                <w:rFonts w:ascii="Times" w:hAnsi="Times" w:cs="Times"/>
                <w:sz w:val="25"/>
                <w:szCs w:val="25"/>
              </w:rPr>
              <w:t xml:space="preserve"> gestor: </w:t>
            </w:r>
            <w:r>
              <w:rPr>
                <w:rFonts w:ascii="Times" w:hAnsi="Times" w:cs="Times"/>
                <w:sz w:val="25"/>
                <w:szCs w:val="25"/>
              </w:rPr>
              <w:t>SŠHR SR</w:t>
            </w:r>
            <w:r w:rsidRPr="00A32AA5">
              <w:rPr>
                <w:rFonts w:ascii="Times" w:hAnsi="Times" w:cs="Times"/>
                <w:sz w:val="25"/>
                <w:szCs w:val="25"/>
              </w:rPr>
              <w:t>.</w:t>
            </w:r>
          </w:p>
          <w:p w14:paraId="636D70D0" w14:textId="77777777" w:rsidR="00FC1238" w:rsidRDefault="00FC1238" w:rsidP="001E51C7">
            <w:pPr>
              <w:pStyle w:val="Odsekzoznamu"/>
              <w:ind w:left="363" w:right="50"/>
              <w:jc w:val="both"/>
              <w:rPr>
                <w:rFonts w:ascii="Times" w:hAnsi="Times" w:cs="Times"/>
                <w:sz w:val="25"/>
                <w:szCs w:val="25"/>
              </w:rPr>
            </w:pPr>
          </w:p>
          <w:p w14:paraId="788DCB94" w14:textId="77777777" w:rsidR="00FC1238" w:rsidRDefault="00FC1238" w:rsidP="001E51C7">
            <w:pPr>
              <w:pStyle w:val="Odsekzoznamu"/>
              <w:ind w:left="363" w:right="50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164C25">
              <w:rPr>
                <w:rFonts w:ascii="Times" w:hAnsi="Times" w:cs="Times"/>
                <w:sz w:val="25"/>
                <w:szCs w:val="25"/>
              </w:rPr>
              <w:t>Nariadenie Európskeho parlamentu a Rady (EÚ) 2018/1999 z 11. decembra 2018 o riadení energetickej únie a opatrení v oblasti klímy, ktorým sa menia nariadenia Európskeho parlamentu a Rady (ES) č. 663/2009 a (ES) č. 715/2009, smernice Európskeho parlamentu a Rady 94/22/ES, 98/70/ES, 2009/31/ES, 2009/73/ES, 2010/31/EÚ, 2012/27/EÚ a 2013/30/EÚ, smernice Rady 2009/119/ES a (EÚ) 2015/652 a ktorým sa zrušuje nariadenie Európskeho parlamentu a Rady (EÚ) č. 525/2013 (Ú. v. EÚ L 328, 21.12.2018)</w:t>
            </w:r>
            <w:r>
              <w:rPr>
                <w:rFonts w:ascii="Times" w:hAnsi="Times" w:cs="Times"/>
                <w:sz w:val="25"/>
                <w:szCs w:val="25"/>
              </w:rPr>
              <w:t xml:space="preserve"> v platnom znení; gestor: </w:t>
            </w:r>
            <w:r w:rsidRPr="00DB6128">
              <w:rPr>
                <w:rFonts w:ascii="Times" w:hAnsi="Times" w:cs="Times"/>
                <w:sz w:val="25"/>
                <w:szCs w:val="25"/>
              </w:rPr>
              <w:t>MH SR, MŽP SR, MDV SR, MPRV SR, SŠHR SR, ÚRSO</w:t>
            </w:r>
            <w:r>
              <w:rPr>
                <w:rFonts w:ascii="Times" w:hAnsi="Times" w:cs="Times"/>
                <w:sz w:val="25"/>
                <w:szCs w:val="25"/>
              </w:rPr>
              <w:t>.</w:t>
            </w:r>
          </w:p>
          <w:p w14:paraId="72C7DBCE" w14:textId="77777777" w:rsidR="00FC1238" w:rsidRDefault="00FC1238" w:rsidP="001E51C7">
            <w:pPr>
              <w:pStyle w:val="Odsekzoznamu"/>
              <w:ind w:left="363" w:right="50"/>
              <w:rPr>
                <w:rFonts w:ascii="Times" w:hAnsi="Times" w:cs="Times"/>
                <w:i/>
                <w:iCs/>
                <w:sz w:val="25"/>
                <w:szCs w:val="25"/>
              </w:rPr>
            </w:pPr>
          </w:p>
          <w:p w14:paraId="09718A07" w14:textId="77777777" w:rsidR="00FC1238" w:rsidRDefault="00FC1238" w:rsidP="00FC1238">
            <w:pPr>
              <w:pStyle w:val="Odsekzoznamu"/>
              <w:ind w:left="363" w:right="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Vykonávacie nariadenie komisie (EÚ) 2020/1208 </w:t>
            </w:r>
            <w:r w:rsidRPr="00C40598">
              <w:rPr>
                <w:rFonts w:ascii="Times" w:hAnsi="Times" w:cs="Times"/>
                <w:sz w:val="25"/>
                <w:szCs w:val="25"/>
              </w:rPr>
              <w:t>zo 7. augusta 2020</w:t>
            </w:r>
            <w:r>
              <w:rPr>
                <w:rFonts w:ascii="Times" w:hAnsi="Times" w:cs="Times"/>
                <w:sz w:val="25"/>
                <w:szCs w:val="25"/>
              </w:rPr>
              <w:t xml:space="preserve"> o štruktúre, formáte, </w:t>
            </w:r>
            <w:r w:rsidRPr="00C40598">
              <w:rPr>
                <w:rFonts w:ascii="Times" w:hAnsi="Times" w:cs="Times"/>
                <w:sz w:val="25"/>
                <w:szCs w:val="25"/>
              </w:rPr>
              <w:t>postupoch predkladania a preskúmaní informácií nahlasovaných členskými štátmi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C40598">
              <w:rPr>
                <w:rFonts w:ascii="Times" w:hAnsi="Times" w:cs="Times"/>
                <w:sz w:val="25"/>
                <w:szCs w:val="25"/>
              </w:rPr>
              <w:t>podľa nariadenia Európskeho parlamentu a Rady (E</w:t>
            </w:r>
            <w:r>
              <w:rPr>
                <w:rFonts w:ascii="Times" w:hAnsi="Times" w:cs="Times"/>
                <w:sz w:val="25"/>
                <w:szCs w:val="25"/>
              </w:rPr>
              <w:t xml:space="preserve">Ú) 2018/1999, ktorým sa zrušuje </w:t>
            </w:r>
            <w:r w:rsidRPr="00C40598">
              <w:rPr>
                <w:rFonts w:ascii="Times" w:hAnsi="Times" w:cs="Times"/>
                <w:sz w:val="25"/>
                <w:szCs w:val="25"/>
              </w:rPr>
              <w:t>vykonávacie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C40598">
              <w:rPr>
                <w:rFonts w:ascii="Times" w:hAnsi="Times" w:cs="Times"/>
                <w:sz w:val="25"/>
                <w:szCs w:val="25"/>
              </w:rPr>
              <w:t>nariadenie Komisie (EÚ) č. 749/2014</w:t>
            </w:r>
            <w:r>
              <w:rPr>
                <w:rFonts w:ascii="Times" w:hAnsi="Times" w:cs="Times"/>
                <w:sz w:val="25"/>
                <w:szCs w:val="25"/>
              </w:rPr>
              <w:t xml:space="preserve"> (</w:t>
            </w:r>
            <w:r w:rsidRPr="003C5222">
              <w:rPr>
                <w:rFonts w:ascii="Times" w:hAnsi="Times" w:cs="Times"/>
                <w:sz w:val="25"/>
                <w:szCs w:val="25"/>
              </w:rPr>
              <w:t>Ú. v. EÚ L 278, 26.8.2020</w:t>
            </w:r>
            <w:r>
              <w:rPr>
                <w:rFonts w:ascii="Times" w:hAnsi="Times" w:cs="Times"/>
                <w:sz w:val="25"/>
                <w:szCs w:val="25"/>
              </w:rPr>
              <w:t xml:space="preserve">); gestor: </w:t>
            </w:r>
            <w:r w:rsidRPr="0032306A">
              <w:rPr>
                <w:rFonts w:ascii="Times" w:hAnsi="Times" w:cs="Times"/>
                <w:sz w:val="25"/>
                <w:szCs w:val="25"/>
              </w:rPr>
              <w:t>MH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32306A">
              <w:rPr>
                <w:rFonts w:ascii="Times" w:hAnsi="Times" w:cs="Times"/>
                <w:sz w:val="25"/>
                <w:szCs w:val="25"/>
              </w:rPr>
              <w:t>SR,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32306A">
              <w:rPr>
                <w:rFonts w:ascii="Times" w:hAnsi="Times" w:cs="Times"/>
                <w:sz w:val="25"/>
                <w:szCs w:val="25"/>
              </w:rPr>
              <w:t>MŽP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32306A">
              <w:rPr>
                <w:rFonts w:ascii="Times" w:hAnsi="Times" w:cs="Times"/>
                <w:sz w:val="25"/>
                <w:szCs w:val="25"/>
              </w:rPr>
              <w:t>SR,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32306A">
              <w:rPr>
                <w:rFonts w:ascii="Times" w:hAnsi="Times" w:cs="Times"/>
                <w:sz w:val="25"/>
                <w:szCs w:val="25"/>
              </w:rPr>
              <w:t>MDV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32306A">
              <w:rPr>
                <w:rFonts w:ascii="Times" w:hAnsi="Times" w:cs="Times"/>
                <w:sz w:val="25"/>
                <w:szCs w:val="25"/>
              </w:rPr>
              <w:t>SR,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32306A">
              <w:rPr>
                <w:rFonts w:ascii="Times" w:hAnsi="Times" w:cs="Times"/>
                <w:sz w:val="25"/>
                <w:szCs w:val="25"/>
              </w:rPr>
              <w:t>MPRV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32306A">
              <w:rPr>
                <w:rFonts w:ascii="Times" w:hAnsi="Times" w:cs="Times"/>
                <w:sz w:val="25"/>
                <w:szCs w:val="25"/>
              </w:rPr>
              <w:t>SR,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32306A">
              <w:rPr>
                <w:rFonts w:ascii="Times" w:hAnsi="Times" w:cs="Times"/>
                <w:sz w:val="25"/>
                <w:szCs w:val="25"/>
              </w:rPr>
              <w:t>SŠHR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32306A">
              <w:rPr>
                <w:rFonts w:ascii="Times" w:hAnsi="Times" w:cs="Times"/>
                <w:sz w:val="25"/>
                <w:szCs w:val="25"/>
              </w:rPr>
              <w:t>SR,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32306A">
              <w:rPr>
                <w:rFonts w:ascii="Times" w:hAnsi="Times" w:cs="Times"/>
                <w:sz w:val="25"/>
                <w:szCs w:val="25"/>
              </w:rPr>
              <w:t>ÚRSO</w:t>
            </w:r>
            <w:r>
              <w:rPr>
                <w:rFonts w:ascii="Times" w:hAnsi="Times" w:cs="Times"/>
                <w:sz w:val="25"/>
                <w:szCs w:val="25"/>
              </w:rPr>
              <w:t>.</w:t>
            </w:r>
          </w:p>
          <w:p w14:paraId="3F5E64B7" w14:textId="77777777" w:rsidR="00BC6E2C" w:rsidRDefault="00BC6E2C" w:rsidP="00FC1238">
            <w:pPr>
              <w:pStyle w:val="Odsekzoznamu"/>
              <w:ind w:left="363" w:right="50"/>
              <w:jc w:val="both"/>
              <w:rPr>
                <w:rFonts w:ascii="Times" w:hAnsi="Times" w:cs="Times"/>
                <w:sz w:val="25"/>
                <w:szCs w:val="25"/>
              </w:rPr>
            </w:pPr>
          </w:p>
          <w:p w14:paraId="1EEA91BD" w14:textId="0883B25E" w:rsidR="00BC6E2C" w:rsidRPr="00FC1238" w:rsidRDefault="00BC6E2C" w:rsidP="00FC1238">
            <w:pPr>
              <w:pStyle w:val="Odsekzoznamu"/>
              <w:ind w:left="363" w:right="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C1238" w:rsidRPr="00117A7E" w14:paraId="72589992" w14:textId="77777777" w:rsidTr="00BC6E2C">
        <w:tc>
          <w:tcPr>
            <w:tcW w:w="454" w:type="dxa"/>
          </w:tcPr>
          <w:p w14:paraId="366305DB" w14:textId="77777777" w:rsidR="00FC1238" w:rsidRPr="00117A7E" w:rsidRDefault="00FC1238" w:rsidP="001E51C7">
            <w:pPr>
              <w:tabs>
                <w:tab w:val="left" w:pos="360"/>
              </w:tabs>
              <w:ind w:right="50"/>
            </w:pPr>
          </w:p>
        </w:tc>
        <w:tc>
          <w:tcPr>
            <w:tcW w:w="8618" w:type="dxa"/>
          </w:tcPr>
          <w:p w14:paraId="0FE4767B" w14:textId="77777777" w:rsidR="00FC1238" w:rsidRPr="00117A7E" w:rsidRDefault="00FC1238" w:rsidP="00FC1238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v judikatúre Súdneho dvora Európskej únie</w:t>
            </w:r>
          </w:p>
          <w:p w14:paraId="4670D999" w14:textId="496095D0" w:rsidR="00FC1238" w:rsidRPr="00BC6E2C" w:rsidRDefault="00FC1238" w:rsidP="00BC6E2C">
            <w:pPr>
              <w:pStyle w:val="Odsekzoznamu"/>
              <w:ind w:left="363" w:right="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  <w:t>bezpredmetné</w:t>
            </w:r>
          </w:p>
        </w:tc>
      </w:tr>
      <w:tr w:rsidR="00FC1238" w:rsidRPr="00117A7E" w14:paraId="4BCCC201" w14:textId="77777777" w:rsidTr="00BC6E2C">
        <w:tc>
          <w:tcPr>
            <w:tcW w:w="454" w:type="dxa"/>
          </w:tcPr>
          <w:p w14:paraId="4C0871D2" w14:textId="77777777" w:rsidR="00FC1238" w:rsidRPr="00117A7E" w:rsidRDefault="00FC1238" w:rsidP="001E51C7">
            <w:pPr>
              <w:tabs>
                <w:tab w:val="left" w:pos="360"/>
              </w:tabs>
              <w:ind w:right="50"/>
              <w:rPr>
                <w:b/>
              </w:rPr>
            </w:pPr>
          </w:p>
        </w:tc>
        <w:tc>
          <w:tcPr>
            <w:tcW w:w="8618" w:type="dxa"/>
          </w:tcPr>
          <w:p w14:paraId="7B0361D2" w14:textId="77777777" w:rsidR="00FC1238" w:rsidRPr="00117A7E" w:rsidRDefault="00FC1238" w:rsidP="001E51C7">
            <w:pPr>
              <w:tabs>
                <w:tab w:val="left" w:pos="360"/>
              </w:tabs>
              <w:ind w:right="50"/>
            </w:pP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72"/>
        <w:gridCol w:w="8346"/>
      </w:tblGrid>
      <w:tr w:rsidR="00FC1238" w14:paraId="41265CB4" w14:textId="77777777" w:rsidTr="001E51C7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93B7F00" w14:textId="77777777" w:rsidR="00FC1238" w:rsidRDefault="00FC1238" w:rsidP="001E51C7">
            <w:pPr>
              <w:ind w:right="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3E649" w14:textId="77777777" w:rsidR="00FC1238" w:rsidRDefault="00FC1238" w:rsidP="001E51C7">
            <w:pPr>
              <w:spacing w:after="250"/>
              <w:ind w:right="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FC1238" w14:paraId="18232115" w14:textId="77777777" w:rsidTr="001E51C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BF4B97" w14:textId="77777777" w:rsidR="00FC1238" w:rsidRDefault="00FC1238" w:rsidP="001E51C7">
            <w:pPr>
              <w:spacing w:after="250"/>
              <w:ind w:right="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C3D6C5" w14:textId="77777777" w:rsidR="00FC1238" w:rsidRDefault="00FC1238" w:rsidP="001E51C7">
            <w:pPr>
              <w:ind w:right="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3013B" w14:textId="77777777" w:rsidR="00FC1238" w:rsidRDefault="00FC1238" w:rsidP="001E51C7">
            <w:pPr>
              <w:spacing w:after="250"/>
              <w:ind w:right="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 w:rsidR="00FC1238" w14:paraId="66E4BC26" w14:textId="77777777" w:rsidTr="001E51C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B8F02F" w14:textId="77777777" w:rsidR="00FC1238" w:rsidRDefault="00FC1238" w:rsidP="001E51C7">
            <w:pPr>
              <w:spacing w:after="250"/>
              <w:ind w:right="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E2EE79" w14:textId="77777777" w:rsidR="00FC1238" w:rsidRDefault="00FC1238" w:rsidP="001E51C7">
            <w:pPr>
              <w:ind w:right="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38906" w14:textId="77777777" w:rsidR="00FC1238" w:rsidRDefault="00FC1238" w:rsidP="001E51C7">
            <w:pPr>
              <w:spacing w:after="250"/>
              <w:ind w:right="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1. január 2021 - v</w:t>
            </w:r>
            <w:r w:rsidRPr="003F41B2">
              <w:rPr>
                <w:rFonts w:ascii="Times" w:hAnsi="Times" w:cs="Times"/>
                <w:sz w:val="25"/>
                <w:szCs w:val="25"/>
              </w:rPr>
              <w:t xml:space="preserve">ykonávacie nariadenie (EÚ) 2020/1208 </w:t>
            </w:r>
          </w:p>
          <w:p w14:paraId="670C88B0" w14:textId="77777777" w:rsidR="00FC1238" w:rsidRDefault="00FC1238" w:rsidP="001E51C7">
            <w:pPr>
              <w:spacing w:after="250"/>
              <w:ind w:right="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24. december </w:t>
            </w:r>
            <w:r w:rsidRPr="00BA0A2A">
              <w:rPr>
                <w:rFonts w:ascii="Times" w:hAnsi="Times" w:cs="Times"/>
                <w:sz w:val="25"/>
                <w:szCs w:val="25"/>
              </w:rPr>
              <w:t>2018</w:t>
            </w:r>
            <w:r>
              <w:rPr>
                <w:rFonts w:ascii="Times" w:hAnsi="Times" w:cs="Times"/>
                <w:sz w:val="25"/>
                <w:szCs w:val="25"/>
              </w:rPr>
              <w:t xml:space="preserve"> – s</w:t>
            </w:r>
            <w:r w:rsidRPr="00A32AA5">
              <w:rPr>
                <w:rFonts w:ascii="Times" w:hAnsi="Times" w:cs="Times"/>
                <w:sz w:val="25"/>
                <w:szCs w:val="25"/>
              </w:rPr>
              <w:t>mernica 2009/119/ES</w:t>
            </w:r>
            <w:r>
              <w:rPr>
                <w:rFonts w:ascii="Times" w:hAnsi="Times" w:cs="Times"/>
                <w:sz w:val="25"/>
                <w:szCs w:val="25"/>
              </w:rPr>
              <w:t xml:space="preserve"> v platnom znení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FC1238" w14:paraId="7F9E74EB" w14:textId="77777777" w:rsidTr="001E51C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12F371" w14:textId="77777777" w:rsidR="00FC1238" w:rsidRDefault="00FC1238" w:rsidP="001E51C7">
            <w:pPr>
              <w:spacing w:after="250"/>
              <w:ind w:right="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1216A3" w14:textId="77777777" w:rsidR="00FC1238" w:rsidRDefault="00FC1238" w:rsidP="001E51C7">
            <w:pPr>
              <w:ind w:right="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B23F0" w14:textId="77777777" w:rsidR="00FC1238" w:rsidRDefault="00FC1238" w:rsidP="001E51C7">
            <w:pPr>
              <w:spacing w:after="250"/>
              <w:ind w:right="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</w:tc>
      </w:tr>
      <w:tr w:rsidR="00FC1238" w14:paraId="19EEF015" w14:textId="77777777" w:rsidTr="001E51C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F84731" w14:textId="77777777" w:rsidR="00FC1238" w:rsidRDefault="00FC1238" w:rsidP="001E51C7">
            <w:pPr>
              <w:spacing w:after="250"/>
              <w:ind w:right="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D00B53" w14:textId="77777777" w:rsidR="00FC1238" w:rsidRDefault="00FC1238" w:rsidP="001E51C7">
            <w:pPr>
              <w:ind w:right="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F57FA" w14:textId="77777777" w:rsidR="00FC1238" w:rsidRDefault="00FC1238" w:rsidP="001E51C7">
            <w:pPr>
              <w:spacing w:after="250"/>
              <w:ind w:right="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nebolo začaté konanie proti SR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FC1238" w14:paraId="15E55572" w14:textId="77777777" w:rsidTr="001E51C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7D1C6F" w14:textId="77777777" w:rsidR="00FC1238" w:rsidRDefault="00FC1238" w:rsidP="001E51C7">
            <w:pPr>
              <w:spacing w:after="250"/>
              <w:ind w:right="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B8C11E" w14:textId="77777777" w:rsidR="00FC1238" w:rsidRDefault="00FC1238" w:rsidP="001E51C7">
            <w:pPr>
              <w:ind w:right="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559DD" w14:textId="77777777" w:rsidR="00FC1238" w:rsidRDefault="00FC1238" w:rsidP="001E51C7">
            <w:pPr>
              <w:spacing w:after="250"/>
              <w:ind w:right="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 w:rsidR="00FC1238" w14:paraId="04A08CFD" w14:textId="77777777" w:rsidTr="001E51C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0BA818" w14:textId="77777777" w:rsidR="00FC1238" w:rsidRDefault="00FC1238" w:rsidP="001E51C7">
            <w:pPr>
              <w:spacing w:after="250"/>
              <w:ind w:right="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3C649A" w14:textId="77777777" w:rsidR="00FC1238" w:rsidRDefault="00FC1238" w:rsidP="001E51C7">
            <w:pPr>
              <w:ind w:right="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C5783" w14:textId="77777777" w:rsidR="00FC1238" w:rsidRDefault="00FC1238" w:rsidP="001E51C7">
            <w:pPr>
              <w:spacing w:after="250"/>
              <w:ind w:right="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zákon č. 218/2013 Z. z. o núdzových zásobách ropy a ropných výrobkov a o riešení stavu ropnej núdze a o zmene a doplnení niektorých zákonov v znení neskorších predpisov- úplná transpozícia </w:t>
            </w:r>
          </w:p>
          <w:p w14:paraId="5CE6282F" w14:textId="77777777" w:rsidR="00FC1238" w:rsidRDefault="00FC1238" w:rsidP="001E51C7">
            <w:pPr>
              <w:spacing w:after="250"/>
              <w:ind w:right="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zákon č. 372/2012 Z. z. o štátnych hmotných rezervách a o doplnení zákona č. 25/2007 Z. z. o elektronickom výbere mýta za užívanie vymedzených úsekov pozemných komunikácií a o zmene a doplnení niektorých zákonov v znení neskorších predpisov v znení neskorších predpisov - nepriama transpozícia prostredníctvom odkazu na zákon č. 218/2013 Z. z.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FC1238" w14:paraId="02DA42F5" w14:textId="77777777" w:rsidTr="001E51C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4D6755" w14:textId="77777777" w:rsidR="00FC1238" w:rsidRDefault="00FC1238" w:rsidP="001E51C7">
            <w:pPr>
              <w:ind w:right="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A81DBCF" w14:textId="77777777" w:rsidR="00FC1238" w:rsidRDefault="00FC1238" w:rsidP="001E51C7">
            <w:pPr>
              <w:spacing w:after="250"/>
              <w:ind w:right="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Návrh zákona je zlučiteľný s právom Európskej únie:</w:t>
            </w:r>
          </w:p>
        </w:tc>
      </w:tr>
      <w:tr w:rsidR="00FC1238" w14:paraId="2D5C8A20" w14:textId="77777777" w:rsidTr="001E51C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4771AC" w14:textId="77777777" w:rsidR="00FC1238" w:rsidRDefault="00FC1238" w:rsidP="001E51C7">
            <w:pPr>
              <w:spacing w:after="250"/>
              <w:ind w:right="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E07D98" w14:textId="77777777" w:rsidR="00FC1238" w:rsidRDefault="00FC1238" w:rsidP="001E51C7">
            <w:pPr>
              <w:ind w:right="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F2433" w14:textId="77777777" w:rsidR="00FC1238" w:rsidRDefault="00FC1238" w:rsidP="001E51C7">
            <w:pPr>
              <w:spacing w:after="250"/>
              <w:ind w:right="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úplne</w:t>
            </w:r>
          </w:p>
        </w:tc>
      </w:tr>
    </w:tbl>
    <w:p w14:paraId="522BC00C" w14:textId="77777777" w:rsidR="00FC1238" w:rsidRPr="00117A7E" w:rsidRDefault="00FC1238" w:rsidP="00FC1238">
      <w:pPr>
        <w:tabs>
          <w:tab w:val="left" w:pos="360"/>
        </w:tabs>
        <w:ind w:right="50"/>
        <w:jc w:val="both"/>
      </w:pPr>
    </w:p>
    <w:p w14:paraId="68EA65F2" w14:textId="5FF05158" w:rsidR="00FC1238" w:rsidRDefault="00FC123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F758595" w14:textId="77777777" w:rsidR="00FC1238" w:rsidRPr="009B1AD2" w:rsidRDefault="00FC1238" w:rsidP="00FC1238">
      <w:pPr>
        <w:autoSpaceDE w:val="0"/>
        <w:autoSpaceDN w:val="0"/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E77025">
        <w:rPr>
          <w:b/>
          <w:bCs/>
          <w:sz w:val="25"/>
          <w:szCs w:val="25"/>
        </w:rPr>
        <w:lastRenderedPageBreak/>
        <w:t>B. Osobitná časť</w:t>
      </w:r>
    </w:p>
    <w:p w14:paraId="2A926485" w14:textId="77777777" w:rsidR="00FC1238" w:rsidRPr="009B1AD2" w:rsidRDefault="00FC1238" w:rsidP="00FC1238">
      <w:p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  <w:r w:rsidRPr="009B1AD2">
        <w:rPr>
          <w:b/>
          <w:sz w:val="24"/>
          <w:szCs w:val="24"/>
        </w:rPr>
        <w:t>K </w:t>
      </w:r>
      <w:r>
        <w:rPr>
          <w:b/>
          <w:sz w:val="24"/>
          <w:szCs w:val="24"/>
        </w:rPr>
        <w:t>Čl.</w:t>
      </w:r>
      <w:r w:rsidRPr="009B1AD2">
        <w:rPr>
          <w:b/>
          <w:sz w:val="24"/>
          <w:szCs w:val="24"/>
        </w:rPr>
        <w:t xml:space="preserve"> I</w:t>
      </w:r>
    </w:p>
    <w:p w14:paraId="4D270F6B" w14:textId="77777777" w:rsidR="00FC1238" w:rsidRDefault="00FC1238" w:rsidP="00FC1238">
      <w:p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</w:p>
    <w:p w14:paraId="6E875230" w14:textId="77777777" w:rsidR="00FC1238" w:rsidRPr="009B1AD2" w:rsidRDefault="00FC1238" w:rsidP="00FC1238">
      <w:p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</w:p>
    <w:p w14:paraId="5868DEDE" w14:textId="77777777" w:rsidR="00FC1238" w:rsidRPr="009B1AD2" w:rsidRDefault="00FC1238" w:rsidP="00FC1238">
      <w:p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 bodu 1</w:t>
      </w:r>
    </w:p>
    <w:p w14:paraId="4A3AC5FC" w14:textId="77777777" w:rsidR="00FC1238" w:rsidRDefault="00FC1238" w:rsidP="00FC1238">
      <w:pPr>
        <w:autoSpaceDE w:val="0"/>
        <w:autoSpaceDN w:val="0"/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Druhou novelou zákona č. 218/2013 </w:t>
      </w:r>
      <w:r w:rsidRPr="00835D0E">
        <w:rPr>
          <w:sz w:val="24"/>
          <w:szCs w:val="24"/>
        </w:rPr>
        <w:t>Z. z. o núdzových zásobách ropy a ropných výrobkov a o riešení stavu ropnej núdze a o zmene a doplnení niektorých zákonov</w:t>
      </w:r>
      <w:r>
        <w:rPr>
          <w:sz w:val="24"/>
          <w:szCs w:val="24"/>
        </w:rPr>
        <w:t xml:space="preserve"> v znení neskorších predpisov (ďalej len „zákon č. 218/2013 Z. z.“) bola poslaneckým návrhom doplnená výnimka z povinnosti vybraných podnikateľov týkajúca sa dvoch druhov vykurovacieho oleja s kódmi </w:t>
      </w:r>
      <w:r w:rsidRPr="00835D0E">
        <w:rPr>
          <w:sz w:val="24"/>
          <w:szCs w:val="24"/>
        </w:rPr>
        <w:t>kombinovanej nomenklatúry 2710 19 66 a 2710 19 67</w:t>
      </w:r>
      <w:r>
        <w:rPr>
          <w:sz w:val="24"/>
          <w:szCs w:val="24"/>
        </w:rPr>
        <w:t>, pokiaľ sú tieto vykurovacie oleje vyrobené z odpadových olejov</w:t>
      </w:r>
      <w:r>
        <w:rPr>
          <w:bCs/>
          <w:sz w:val="24"/>
          <w:szCs w:val="24"/>
        </w:rPr>
        <w:t xml:space="preserve">. Zaradenie tejto výnimky priamo do prílohy č. 1 </w:t>
      </w:r>
      <w:r>
        <w:rPr>
          <w:sz w:val="24"/>
          <w:szCs w:val="24"/>
        </w:rPr>
        <w:t xml:space="preserve">zákona č. 218/2013 Z. z. </w:t>
      </w:r>
      <w:r>
        <w:rPr>
          <w:bCs/>
          <w:sz w:val="24"/>
          <w:szCs w:val="24"/>
        </w:rPr>
        <w:t xml:space="preserve">však spôsobilo, že Finančné riaditeľstvo Slovenskej republiky od nadobudnutia účinnosti tejto novely odmietlo Agentúre pre núdzové zásoby ropy a ropných výrobkov </w:t>
      </w:r>
      <w:r>
        <w:rPr>
          <w:sz w:val="24"/>
          <w:szCs w:val="24"/>
        </w:rPr>
        <w:t xml:space="preserve">(ďalej len „agentúra“) </w:t>
      </w:r>
      <w:r>
        <w:rPr>
          <w:bCs/>
          <w:sz w:val="24"/>
          <w:szCs w:val="24"/>
        </w:rPr>
        <w:t>poskytovať údaje o vykurovacích olejoch v súlade s § 21 ods. 11</w:t>
      </w:r>
      <w:r w:rsidRPr="006D2F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zákona č. 218/2013 Z. z., pretože </w:t>
      </w:r>
      <w:r>
        <w:rPr>
          <w:bCs/>
          <w:sz w:val="24"/>
          <w:szCs w:val="24"/>
        </w:rPr>
        <w:t>Finančné riaditeľstvo Slovenskej republiky</w:t>
      </w:r>
      <w:r>
        <w:rPr>
          <w:sz w:val="24"/>
          <w:szCs w:val="24"/>
        </w:rPr>
        <w:t xml:space="preserve"> nemá k dispozícii informácie, na základe ktorých by mohlo odlíšiť množstvá vykurovacích olejov vyrobené z odpadových olejov od vykurovacích olejov vyrobených štandardne. Poskytovaním údajov o všetkých vykurovacích olejoch by mohlo dôjsť k ohrozeniu ochrany daňového tajomstva v súlade so zákonom č. </w:t>
      </w:r>
      <w:r w:rsidRPr="006D2FEA">
        <w:rPr>
          <w:sz w:val="24"/>
          <w:szCs w:val="24"/>
        </w:rPr>
        <w:t>563/2009 Z. z. o správe daní (daňový poriadok) a o zmene a doplnení niektorých zákonov v znení neskorších predpisov.</w:t>
      </w:r>
      <w:r>
        <w:rPr>
          <w:sz w:val="24"/>
          <w:szCs w:val="24"/>
        </w:rPr>
        <w:t xml:space="preserve"> Pre odstránenie tohto rozporu návrh zákona presúva formuláciu uvedenej výnimky z prílohy č. 1 do nového § 2a, aby </w:t>
      </w:r>
      <w:r>
        <w:rPr>
          <w:bCs/>
          <w:sz w:val="24"/>
          <w:szCs w:val="24"/>
        </w:rPr>
        <w:t xml:space="preserve">Finančné riaditeľstvo Slovenskej republiky mohlo naďalej poskytovať údaje o vybraných ropných výrobkoch v súlade s § 21 ods. 11 a prílohou č. 1 </w:t>
      </w:r>
      <w:r>
        <w:rPr>
          <w:sz w:val="24"/>
          <w:szCs w:val="24"/>
        </w:rPr>
        <w:t>zákona č. 218/2013 Z. z. aj bez rizika ohrozenia ochrany daňového tajomstva.</w:t>
      </w:r>
    </w:p>
    <w:p w14:paraId="4BCA3E7F" w14:textId="77777777" w:rsidR="00FC1238" w:rsidRDefault="00FC1238" w:rsidP="00FC1238">
      <w:pPr>
        <w:autoSpaceDE w:val="0"/>
        <w:autoSpaceDN w:val="0"/>
        <w:spacing w:line="276" w:lineRule="auto"/>
        <w:jc w:val="both"/>
        <w:rPr>
          <w:bCs/>
          <w:sz w:val="24"/>
          <w:szCs w:val="24"/>
        </w:rPr>
      </w:pPr>
    </w:p>
    <w:p w14:paraId="28CC61D5" w14:textId="77777777" w:rsidR="00FC1238" w:rsidRPr="009B1AD2" w:rsidRDefault="00FC1238" w:rsidP="00FC1238">
      <w:p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 bodu 2</w:t>
      </w:r>
    </w:p>
    <w:p w14:paraId="43D1FE19" w14:textId="77777777" w:rsidR="00FC1238" w:rsidRPr="00EE4B5A" w:rsidRDefault="00FC1238" w:rsidP="00FC1238">
      <w:pPr>
        <w:autoSpaceDE w:val="0"/>
        <w:autoSpaceDN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Upresňuje sa formulácia ustanovenia, aby bolo zrejmé, že vybraný podnikateľ plní svoju povinnosť zabezpečovať udržiavanie núdzových zásob ropy a ropných výrobkov (ďalej len „núdzové zásoby“) prostredníctvom uzatvorenia zmluvy </w:t>
      </w:r>
      <w:r w:rsidRPr="00DD4BB6">
        <w:rPr>
          <w:sz w:val="24"/>
          <w:szCs w:val="24"/>
        </w:rPr>
        <w:t>o zabezpečení udržiavania núdzových zásob (ďalej len „</w:t>
      </w:r>
      <w:r>
        <w:rPr>
          <w:sz w:val="24"/>
          <w:szCs w:val="24"/>
        </w:rPr>
        <w:t>z</w:t>
      </w:r>
      <w:r w:rsidRPr="00DD4BB6">
        <w:rPr>
          <w:sz w:val="24"/>
          <w:szCs w:val="24"/>
        </w:rPr>
        <w:t>mluva“)</w:t>
      </w:r>
      <w:r w:rsidRPr="0095290A">
        <w:rPr>
          <w:sz w:val="24"/>
          <w:szCs w:val="24"/>
        </w:rPr>
        <w:t xml:space="preserve"> </w:t>
      </w:r>
      <w:r>
        <w:rPr>
          <w:sz w:val="24"/>
          <w:szCs w:val="24"/>
        </w:rPr>
        <w:t>s agentúrou.</w:t>
      </w:r>
    </w:p>
    <w:p w14:paraId="6A0DD720" w14:textId="77777777" w:rsidR="00FC1238" w:rsidRDefault="00FC1238" w:rsidP="00FC1238">
      <w:p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</w:p>
    <w:p w14:paraId="3002E2DB" w14:textId="77777777" w:rsidR="00FC1238" w:rsidRPr="009B1AD2" w:rsidRDefault="00FC1238" w:rsidP="00FC1238">
      <w:p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 bodu 3</w:t>
      </w:r>
    </w:p>
    <w:p w14:paraId="79C5CB8A" w14:textId="77777777" w:rsidR="00FC1238" w:rsidRPr="004814BA" w:rsidRDefault="00FC1238" w:rsidP="00FC123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záujme zabránenia potenciálnym špekuláciám zo strany nepoctivých vybraných podnikateľov sa upravuje povinnosť agentúry </w:t>
      </w:r>
      <w:r w:rsidRPr="0095290A">
        <w:rPr>
          <w:sz w:val="24"/>
          <w:szCs w:val="24"/>
        </w:rPr>
        <w:t xml:space="preserve">uzatvoriť </w:t>
      </w:r>
      <w:r>
        <w:rPr>
          <w:sz w:val="24"/>
          <w:szCs w:val="24"/>
        </w:rPr>
        <w:t>z</w:t>
      </w:r>
      <w:r w:rsidRPr="00DD4BB6">
        <w:rPr>
          <w:sz w:val="24"/>
          <w:szCs w:val="24"/>
        </w:rPr>
        <w:t>mluv</w:t>
      </w:r>
      <w:r>
        <w:rPr>
          <w:sz w:val="24"/>
          <w:szCs w:val="24"/>
        </w:rPr>
        <w:t>y</w:t>
      </w:r>
      <w:r w:rsidRPr="0095290A">
        <w:rPr>
          <w:sz w:val="24"/>
          <w:szCs w:val="24"/>
        </w:rPr>
        <w:t xml:space="preserve"> iba s tým vybraným podnikateľom, ktorý voči nej nemá nesplatené pohľadávky.</w:t>
      </w:r>
      <w:r w:rsidRPr="00425A58">
        <w:t xml:space="preserve"> </w:t>
      </w:r>
      <w:r w:rsidRPr="0095290A">
        <w:rPr>
          <w:sz w:val="24"/>
          <w:szCs w:val="24"/>
        </w:rPr>
        <w:t xml:space="preserve">Agentúra </w:t>
      </w:r>
      <w:r>
        <w:rPr>
          <w:sz w:val="24"/>
          <w:szCs w:val="24"/>
        </w:rPr>
        <w:t>pri uplatňovaní zákona č. 218/2013 Z. z.</w:t>
      </w:r>
      <w:r w:rsidRPr="0095290A">
        <w:rPr>
          <w:sz w:val="24"/>
          <w:szCs w:val="24"/>
        </w:rPr>
        <w:t xml:space="preserve"> zaznamenala prípad, kedy vypovedala </w:t>
      </w:r>
      <w:r>
        <w:rPr>
          <w:sz w:val="24"/>
          <w:szCs w:val="24"/>
        </w:rPr>
        <w:t>z</w:t>
      </w:r>
      <w:r w:rsidRPr="0095290A">
        <w:rPr>
          <w:sz w:val="24"/>
          <w:szCs w:val="24"/>
        </w:rPr>
        <w:t xml:space="preserve">mluvu s vybraným podnikateľom, </w:t>
      </w:r>
      <w:r>
        <w:rPr>
          <w:sz w:val="24"/>
          <w:szCs w:val="24"/>
        </w:rPr>
        <w:t>ktorý si neplnil povinnosti zo z</w:t>
      </w:r>
      <w:r w:rsidRPr="0095290A">
        <w:rPr>
          <w:sz w:val="24"/>
          <w:szCs w:val="24"/>
        </w:rPr>
        <w:t xml:space="preserve">mluvy, aby mu tak zabránila vo vykonávaní predmetnej podnikateľskej činnosti. Uvedený vybraný podnikateľ však ďalej pokračoval v podnikateľskej činnosti a obratom </w:t>
      </w:r>
      <w:r>
        <w:rPr>
          <w:sz w:val="24"/>
          <w:szCs w:val="24"/>
        </w:rPr>
        <w:t>a</w:t>
      </w:r>
      <w:r w:rsidRPr="0095290A">
        <w:rPr>
          <w:sz w:val="24"/>
          <w:szCs w:val="24"/>
        </w:rPr>
        <w:t xml:space="preserve">gentúru požiadal o uzatvorenie novej </w:t>
      </w:r>
      <w:r>
        <w:rPr>
          <w:sz w:val="24"/>
          <w:szCs w:val="24"/>
        </w:rPr>
        <w:t>z</w:t>
      </w:r>
      <w:r w:rsidRPr="0095290A">
        <w:rPr>
          <w:sz w:val="24"/>
          <w:szCs w:val="24"/>
        </w:rPr>
        <w:t xml:space="preserve">mluvy. Podľa doterajšej právnej úpravy </w:t>
      </w:r>
      <w:r>
        <w:rPr>
          <w:sz w:val="24"/>
          <w:szCs w:val="24"/>
        </w:rPr>
        <w:t>a</w:t>
      </w:r>
      <w:r w:rsidRPr="0095290A">
        <w:rPr>
          <w:sz w:val="24"/>
          <w:szCs w:val="24"/>
        </w:rPr>
        <w:t xml:space="preserve">gentúra nemohla odoprieť vybranému podnikateľovi uzatvorenie novej </w:t>
      </w:r>
      <w:r>
        <w:rPr>
          <w:sz w:val="24"/>
          <w:szCs w:val="24"/>
        </w:rPr>
        <w:t>z</w:t>
      </w:r>
      <w:r w:rsidRPr="0095290A">
        <w:rPr>
          <w:sz w:val="24"/>
          <w:szCs w:val="24"/>
        </w:rPr>
        <w:t xml:space="preserve">mluvy, pokiaľ o to požiadal, aj keď bolo zjavné, že nebude plniť povinnosti ani podľa tejto novej </w:t>
      </w:r>
      <w:r>
        <w:rPr>
          <w:sz w:val="24"/>
          <w:szCs w:val="24"/>
        </w:rPr>
        <w:t>z</w:t>
      </w:r>
      <w:r w:rsidRPr="0095290A">
        <w:rPr>
          <w:sz w:val="24"/>
          <w:szCs w:val="24"/>
        </w:rPr>
        <w:t xml:space="preserve">mluvy. Takémuto podnikateľovi nebolo možné uložiť pokutu podľa zákona č. 218/2013 Z. z., pretože formálne neodmietal uzatvorenie </w:t>
      </w:r>
      <w:r>
        <w:rPr>
          <w:sz w:val="24"/>
          <w:szCs w:val="24"/>
        </w:rPr>
        <w:t>z</w:t>
      </w:r>
      <w:r w:rsidRPr="0095290A">
        <w:rPr>
          <w:sz w:val="24"/>
          <w:szCs w:val="24"/>
        </w:rPr>
        <w:t>mluvy.</w:t>
      </w:r>
    </w:p>
    <w:p w14:paraId="341E611F" w14:textId="77777777" w:rsidR="00FC1238" w:rsidRPr="009B1AD2" w:rsidRDefault="00FC1238" w:rsidP="00FC1238">
      <w:p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</w:p>
    <w:p w14:paraId="0C80C2FF" w14:textId="77777777" w:rsidR="00FC1238" w:rsidRDefault="00FC1238" w:rsidP="00FC1238">
      <w:p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 bodu 4</w:t>
      </w:r>
    </w:p>
    <w:p w14:paraId="42C57738" w14:textId="77777777" w:rsidR="00FC1238" w:rsidRPr="00327AA5" w:rsidRDefault="00FC1238" w:rsidP="00FC1238">
      <w:pPr>
        <w:autoSpaceDE w:val="0"/>
        <w:autoSpaceDN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Upresňuje sa postup pri vymáhaní povinnosti voči vybraným podnikateľom podľa tohto zákona. Ak vybraný podnikateľ neplní povinnosti podľa tohto zákona ani po výzve od agentúry, agentúra túto skutočnosť oznámi Správe </w:t>
      </w:r>
      <w:r w:rsidRPr="00BB708B">
        <w:rPr>
          <w:sz w:val="24"/>
          <w:szCs w:val="24"/>
        </w:rPr>
        <w:t>štátnych hmotných rezerv Slovenskej republ</w:t>
      </w:r>
      <w:r>
        <w:rPr>
          <w:sz w:val="24"/>
          <w:szCs w:val="24"/>
        </w:rPr>
        <w:t xml:space="preserve">iky (ďalej len „Správa rezerv“) za účelom ďalšieho postupu podľa § 23 zákona </w:t>
      </w:r>
      <w:r w:rsidRPr="0095290A">
        <w:rPr>
          <w:sz w:val="24"/>
          <w:szCs w:val="24"/>
        </w:rPr>
        <w:t>č. 218/2013 Z. z.</w:t>
      </w:r>
    </w:p>
    <w:p w14:paraId="2C7B7D3B" w14:textId="77777777" w:rsidR="00FC1238" w:rsidRPr="009B1AD2" w:rsidRDefault="00FC1238" w:rsidP="00FC1238">
      <w:p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</w:p>
    <w:p w14:paraId="18800AC4" w14:textId="77777777" w:rsidR="00FC1238" w:rsidRPr="009B1AD2" w:rsidRDefault="00FC1238" w:rsidP="00FC1238">
      <w:p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 bodu 5</w:t>
      </w:r>
    </w:p>
    <w:p w14:paraId="0329BBE0" w14:textId="77777777" w:rsidR="00FC1238" w:rsidRPr="00226450" w:rsidRDefault="00FC1238" w:rsidP="00FC123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Upravuje sa povinnosť vybraných podnikateľov zložiť primerané zabezpečenie ešte pred uzatvorením zmluvy.  </w:t>
      </w:r>
    </w:p>
    <w:p w14:paraId="73193C77" w14:textId="77777777" w:rsidR="00FC1238" w:rsidRPr="00327AA5" w:rsidRDefault="00FC1238" w:rsidP="00FC1238">
      <w:pPr>
        <w:spacing w:line="276" w:lineRule="auto"/>
        <w:jc w:val="both"/>
        <w:rPr>
          <w:sz w:val="24"/>
          <w:szCs w:val="24"/>
        </w:rPr>
      </w:pPr>
    </w:p>
    <w:p w14:paraId="2A319500" w14:textId="77777777" w:rsidR="00FC1238" w:rsidRPr="009B1AD2" w:rsidRDefault="00FC1238" w:rsidP="00FC1238">
      <w:p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  <w:r w:rsidRPr="009B1AD2">
        <w:rPr>
          <w:b/>
          <w:sz w:val="24"/>
          <w:szCs w:val="24"/>
        </w:rPr>
        <w:t xml:space="preserve">K bodu </w:t>
      </w:r>
      <w:r>
        <w:rPr>
          <w:b/>
          <w:sz w:val="24"/>
          <w:szCs w:val="24"/>
        </w:rPr>
        <w:t>6</w:t>
      </w:r>
    </w:p>
    <w:p w14:paraId="4B2DDD77" w14:textId="77777777" w:rsidR="00FC1238" w:rsidRDefault="00FC1238" w:rsidP="00FC1238">
      <w:pPr>
        <w:pStyle w:val="Zkladntext2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Spresňuje sa oprávnenie agentúry vypovedať zmluvu s tým vybraným podnikateľom, ktorý nezložil na zabezpečenie svojich záväzkov zo zmluvy primerané zabezpečenie.</w:t>
      </w:r>
    </w:p>
    <w:p w14:paraId="39960E79" w14:textId="77777777" w:rsidR="00FC1238" w:rsidRDefault="00FC1238" w:rsidP="00FC1238">
      <w:pPr>
        <w:pStyle w:val="Zkladntext2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14:paraId="4CB6158B" w14:textId="77777777" w:rsidR="00FC1238" w:rsidRPr="00773F95" w:rsidRDefault="00FC1238" w:rsidP="00FC1238">
      <w:p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  <w:r w:rsidRPr="009B1AD2">
        <w:rPr>
          <w:b/>
          <w:sz w:val="24"/>
          <w:szCs w:val="24"/>
        </w:rPr>
        <w:t xml:space="preserve">K bodu </w:t>
      </w:r>
      <w:r>
        <w:rPr>
          <w:b/>
          <w:sz w:val="24"/>
          <w:szCs w:val="24"/>
        </w:rPr>
        <w:t>7</w:t>
      </w:r>
    </w:p>
    <w:p w14:paraId="00654A52" w14:textId="77777777" w:rsidR="00FC1238" w:rsidRPr="004814BA" w:rsidRDefault="00FC1238" w:rsidP="00FC1238">
      <w:pPr>
        <w:pStyle w:val="Zkladntext2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Dopĺňa sa povinnosť agentúry oznamovať príslušnému správcovi dane informácie o nedoplatkoch vybraných podnikateľov voči agentúre na účely konaní podľa zákona č. 98/2004 Z. z. o </w:t>
      </w:r>
      <w:r w:rsidRPr="00E3290F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spotrebnej dani z minerálneho oleja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v znení neskorších predpisov. Neexistencia nedoplatkov vybraných podnikateľov voči agentúre je totiž jednou z podmienok pre udelenie niektorých povolení podľa uvedeného zákona.</w:t>
      </w:r>
    </w:p>
    <w:p w14:paraId="48E0D094" w14:textId="77777777" w:rsidR="00FC1238" w:rsidRDefault="00FC1238" w:rsidP="00FC1238">
      <w:p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</w:p>
    <w:p w14:paraId="73AE9EB9" w14:textId="77777777" w:rsidR="00FC1238" w:rsidRPr="00773F95" w:rsidRDefault="00FC1238" w:rsidP="00FC1238">
      <w:p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  <w:r w:rsidRPr="009B1AD2">
        <w:rPr>
          <w:b/>
          <w:sz w:val="24"/>
          <w:szCs w:val="24"/>
        </w:rPr>
        <w:t xml:space="preserve">K bodu </w:t>
      </w:r>
      <w:r>
        <w:rPr>
          <w:b/>
          <w:sz w:val="24"/>
          <w:szCs w:val="24"/>
        </w:rPr>
        <w:t>8</w:t>
      </w:r>
    </w:p>
    <w:p w14:paraId="0D0C0916" w14:textId="77777777" w:rsidR="00FC1238" w:rsidRPr="009B1AD2" w:rsidRDefault="00FC1238" w:rsidP="00FC1238">
      <w:pPr>
        <w:autoSpaceDE w:val="0"/>
        <w:autoSpaceDN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Upravuje sa termín</w:t>
      </w:r>
      <w:r w:rsidRPr="005D5691">
        <w:rPr>
          <w:sz w:val="24"/>
          <w:szCs w:val="24"/>
        </w:rPr>
        <w:t xml:space="preserve"> na každoročné predloženie evidencie o núdzových zásobách Európskej komisii v súlade s platným znením </w:t>
      </w:r>
      <w:r>
        <w:rPr>
          <w:sz w:val="24"/>
          <w:szCs w:val="24"/>
        </w:rPr>
        <w:t>s</w:t>
      </w:r>
      <w:r w:rsidRPr="005D5691">
        <w:rPr>
          <w:sz w:val="24"/>
          <w:szCs w:val="24"/>
        </w:rPr>
        <w:t>mernice Rady 2009/119/ES zo 14. septembra 2009, ktorou sa členským štátom ukladá povinnosť udržiavať minimálne zásoby ropy a/alebo ropných výrobkov</w:t>
      </w:r>
      <w:r>
        <w:rPr>
          <w:sz w:val="24"/>
          <w:szCs w:val="24"/>
        </w:rPr>
        <w:t xml:space="preserve"> </w:t>
      </w:r>
      <w:r w:rsidRPr="00406F9A">
        <w:rPr>
          <w:sz w:val="24"/>
          <w:szCs w:val="24"/>
        </w:rPr>
        <w:t>(Ú. v. ES L 265</w:t>
      </w:r>
      <w:r>
        <w:rPr>
          <w:sz w:val="24"/>
          <w:szCs w:val="24"/>
        </w:rPr>
        <w:t>,</w:t>
      </w:r>
      <w:r w:rsidRPr="00406F9A">
        <w:rPr>
          <w:sz w:val="24"/>
          <w:szCs w:val="24"/>
        </w:rPr>
        <w:t xml:space="preserve"> 9.10.2009)</w:t>
      </w:r>
      <w:r w:rsidRPr="005D5691">
        <w:rPr>
          <w:sz w:val="24"/>
          <w:szCs w:val="24"/>
        </w:rPr>
        <w:t>.</w:t>
      </w:r>
    </w:p>
    <w:p w14:paraId="21C5376F" w14:textId="77777777" w:rsidR="00FC1238" w:rsidRDefault="00FC1238" w:rsidP="00FC1238">
      <w:p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</w:p>
    <w:p w14:paraId="25EC57C5" w14:textId="77777777" w:rsidR="00FC1238" w:rsidRPr="009B1AD2" w:rsidRDefault="00FC1238" w:rsidP="00FC1238">
      <w:p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 bodu 9</w:t>
      </w:r>
    </w:p>
    <w:p w14:paraId="76EFEE1D" w14:textId="77777777" w:rsidR="00FC1238" w:rsidRDefault="00FC1238" w:rsidP="00FC1238">
      <w:pPr>
        <w:spacing w:line="276" w:lineRule="auto"/>
        <w:jc w:val="both"/>
        <w:rPr>
          <w:sz w:val="24"/>
          <w:szCs w:val="24"/>
        </w:rPr>
      </w:pPr>
      <w:r w:rsidRPr="009B1AD2">
        <w:rPr>
          <w:sz w:val="24"/>
          <w:szCs w:val="24"/>
        </w:rPr>
        <w:t xml:space="preserve">V nadväznosti na </w:t>
      </w:r>
      <w:r>
        <w:rPr>
          <w:sz w:val="24"/>
          <w:szCs w:val="24"/>
        </w:rPr>
        <w:t xml:space="preserve">vysvetlenie k bodu 1 sa upresňuje postavenie agentúry ako subjektu oprávneného na sprístupnenie daňového tajomstva podľa </w:t>
      </w:r>
      <w:r w:rsidRPr="001B630F">
        <w:rPr>
          <w:sz w:val="24"/>
          <w:szCs w:val="24"/>
        </w:rPr>
        <w:t>§ 11 ods. 4 zákona č. 563/2009 Z. z. o správe daní (daňový poriadok) a o zmene a doplnení niektorých zákonov v znení neskorších predpisov</w:t>
      </w:r>
      <w:r>
        <w:rPr>
          <w:sz w:val="24"/>
          <w:szCs w:val="24"/>
        </w:rPr>
        <w:t xml:space="preserve"> z dôvodu plnenia jej úloh podľa zákona č. 218/2013 Z. z.</w:t>
      </w:r>
    </w:p>
    <w:p w14:paraId="6D8ECEA9" w14:textId="77777777" w:rsidR="00FC1238" w:rsidRDefault="00FC1238" w:rsidP="00FC1238">
      <w:pPr>
        <w:spacing w:line="276" w:lineRule="auto"/>
        <w:jc w:val="both"/>
        <w:rPr>
          <w:sz w:val="24"/>
          <w:szCs w:val="24"/>
        </w:rPr>
      </w:pPr>
    </w:p>
    <w:p w14:paraId="1A9B1A9D" w14:textId="77777777" w:rsidR="00FC1238" w:rsidRPr="009B1AD2" w:rsidRDefault="00FC1238" w:rsidP="00FC1238">
      <w:p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 bodu 10</w:t>
      </w:r>
    </w:p>
    <w:p w14:paraId="4B58BE32" w14:textId="77777777" w:rsidR="00FC1238" w:rsidRDefault="00FC1238" w:rsidP="00FC123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Mení sa jeden z predmetov kontroly zo strany Správy rezerv. Doterajší predmet kontroly v § 22 ods. 1 písm. a) predstavoval kontrolu vybraných podnikateľov zo strany Správy rezerv. V praxi to znamenalo komplikácie v tom, že Správa rezerv nemá žiadny priamy vzťah s vybranými podnikateľmi, preto nemala dostatočné informácie na dôkladnú kontrolu plnenia povinností zo strany vybraných podnikateľov. Kontrolovať plnenie povinností vybraných podnikateľov by mala v prvom rade agentúra, ktorá ma s nimi uzatvorené zmluvné vzťahy a má o nich najlepšie informácie. Preto podľa navrhovanej zmeny je Správe rezerv namiesto toho zverená právomoc kontrolovať ustanovenie § 6 ods. 3, keďže to je tá najdôležitejšia povinnosť podľa tohto zákona a doteraz kontrola plnenia tejto povinnosti nebola osobitne upravená.</w:t>
      </w:r>
    </w:p>
    <w:p w14:paraId="268550BE" w14:textId="77777777" w:rsidR="00FC1238" w:rsidRDefault="00FC1238" w:rsidP="0068138E">
      <w:pPr>
        <w:spacing w:after="20" w:line="276" w:lineRule="auto"/>
        <w:jc w:val="both"/>
        <w:rPr>
          <w:sz w:val="24"/>
          <w:szCs w:val="24"/>
        </w:rPr>
      </w:pPr>
    </w:p>
    <w:p w14:paraId="637754ED" w14:textId="77777777" w:rsidR="00FC1238" w:rsidRPr="009B1AD2" w:rsidRDefault="00FC1238" w:rsidP="0068138E">
      <w:p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 bodu 11</w:t>
      </w:r>
    </w:p>
    <w:p w14:paraId="7401E202" w14:textId="77777777" w:rsidR="00FC1238" w:rsidRDefault="00FC1238" w:rsidP="00FC123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Spresňuje sa postup vymáhania povinností vybraných podnikateľov v prípade ich neplnenia. Pokutu v prípade odmietnutia uzatvorenia zmluvy s agentúrou, alebo v prípade ukončenia zmluvy zo strany agentúry v dôsledku neplnenia zmluvných povinností vybraným podnikateľom, bude môcť Správa rezerv uložiť vtedy, ak vybraný podnikateľ pokračuje v predmetných činnostiach aj po tom, ako ho agentúra k uzatvoreniu zmluvy márne vyzvala, alebo ako s ním agentúra ukončila zmluvu z dôvodu neplnenia jeho povinností.</w:t>
      </w:r>
    </w:p>
    <w:p w14:paraId="074865BC" w14:textId="77777777" w:rsidR="00FC1238" w:rsidRPr="009B1AD2" w:rsidRDefault="00FC1238" w:rsidP="00FC1238">
      <w:p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</w:p>
    <w:p w14:paraId="7F738C46" w14:textId="77777777" w:rsidR="00FC1238" w:rsidRPr="00315F67" w:rsidRDefault="00FC1238" w:rsidP="00FC1238">
      <w:p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  <w:r w:rsidRPr="009B1AD2">
        <w:rPr>
          <w:b/>
          <w:sz w:val="24"/>
          <w:szCs w:val="24"/>
        </w:rPr>
        <w:t xml:space="preserve">K bodu </w:t>
      </w:r>
      <w:r>
        <w:rPr>
          <w:b/>
          <w:sz w:val="24"/>
          <w:szCs w:val="24"/>
        </w:rPr>
        <w:t>12</w:t>
      </w:r>
    </w:p>
    <w:p w14:paraId="0ED9555D" w14:textId="77777777" w:rsidR="00FC1238" w:rsidRDefault="00FC1238" w:rsidP="00FC1238">
      <w:pPr>
        <w:spacing w:line="276" w:lineRule="auto"/>
        <w:jc w:val="both"/>
        <w:rPr>
          <w:sz w:val="24"/>
          <w:szCs w:val="24"/>
        </w:rPr>
      </w:pPr>
      <w:r w:rsidRPr="009B1AD2">
        <w:rPr>
          <w:sz w:val="24"/>
          <w:szCs w:val="24"/>
        </w:rPr>
        <w:t xml:space="preserve">V nadväznosti na </w:t>
      </w:r>
      <w:r>
        <w:rPr>
          <w:sz w:val="24"/>
          <w:szCs w:val="24"/>
        </w:rPr>
        <w:t xml:space="preserve">vysvetlenie k bodu 1 je potrebné po nadobudnutí účinnosti tohto návrhu zákona zabezpečiť, aby Finančné riaditeľstvo Slovenskej republiky poslalo agentúre všetky údaje o vybraných podnikateľoch podľa </w:t>
      </w:r>
      <w:r>
        <w:rPr>
          <w:bCs/>
          <w:sz w:val="24"/>
          <w:szCs w:val="24"/>
        </w:rPr>
        <w:t xml:space="preserve">§ 21 ods. 11 </w:t>
      </w:r>
      <w:r>
        <w:rPr>
          <w:sz w:val="24"/>
          <w:szCs w:val="24"/>
        </w:rPr>
        <w:t xml:space="preserve">zákona č. 218/2013 Z. z. za obdobie, počas ktorého Finančné riaditeľstvo Slovenskej republiky odmietalo plniť svoje povinnosti v súlade s </w:t>
      </w:r>
      <w:r>
        <w:rPr>
          <w:bCs/>
          <w:sz w:val="24"/>
          <w:szCs w:val="24"/>
        </w:rPr>
        <w:t xml:space="preserve">§ 21 ods. 11 </w:t>
      </w:r>
      <w:r>
        <w:rPr>
          <w:sz w:val="24"/>
          <w:szCs w:val="24"/>
        </w:rPr>
        <w:t xml:space="preserve">zákona č. 218/2013 Z. z. z dôvodu obáv o porušenie daňového tajomstva podľa zákona č. </w:t>
      </w:r>
      <w:r w:rsidRPr="001B630F">
        <w:rPr>
          <w:sz w:val="24"/>
          <w:szCs w:val="24"/>
        </w:rPr>
        <w:t>563/2009 Z. z. o správe daní (daňový poriadok) a o zmene a doplnení niektorých zákonov</w:t>
      </w:r>
      <w:r>
        <w:rPr>
          <w:sz w:val="24"/>
          <w:szCs w:val="24"/>
        </w:rPr>
        <w:t>.</w:t>
      </w:r>
    </w:p>
    <w:p w14:paraId="42AC950C" w14:textId="77777777" w:rsidR="00FC1238" w:rsidRPr="00327AA5" w:rsidRDefault="00FC1238" w:rsidP="00FC1238">
      <w:pPr>
        <w:spacing w:line="276" w:lineRule="auto"/>
        <w:rPr>
          <w:sz w:val="24"/>
          <w:szCs w:val="24"/>
        </w:rPr>
      </w:pPr>
    </w:p>
    <w:p w14:paraId="71DEB30A" w14:textId="77777777" w:rsidR="00FC1238" w:rsidRPr="009B1AD2" w:rsidRDefault="00FC1238" w:rsidP="00FC1238">
      <w:p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 bodu 13</w:t>
      </w:r>
    </w:p>
    <w:p w14:paraId="078783FE" w14:textId="77777777" w:rsidR="00FC1238" w:rsidRDefault="00FC1238" w:rsidP="00FC123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Legislatívno-technická úprava.</w:t>
      </w:r>
    </w:p>
    <w:p w14:paraId="74DF5667" w14:textId="77777777" w:rsidR="00FC1238" w:rsidRPr="00327AA5" w:rsidRDefault="00FC1238" w:rsidP="00FC1238">
      <w:pPr>
        <w:spacing w:line="276" w:lineRule="auto"/>
        <w:jc w:val="both"/>
        <w:rPr>
          <w:sz w:val="24"/>
          <w:szCs w:val="24"/>
        </w:rPr>
      </w:pPr>
    </w:p>
    <w:p w14:paraId="370290EC" w14:textId="77777777" w:rsidR="00FC1238" w:rsidRPr="009B1AD2" w:rsidRDefault="00FC1238" w:rsidP="00FC1238">
      <w:p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 bodu 14 </w:t>
      </w:r>
    </w:p>
    <w:p w14:paraId="787E8FF6" w14:textId="77777777" w:rsidR="00FC1238" w:rsidRDefault="00FC1238" w:rsidP="00FC1238">
      <w:pPr>
        <w:spacing w:line="276" w:lineRule="auto"/>
        <w:jc w:val="both"/>
        <w:rPr>
          <w:sz w:val="24"/>
          <w:szCs w:val="24"/>
        </w:rPr>
      </w:pPr>
      <w:r w:rsidRPr="009B1AD2">
        <w:rPr>
          <w:sz w:val="24"/>
          <w:szCs w:val="24"/>
        </w:rPr>
        <w:t xml:space="preserve">V nadväznosti na </w:t>
      </w:r>
      <w:r>
        <w:rPr>
          <w:sz w:val="24"/>
          <w:szCs w:val="24"/>
        </w:rPr>
        <w:t>bod 1 sa výnimka týkajúca sa vykurovacích olejov presúva z prílohy č. 1 do § 2a.</w:t>
      </w:r>
    </w:p>
    <w:p w14:paraId="2A65D597" w14:textId="77777777" w:rsidR="00FC1238" w:rsidRDefault="00FC1238" w:rsidP="00FC1238">
      <w:pPr>
        <w:spacing w:line="276" w:lineRule="auto"/>
        <w:jc w:val="both"/>
        <w:rPr>
          <w:sz w:val="24"/>
          <w:szCs w:val="24"/>
        </w:rPr>
      </w:pPr>
    </w:p>
    <w:p w14:paraId="1FBFDA33" w14:textId="77777777" w:rsidR="00FC1238" w:rsidRDefault="00FC1238" w:rsidP="00FC1238">
      <w:pPr>
        <w:spacing w:line="276" w:lineRule="auto"/>
        <w:jc w:val="both"/>
        <w:rPr>
          <w:b/>
          <w:sz w:val="24"/>
          <w:szCs w:val="24"/>
        </w:rPr>
      </w:pPr>
      <w:r w:rsidRPr="009B1AD2">
        <w:rPr>
          <w:b/>
          <w:sz w:val="24"/>
          <w:szCs w:val="24"/>
        </w:rPr>
        <w:t xml:space="preserve">K bodu </w:t>
      </w:r>
      <w:r>
        <w:rPr>
          <w:b/>
          <w:sz w:val="24"/>
          <w:szCs w:val="24"/>
        </w:rPr>
        <w:t>15</w:t>
      </w:r>
    </w:p>
    <w:p w14:paraId="1E228FED" w14:textId="77777777" w:rsidR="00FC1238" w:rsidRDefault="00FC1238" w:rsidP="00FC1238">
      <w:pPr>
        <w:spacing w:line="276" w:lineRule="auto"/>
        <w:jc w:val="both"/>
        <w:rPr>
          <w:sz w:val="24"/>
          <w:szCs w:val="24"/>
        </w:rPr>
      </w:pPr>
      <w:r w:rsidRPr="00DC024D">
        <w:rPr>
          <w:sz w:val="24"/>
          <w:szCs w:val="24"/>
        </w:rPr>
        <w:t xml:space="preserve">Do zoznamu vybraných ropných výrobkov </w:t>
      </w:r>
      <w:r>
        <w:rPr>
          <w:sz w:val="24"/>
          <w:szCs w:val="24"/>
        </w:rPr>
        <w:t xml:space="preserve">sa dopĺňa ropný výrobok s kódom kombinovanej nomenklatúry 2710 20 90. Ide však iba o administratívnu úpravu z dôvodu umožnenia bezproblémového hlásenia údajov od Finančného riaditeľstva </w:t>
      </w:r>
      <w:r>
        <w:rPr>
          <w:bCs/>
          <w:sz w:val="24"/>
          <w:szCs w:val="24"/>
        </w:rPr>
        <w:t>Slovenskej republiky</w:t>
      </w:r>
      <w:r>
        <w:rPr>
          <w:sz w:val="24"/>
          <w:szCs w:val="24"/>
        </w:rPr>
        <w:t xml:space="preserve"> pre agentúru podľa § 21 ods. 11 </w:t>
      </w:r>
      <w:r w:rsidRPr="008247E4">
        <w:rPr>
          <w:sz w:val="24"/>
          <w:szCs w:val="24"/>
        </w:rPr>
        <w:t>zákon</w:t>
      </w:r>
      <w:r>
        <w:rPr>
          <w:sz w:val="24"/>
          <w:szCs w:val="24"/>
        </w:rPr>
        <w:t>a</w:t>
      </w:r>
      <w:r w:rsidRPr="008247E4">
        <w:rPr>
          <w:sz w:val="24"/>
          <w:szCs w:val="24"/>
        </w:rPr>
        <w:t xml:space="preserve"> č. 218/2013 </w:t>
      </w:r>
      <w:r>
        <w:rPr>
          <w:sz w:val="24"/>
          <w:szCs w:val="24"/>
        </w:rPr>
        <w:t xml:space="preserve">Z. z. Finančné riaditeľstvo </w:t>
      </w:r>
      <w:r>
        <w:rPr>
          <w:bCs/>
          <w:sz w:val="24"/>
          <w:szCs w:val="24"/>
        </w:rPr>
        <w:t>Slovenskej republiky</w:t>
      </w:r>
      <w:r>
        <w:rPr>
          <w:sz w:val="24"/>
          <w:szCs w:val="24"/>
        </w:rPr>
        <w:t xml:space="preserve"> totiž údaje, ktoré poskytuje agentúre podľa tohto ustanovenia, získava z daňových priznaní podľa zákona č. 98/2004 Z. z. o </w:t>
      </w:r>
      <w:r w:rsidRPr="00E3290F">
        <w:rPr>
          <w:sz w:val="24"/>
          <w:szCs w:val="24"/>
        </w:rPr>
        <w:t>spotrebnej dani z minerálneho oleja</w:t>
      </w:r>
      <w:r>
        <w:rPr>
          <w:sz w:val="24"/>
          <w:szCs w:val="24"/>
        </w:rPr>
        <w:t xml:space="preserve"> v znení neskorších predpisov (ďalej len „zákona č. 98/2004 Z. z.“). Údaje za minerálne oleje nie sú v daňových priznaniach podnikateľmi nahlasované za každý minerálny olej samostatne, ale sú nahlasované za jednotlivé kategórie minerálnych olejov podľa § 6 ods. 1 zákona č. 98/2004 Z. z. Vo väčšine prípadov sa rozsah vybraných ropných výrobkov prekrýva s rozsahom minerálnych olejov, za ktoré sa platí spotrebná daň podľa zákona č. 98/2004 Z. z. V prípade vykurovacích olejov podľa § 6 ods. 1 písm. e) zákona č. 98/2004 Z. z. je súčasťou tejto kategórie aj minerálny olej s kódom kombinovanej nomenklatúry 2710 20 90, avšak tento ropný výrobok doteraz nebol aj vybraným ropným výrobkom podľa prílohy č. 1 zákona č. 218/2013 Z. z. Aby Finančné riaditeľstvo</w:t>
      </w:r>
      <w:r w:rsidRPr="004F14F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Slovenskej republiky mohlo poskytovať agentúre údaje podľa</w:t>
      </w:r>
      <w:r>
        <w:rPr>
          <w:sz w:val="24"/>
          <w:szCs w:val="24"/>
        </w:rPr>
        <w:t xml:space="preserve"> § 21 ods. 11 </w:t>
      </w:r>
      <w:r w:rsidRPr="008247E4">
        <w:rPr>
          <w:sz w:val="24"/>
          <w:szCs w:val="24"/>
        </w:rPr>
        <w:t>zákon</w:t>
      </w:r>
      <w:r>
        <w:rPr>
          <w:sz w:val="24"/>
          <w:szCs w:val="24"/>
        </w:rPr>
        <w:t>a</w:t>
      </w:r>
      <w:r w:rsidRPr="008247E4">
        <w:rPr>
          <w:sz w:val="24"/>
          <w:szCs w:val="24"/>
        </w:rPr>
        <w:t xml:space="preserve"> č. 218/2013 </w:t>
      </w:r>
      <w:r>
        <w:rPr>
          <w:sz w:val="24"/>
          <w:szCs w:val="24"/>
        </w:rPr>
        <w:t>Z. z. bez obáv o porušenie daňového tajomstva, je potrebné do zoznamu vybraných podnikateľov doplniť aj tento ropný výrobok (KN 2710 20 90), aby Finančné riaditeľstvo</w:t>
      </w:r>
      <w:r w:rsidRPr="004F14F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Slovenskej republiky mohlo poskytovať agentúre údaje </w:t>
      </w:r>
      <w:r>
        <w:rPr>
          <w:sz w:val="24"/>
          <w:szCs w:val="24"/>
        </w:rPr>
        <w:t xml:space="preserve">podľa § 6 ods. 1 písm. e) zákona č. 98/2004 Z. z. </w:t>
      </w:r>
    </w:p>
    <w:p w14:paraId="2EF82FD2" w14:textId="77777777" w:rsidR="00FC1238" w:rsidRDefault="00FC1238" w:rsidP="00FC1238">
      <w:pPr>
        <w:spacing w:line="276" w:lineRule="auto"/>
        <w:jc w:val="both"/>
        <w:rPr>
          <w:sz w:val="24"/>
          <w:szCs w:val="24"/>
        </w:rPr>
      </w:pPr>
    </w:p>
    <w:p w14:paraId="024F5207" w14:textId="77777777" w:rsidR="00FC1238" w:rsidRPr="00DC024D" w:rsidRDefault="00FC1238" w:rsidP="00FC123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Aby sa nezvyšovalo zaťaženia podnikateľských subjektov ani nerozširoval počet povinných podnikateľských subjektov, na predmetný ropný výrobok s kódom kombinovanej nomenklatúry 2710 20 90 sa v § 2a navrhuje ustanoviť výnimku z plnenia povinností podľa tohto zákona. </w:t>
      </w:r>
    </w:p>
    <w:p w14:paraId="380A75A4" w14:textId="77777777" w:rsidR="00FC1238" w:rsidRPr="00327AA5" w:rsidRDefault="00FC1238" w:rsidP="00FC1238">
      <w:pPr>
        <w:spacing w:line="276" w:lineRule="auto"/>
        <w:jc w:val="both"/>
        <w:rPr>
          <w:sz w:val="24"/>
          <w:szCs w:val="24"/>
        </w:rPr>
      </w:pPr>
    </w:p>
    <w:p w14:paraId="044FD6AC" w14:textId="77777777" w:rsidR="00FC1238" w:rsidRDefault="00FC1238" w:rsidP="00FC1238">
      <w:p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  <w:r w:rsidRPr="009B1AD2">
        <w:rPr>
          <w:b/>
          <w:sz w:val="24"/>
          <w:szCs w:val="24"/>
        </w:rPr>
        <w:t xml:space="preserve">K bodu </w:t>
      </w:r>
      <w:r>
        <w:rPr>
          <w:b/>
          <w:sz w:val="24"/>
          <w:szCs w:val="24"/>
        </w:rPr>
        <w:t>16</w:t>
      </w:r>
    </w:p>
    <w:p w14:paraId="05EB308C" w14:textId="77777777" w:rsidR="00FC1238" w:rsidRDefault="00FC1238" w:rsidP="00FC1238">
      <w:pPr>
        <w:pStyle w:val="Zkladntext2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 roku 2020 bolo potrebné novelizovať zákon č. 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218/2013 Z. z. v znení zákona č. 235/2019 Z. z. iba z toho dôvodu, že došlo k zmene</w:t>
      </w:r>
      <w:r w:rsidRPr="008247E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označení niektorých ropných výrobkov v nariadení Rady (EHS) č. 2658/87 z 23. júla 1987 o colnej a štatistickej nomenklatúre a o Spoločnom colnom sadzobníku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(</w:t>
      </w:r>
      <w:r w:rsidRPr="00630B89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Ú. v. ES L 256, 7.9.1987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; Mimoriadne vydanie Ú. v. EÚ, kap. 2</w:t>
      </w:r>
      <w:r w:rsidRPr="00630B89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/zv. 2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) v platnom znení</w:t>
      </w:r>
      <w:r w:rsidRPr="008247E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. V nadväznosti na to bolo potrebné upraviť 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číselné kódy</w:t>
      </w:r>
      <w:r w:rsidRPr="008247E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kombinovanej nomenklatúry niektorých ropných výrobkov 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v príslušných zákonoch</w:t>
      </w:r>
      <w:r w:rsidRPr="008247E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, a to v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 </w:t>
      </w:r>
      <w:r w:rsidRPr="008247E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zákone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č. 98/2004 Z. z.</w:t>
      </w:r>
      <w:r w:rsidRPr="008247E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o spotrebnej dani z minerálneho oleja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v znení neskorších predpisov</w:t>
      </w:r>
      <w:r w:rsidRPr="008247E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, ako aj v 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p</w:t>
      </w:r>
      <w:r w:rsidRPr="008247E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rílohe č. 1 k zákonu č. 218/2013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Z. z</w:t>
      </w:r>
      <w:r w:rsidRPr="008247E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. Rozsah vybraných ropných výrobkov v 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p</w:t>
      </w:r>
      <w:r w:rsidRPr="008247E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rílohe č. 1 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k </w:t>
      </w:r>
      <w:r w:rsidRPr="008247E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zákon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u</w:t>
      </w:r>
      <w:r w:rsidRPr="008247E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č. 218/2013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Z. z.</w:t>
      </w:r>
      <w:r w:rsidRPr="008247E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sa tým nemenil, iba sa zmen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ili niektoré číselné kódy . </w:t>
      </w:r>
      <w:r w:rsidRPr="008247E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Aby pri podobných potenciálnych budúcich 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novelách</w:t>
      </w:r>
      <w:r w:rsidRPr="008247E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nariadenia 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(EHS) </w:t>
      </w:r>
      <w:r w:rsidRPr="008247E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č. 2658/87 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v platnom znení </w:t>
      </w:r>
      <w:r w:rsidRPr="008247E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nebolo potrebné zakaždým novelizovať zákon č. 218/2013 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Z. z., do prílohy</w:t>
      </w:r>
      <w:r w:rsidRPr="008247E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č. 1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sa dopĺňa ustanovenie o tom, že vybrané ropné výrobky sú definované predovšetkým ich slovným opisom v prílohe č. 1 a ich číselné označenie kódom kombinovanej nomenklatúry bude zodpovedať aktuálnemu zneniu prílohy </w:t>
      </w:r>
      <w:r w:rsidRPr="008247E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nariadenia 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(EHS) </w:t>
      </w:r>
      <w:r w:rsidRPr="008247E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č. 2658/87 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v platnom znení, pokiaľ </w:t>
      </w:r>
      <w:r w:rsidRPr="008247E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slovný opis vybraného ropného výrobku podľa 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prvého </w:t>
      </w:r>
      <w:r w:rsidRPr="008247E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bodu 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p</w:t>
      </w:r>
      <w:r w:rsidRPr="008247E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rílohy č. 1 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zákona </w:t>
      </w:r>
      <w:r w:rsidRPr="008247E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spĺňa kritériá definície ropného výrobku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podľa </w:t>
      </w:r>
      <w:r w:rsidRPr="008247E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nariadenia 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(EHS) </w:t>
      </w:r>
      <w:r w:rsidRPr="008247E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č. 2658/87 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v platnom znení. V poznámke pod čiarou sa opravuje publikačný zdroj. </w:t>
      </w:r>
    </w:p>
    <w:p w14:paraId="2AB216D8" w14:textId="77777777" w:rsidR="00FC1238" w:rsidRDefault="00FC1238" w:rsidP="00FC1238">
      <w:pPr>
        <w:spacing w:line="276" w:lineRule="auto"/>
        <w:jc w:val="both"/>
        <w:rPr>
          <w:sz w:val="24"/>
          <w:szCs w:val="24"/>
        </w:rPr>
      </w:pPr>
    </w:p>
    <w:p w14:paraId="0D2327DA" w14:textId="77777777" w:rsidR="00FC1238" w:rsidRPr="00486294" w:rsidRDefault="00FC1238" w:rsidP="00FC1238">
      <w:pPr>
        <w:spacing w:line="276" w:lineRule="auto"/>
        <w:jc w:val="both"/>
        <w:rPr>
          <w:b/>
          <w:sz w:val="24"/>
          <w:szCs w:val="24"/>
        </w:rPr>
      </w:pPr>
      <w:r w:rsidRPr="00486294">
        <w:rPr>
          <w:b/>
          <w:sz w:val="24"/>
          <w:szCs w:val="24"/>
        </w:rPr>
        <w:t>K bodu 1</w:t>
      </w:r>
      <w:r>
        <w:rPr>
          <w:b/>
          <w:sz w:val="24"/>
          <w:szCs w:val="24"/>
        </w:rPr>
        <w:t>7</w:t>
      </w:r>
    </w:p>
    <w:p w14:paraId="18BC7F55" w14:textId="77777777" w:rsidR="00FC1238" w:rsidRDefault="00FC1238" w:rsidP="00FC123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Doplnila sa transpozičná príloha. </w:t>
      </w:r>
    </w:p>
    <w:p w14:paraId="126DAF02" w14:textId="77777777" w:rsidR="00FC1238" w:rsidRDefault="00FC1238" w:rsidP="00FC1238">
      <w:pPr>
        <w:spacing w:line="276" w:lineRule="auto"/>
        <w:jc w:val="both"/>
        <w:rPr>
          <w:sz w:val="24"/>
          <w:szCs w:val="24"/>
        </w:rPr>
      </w:pPr>
    </w:p>
    <w:p w14:paraId="14DF8C03" w14:textId="77777777" w:rsidR="00FC1238" w:rsidRPr="009B1AD2" w:rsidRDefault="00FC1238" w:rsidP="00FC1238">
      <w:pPr>
        <w:autoSpaceDE w:val="0"/>
        <w:autoSpaceDN w:val="0"/>
        <w:spacing w:line="276" w:lineRule="auto"/>
        <w:jc w:val="both"/>
        <w:rPr>
          <w:b/>
          <w:sz w:val="24"/>
          <w:szCs w:val="24"/>
        </w:rPr>
      </w:pPr>
      <w:r w:rsidRPr="009B1AD2">
        <w:rPr>
          <w:b/>
          <w:sz w:val="24"/>
          <w:szCs w:val="24"/>
        </w:rPr>
        <w:t>K </w:t>
      </w:r>
      <w:r>
        <w:rPr>
          <w:b/>
          <w:sz w:val="24"/>
          <w:szCs w:val="24"/>
        </w:rPr>
        <w:t>Čl.</w:t>
      </w:r>
      <w:r w:rsidRPr="009B1AD2">
        <w:rPr>
          <w:b/>
          <w:sz w:val="24"/>
          <w:szCs w:val="24"/>
        </w:rPr>
        <w:t xml:space="preserve"> I</w:t>
      </w:r>
      <w:r>
        <w:rPr>
          <w:b/>
          <w:sz w:val="24"/>
          <w:szCs w:val="24"/>
        </w:rPr>
        <w:t>I</w:t>
      </w:r>
    </w:p>
    <w:p w14:paraId="5F0B0FFA" w14:textId="77777777" w:rsidR="00FC1238" w:rsidRPr="002729D9" w:rsidRDefault="00FC1238" w:rsidP="0035390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Navrhuje sa účinnosť zákona.</w:t>
      </w:r>
    </w:p>
    <w:p w14:paraId="73959762" w14:textId="2550B4D0" w:rsidR="0035390E" w:rsidRDefault="0035390E">
      <w:pPr>
        <w:rPr>
          <w:sz w:val="24"/>
          <w:szCs w:val="24"/>
        </w:rPr>
      </w:pPr>
    </w:p>
    <w:p w14:paraId="0BAA2357" w14:textId="4D6BDA75" w:rsidR="00FC1238" w:rsidRPr="00FC1238" w:rsidRDefault="00FF6E8C" w:rsidP="00FC1238">
      <w:pPr>
        <w:spacing w:after="100" w:afterAutospacing="1"/>
        <w:jc w:val="both"/>
        <w:rPr>
          <w:rStyle w:val="Zstupntext"/>
          <w:color w:val="000000"/>
          <w:sz w:val="24"/>
          <w:szCs w:val="24"/>
        </w:rPr>
      </w:pPr>
      <w:r>
        <w:rPr>
          <w:rStyle w:val="Zstupntext"/>
          <w:color w:val="000000"/>
          <w:sz w:val="24"/>
          <w:szCs w:val="24"/>
        </w:rPr>
        <w:t>Bratislava 22</w:t>
      </w:r>
      <w:r w:rsidR="00FC1238" w:rsidRPr="00FC1238">
        <w:rPr>
          <w:rStyle w:val="Zstupntext"/>
          <w:color w:val="000000"/>
          <w:sz w:val="24"/>
          <w:szCs w:val="24"/>
        </w:rPr>
        <w:t xml:space="preserve">. </w:t>
      </w:r>
      <w:r w:rsidR="00FC1238">
        <w:rPr>
          <w:rStyle w:val="Zstupntext"/>
          <w:color w:val="000000"/>
          <w:sz w:val="24"/>
          <w:szCs w:val="24"/>
        </w:rPr>
        <w:t>september</w:t>
      </w:r>
      <w:r w:rsidR="00FC1238" w:rsidRPr="00FC1238">
        <w:rPr>
          <w:rStyle w:val="Zstupntext"/>
          <w:color w:val="000000"/>
          <w:sz w:val="24"/>
          <w:szCs w:val="24"/>
        </w:rPr>
        <w:t xml:space="preserve"> 2021</w:t>
      </w:r>
    </w:p>
    <w:p w14:paraId="191A7AFA" w14:textId="77777777" w:rsidR="00FC1238" w:rsidRPr="00FC1238" w:rsidRDefault="00FC1238" w:rsidP="00FC1238">
      <w:pPr>
        <w:jc w:val="center"/>
        <w:rPr>
          <w:rStyle w:val="Zstupntext"/>
          <w:b/>
          <w:color w:val="000000"/>
          <w:sz w:val="24"/>
          <w:szCs w:val="24"/>
        </w:rPr>
      </w:pPr>
    </w:p>
    <w:p w14:paraId="27EC8F68" w14:textId="50DD6A1D" w:rsidR="00FC1238" w:rsidRPr="00FC1238" w:rsidRDefault="00FC1238" w:rsidP="00577933">
      <w:pPr>
        <w:spacing w:before="240"/>
        <w:jc w:val="center"/>
        <w:rPr>
          <w:rStyle w:val="Zstupntext"/>
          <w:color w:val="000000"/>
          <w:sz w:val="24"/>
          <w:szCs w:val="24"/>
        </w:rPr>
      </w:pPr>
      <w:r>
        <w:rPr>
          <w:rStyle w:val="Zstupntext"/>
          <w:b/>
          <w:color w:val="000000"/>
          <w:sz w:val="24"/>
          <w:szCs w:val="24"/>
        </w:rPr>
        <w:t>Eduard Heger</w:t>
      </w:r>
      <w:r w:rsidR="0035390E">
        <w:rPr>
          <w:rStyle w:val="Zstupntext"/>
          <w:b/>
          <w:color w:val="000000"/>
          <w:sz w:val="24"/>
          <w:szCs w:val="24"/>
        </w:rPr>
        <w:t>,</w:t>
      </w:r>
      <w:r w:rsidRPr="00FC1238">
        <w:rPr>
          <w:rStyle w:val="Zstupntext"/>
          <w:b/>
          <w:color w:val="000000"/>
          <w:sz w:val="24"/>
          <w:szCs w:val="24"/>
        </w:rPr>
        <w:t xml:space="preserve"> v. r.</w:t>
      </w:r>
    </w:p>
    <w:p w14:paraId="3946404E" w14:textId="77777777" w:rsidR="00FC1238" w:rsidRPr="00FC1238" w:rsidRDefault="00FC1238" w:rsidP="00577933">
      <w:pPr>
        <w:spacing w:after="240"/>
        <w:jc w:val="center"/>
        <w:rPr>
          <w:rStyle w:val="Zstupntext"/>
          <w:color w:val="000000"/>
          <w:sz w:val="24"/>
          <w:szCs w:val="24"/>
        </w:rPr>
      </w:pPr>
      <w:r w:rsidRPr="00FC1238">
        <w:rPr>
          <w:rStyle w:val="Zstupntext"/>
          <w:color w:val="000000"/>
          <w:sz w:val="24"/>
          <w:szCs w:val="24"/>
        </w:rPr>
        <w:t>predseda vlády Slovenskej republiky</w:t>
      </w:r>
    </w:p>
    <w:p w14:paraId="2A8EECCB" w14:textId="1253BE2D" w:rsidR="00FC1238" w:rsidRPr="00FC1238" w:rsidRDefault="00FC1238" w:rsidP="00577933">
      <w:pPr>
        <w:spacing w:after="100" w:afterAutospacing="1"/>
        <w:rPr>
          <w:rStyle w:val="Zstupntext"/>
          <w:color w:val="000000"/>
          <w:sz w:val="24"/>
          <w:szCs w:val="24"/>
        </w:rPr>
      </w:pPr>
    </w:p>
    <w:p w14:paraId="481EE3D7" w14:textId="2881756B" w:rsidR="00FC1238" w:rsidRPr="00FC1238" w:rsidRDefault="00FC1238" w:rsidP="00577933">
      <w:pPr>
        <w:jc w:val="center"/>
        <w:rPr>
          <w:rStyle w:val="Zstupntext"/>
          <w:b/>
          <w:color w:val="000000"/>
          <w:sz w:val="24"/>
          <w:szCs w:val="24"/>
        </w:rPr>
      </w:pPr>
      <w:r w:rsidRPr="00FC1238">
        <w:rPr>
          <w:rStyle w:val="Zstupntext"/>
          <w:b/>
          <w:color w:val="000000"/>
          <w:sz w:val="24"/>
          <w:szCs w:val="24"/>
        </w:rPr>
        <w:t>Ján Rudolf</w:t>
      </w:r>
      <w:r w:rsidR="0035390E">
        <w:rPr>
          <w:rStyle w:val="Zstupntext"/>
          <w:b/>
          <w:color w:val="000000"/>
          <w:sz w:val="24"/>
          <w:szCs w:val="24"/>
        </w:rPr>
        <w:t>,</w:t>
      </w:r>
      <w:r>
        <w:rPr>
          <w:rStyle w:val="Zstupntext"/>
          <w:b/>
          <w:color w:val="000000"/>
          <w:sz w:val="24"/>
          <w:szCs w:val="24"/>
        </w:rPr>
        <w:t xml:space="preserve"> </w:t>
      </w:r>
      <w:r w:rsidRPr="00FC1238">
        <w:rPr>
          <w:rStyle w:val="Zstupntext"/>
          <w:b/>
          <w:color w:val="000000"/>
          <w:sz w:val="24"/>
          <w:szCs w:val="24"/>
        </w:rPr>
        <w:t>v. r.</w:t>
      </w:r>
    </w:p>
    <w:p w14:paraId="5E776519" w14:textId="77777777" w:rsidR="00FC1238" w:rsidRPr="00FC1238" w:rsidRDefault="00FC1238" w:rsidP="00FC1238">
      <w:pPr>
        <w:jc w:val="center"/>
        <w:rPr>
          <w:rStyle w:val="Zstupntext"/>
          <w:color w:val="000000"/>
          <w:sz w:val="24"/>
          <w:szCs w:val="24"/>
        </w:rPr>
      </w:pPr>
      <w:r w:rsidRPr="00FC1238">
        <w:rPr>
          <w:rStyle w:val="Zstupntext"/>
          <w:color w:val="000000"/>
          <w:sz w:val="24"/>
          <w:szCs w:val="24"/>
        </w:rPr>
        <w:t xml:space="preserve">predseda Správy štátnych hmotných rezerv </w:t>
      </w:r>
    </w:p>
    <w:p w14:paraId="2606A943" w14:textId="2A7E8935" w:rsidR="00577933" w:rsidRPr="00577933" w:rsidRDefault="00FC1238" w:rsidP="00577933">
      <w:pPr>
        <w:jc w:val="center"/>
        <w:rPr>
          <w:color w:val="000000"/>
          <w:sz w:val="24"/>
          <w:szCs w:val="24"/>
        </w:rPr>
      </w:pPr>
      <w:r w:rsidRPr="00FC1238">
        <w:rPr>
          <w:rStyle w:val="Zstupntext"/>
          <w:color w:val="000000"/>
          <w:sz w:val="24"/>
          <w:szCs w:val="24"/>
        </w:rPr>
        <w:t>Slovenskej republiky</w:t>
      </w:r>
    </w:p>
    <w:sectPr w:rsidR="00577933" w:rsidRPr="00577933" w:rsidSect="004C60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4F3C2" w16cex:dateUtc="2021-02-03T09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D5697E" w16cid:durableId="23C4F3C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6060D" w14:textId="77777777" w:rsidR="007B21F7" w:rsidRDefault="007B21F7" w:rsidP="003501A1">
      <w:r>
        <w:separator/>
      </w:r>
    </w:p>
  </w:endnote>
  <w:endnote w:type="continuationSeparator" w:id="0">
    <w:p w14:paraId="6DEF0E7C" w14:textId="77777777" w:rsidR="007B21F7" w:rsidRDefault="007B21F7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2702E" w14:textId="77777777" w:rsidR="00CB20AC" w:rsidRDefault="00CB20A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2776929"/>
      <w:docPartObj>
        <w:docPartGallery w:val="Page Numbers (Bottom of Page)"/>
        <w:docPartUnique/>
      </w:docPartObj>
    </w:sdtPr>
    <w:sdtEndPr/>
    <w:sdtContent>
      <w:p w14:paraId="7D6F5D2B" w14:textId="52141810" w:rsidR="00F95525" w:rsidRDefault="00F9552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DB7">
          <w:rPr>
            <w:noProof/>
          </w:rPr>
          <w:t>1</w:t>
        </w:r>
        <w:r>
          <w:fldChar w:fldCharType="end"/>
        </w:r>
      </w:p>
    </w:sdtContent>
  </w:sdt>
  <w:p w14:paraId="6437C939" w14:textId="77777777" w:rsidR="00F95525" w:rsidRDefault="00F9552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C56F0" w14:textId="77777777" w:rsidR="00CB20AC" w:rsidRDefault="00CB20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FA74A" w14:textId="77777777" w:rsidR="007B21F7" w:rsidRDefault="007B21F7" w:rsidP="003501A1">
      <w:r>
        <w:separator/>
      </w:r>
    </w:p>
  </w:footnote>
  <w:footnote w:type="continuationSeparator" w:id="0">
    <w:p w14:paraId="01D39DB5" w14:textId="77777777" w:rsidR="007B21F7" w:rsidRDefault="007B21F7" w:rsidP="0035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562AF" w14:textId="77777777" w:rsidR="00CB20AC" w:rsidRDefault="00CB20A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90972" w14:textId="77777777" w:rsidR="00CB20AC" w:rsidRDefault="00CB20A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78DBD" w14:textId="77777777" w:rsidR="00CB20AC" w:rsidRDefault="00CB20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838"/>
    <w:multiLevelType w:val="hybridMultilevel"/>
    <w:tmpl w:val="DFFA075E"/>
    <w:lvl w:ilvl="0" w:tplc="B9021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86"/>
    <w:rsid w:val="000016B5"/>
    <w:rsid w:val="00001A9F"/>
    <w:rsid w:val="00015254"/>
    <w:rsid w:val="00016856"/>
    <w:rsid w:val="00033426"/>
    <w:rsid w:val="00036A60"/>
    <w:rsid w:val="00045C89"/>
    <w:rsid w:val="000B7A68"/>
    <w:rsid w:val="000F0ACF"/>
    <w:rsid w:val="001044B2"/>
    <w:rsid w:val="00175FD8"/>
    <w:rsid w:val="00177156"/>
    <w:rsid w:val="001F0548"/>
    <w:rsid w:val="0020351A"/>
    <w:rsid w:val="002303F7"/>
    <w:rsid w:val="0025331A"/>
    <w:rsid w:val="0025793B"/>
    <w:rsid w:val="00267171"/>
    <w:rsid w:val="00297C27"/>
    <w:rsid w:val="002A0EEB"/>
    <w:rsid w:val="002E29F2"/>
    <w:rsid w:val="002F01CF"/>
    <w:rsid w:val="003013D6"/>
    <w:rsid w:val="003501A1"/>
    <w:rsid w:val="0035390E"/>
    <w:rsid w:val="00395098"/>
    <w:rsid w:val="0041471E"/>
    <w:rsid w:val="0045465B"/>
    <w:rsid w:val="0046629A"/>
    <w:rsid w:val="004C60B8"/>
    <w:rsid w:val="004C794A"/>
    <w:rsid w:val="004E1945"/>
    <w:rsid w:val="004F3CD0"/>
    <w:rsid w:val="004F5710"/>
    <w:rsid w:val="004F6F1F"/>
    <w:rsid w:val="004F7D6F"/>
    <w:rsid w:val="005505AF"/>
    <w:rsid w:val="00553D94"/>
    <w:rsid w:val="00570B48"/>
    <w:rsid w:val="005753AF"/>
    <w:rsid w:val="00577933"/>
    <w:rsid w:val="005B4689"/>
    <w:rsid w:val="005B7A8D"/>
    <w:rsid w:val="005D4BD5"/>
    <w:rsid w:val="00603DB7"/>
    <w:rsid w:val="006047CE"/>
    <w:rsid w:val="006421D7"/>
    <w:rsid w:val="006757ED"/>
    <w:rsid w:val="0068138E"/>
    <w:rsid w:val="006B38B3"/>
    <w:rsid w:val="006C3B7D"/>
    <w:rsid w:val="006D7E67"/>
    <w:rsid w:val="00785C67"/>
    <w:rsid w:val="007B21F7"/>
    <w:rsid w:val="007C2502"/>
    <w:rsid w:val="00832A75"/>
    <w:rsid w:val="0084448F"/>
    <w:rsid w:val="00961A3B"/>
    <w:rsid w:val="0098716F"/>
    <w:rsid w:val="00A11B55"/>
    <w:rsid w:val="00A26078"/>
    <w:rsid w:val="00A553D7"/>
    <w:rsid w:val="00A77D3B"/>
    <w:rsid w:val="00A832F2"/>
    <w:rsid w:val="00A87ED3"/>
    <w:rsid w:val="00AC2477"/>
    <w:rsid w:val="00AF4AB2"/>
    <w:rsid w:val="00B174E4"/>
    <w:rsid w:val="00B33ADC"/>
    <w:rsid w:val="00B35746"/>
    <w:rsid w:val="00B65A86"/>
    <w:rsid w:val="00B907BE"/>
    <w:rsid w:val="00BC6E2C"/>
    <w:rsid w:val="00C16024"/>
    <w:rsid w:val="00C34951"/>
    <w:rsid w:val="00C8092C"/>
    <w:rsid w:val="00CB20AC"/>
    <w:rsid w:val="00CB3623"/>
    <w:rsid w:val="00D13B6F"/>
    <w:rsid w:val="00D75D35"/>
    <w:rsid w:val="00D82664"/>
    <w:rsid w:val="00D9208E"/>
    <w:rsid w:val="00D9535C"/>
    <w:rsid w:val="00DC5AE1"/>
    <w:rsid w:val="00DD517F"/>
    <w:rsid w:val="00DE2A12"/>
    <w:rsid w:val="00E1724C"/>
    <w:rsid w:val="00E17F20"/>
    <w:rsid w:val="00E42F37"/>
    <w:rsid w:val="00E57C59"/>
    <w:rsid w:val="00E86AA4"/>
    <w:rsid w:val="00EB3357"/>
    <w:rsid w:val="00EB59E3"/>
    <w:rsid w:val="00EB65D5"/>
    <w:rsid w:val="00EC586F"/>
    <w:rsid w:val="00F22831"/>
    <w:rsid w:val="00F44DE7"/>
    <w:rsid w:val="00F60A13"/>
    <w:rsid w:val="00F62771"/>
    <w:rsid w:val="00F95525"/>
    <w:rsid w:val="00FA67EE"/>
    <w:rsid w:val="00FC1238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686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FC123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C1238"/>
    <w:rPr>
      <w:lang w:val="en-GB"/>
    </w:rPr>
  </w:style>
  <w:style w:type="character" w:styleId="Zstupntext">
    <w:name w:val="Placeholder Text"/>
    <w:basedOn w:val="Predvolenpsmoodseku"/>
    <w:uiPriority w:val="99"/>
    <w:semiHidden/>
    <w:rsid w:val="00FC1238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6-Doložka-vybraných-vplyvov"/>
    <f:field ref="objsubject" par="" edit="true" text=""/>
    <f:field ref="objcreatedby" par="" text="Blaho, Peter, JUDr."/>
    <f:field ref="objcreatedat" par="" text="20.4.2021 17:21:20"/>
    <f:field ref="objchangedby" par="" text="Administrator, System"/>
    <f:field ref="objmodifiedat" par="" text="20.4.2021 17:21:2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E2190E6-73FB-4E51-97EF-60ACE91B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3615</Words>
  <Characters>20607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2021-04-20T15:07:00Z</dcterms:created>
  <dcterms:modified xsi:type="dcterms:W3CDTF">2021-09-23T06:46:00Z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Peter Blaho</vt:lpwstr>
  </property>
  <property fmtid="{D5CDD505-2E9C-101B-9397-08002B2CF9AE}" pid="12" name="FSC#SKEDITIONSLOVLEX@103.510:zodppredkladatel">
    <vt:lpwstr>Ing. Ján Rudolf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218/2013 Z. z. o núdzových zásobách ropy a ropných výrobkov a o riešení stavu ropnej núdze a o zmene a doplnení niektorých zákonov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Správa štátnych hmotných rezerv Slovenskej republiky (Úrad vlády Slovenskej republiky, odbor legislatívy ostatných ústredných orgánov štátnej správy)</vt:lpwstr>
  </property>
  <property fmtid="{D5CDD505-2E9C-101B-9397-08002B2CF9AE}" pid="20" name="FSC#SKEDITIONSLOVLEX@103.510:pripomienkovatelia">
    <vt:lpwstr>Správa štátnych hmotných rezerv Slovenskej republiky (Úrad vlády Slovenskej republiky, odbor legislatívy ostatných ústredných orgánov štátnej správy), Správa štátnych hmotných rezerv Slovenskej republiky (Úrad vlády Slovenskej republiky, odbor legislatívy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bod C.1. uznesenia vlády Slovenskej republiky č. 547 z 9. septembra 2020</vt:lpwstr>
  </property>
  <property fmtid="{D5CDD505-2E9C-101B-9397-08002B2CF9AE}" pid="23" name="FSC#SKEDITIONSLOVLEX@103.510:plnynazovpredpis">
    <vt:lpwstr> Zákon, ktorým sa mení a dopĺňa zákon č. 218/2013 Z. z. o núdzových zásobách ropy a ropných výrobkov a o riešení stavu ropnej núdze a o zmene a doplnení niektorých zákonov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SŠHR-2021/0577-PRED-1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LP/2021/182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predseda Správy štátnych hmotných rezerv</vt:lpwstr>
  </property>
  <property fmtid="{D5CDD505-2E9C-101B-9397-08002B2CF9AE}" pid="142" name="FSC#SKEDITIONSLOVLEX@103.510:funkciaZodpPredAkuzativ">
    <vt:lpwstr>predsedu Správy štátnych hmotných rezerv</vt:lpwstr>
  </property>
  <property fmtid="{D5CDD505-2E9C-101B-9397-08002B2CF9AE}" pid="143" name="FSC#SKEDITIONSLOVLEX@103.510:funkciaZodpPredDativ">
    <vt:lpwstr>predsedovi Správy štátnych hmotných rezerv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Ján Rudolf_x000d_
predseda Správy štátnych hmotných rezerv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20. 4. 2021</vt:lpwstr>
  </property>
  <property fmtid="{D5CDD505-2E9C-101B-9397-08002B2CF9AE}" pid="151" name="FSC#COOSYSTEM@1.1:Container">
    <vt:lpwstr>COO.2145.1000.3.4330885</vt:lpwstr>
  </property>
  <property fmtid="{D5CDD505-2E9C-101B-9397-08002B2CF9AE}" pid="152" name="FSC#FSCFOLIO@1.1001:docpropproject">
    <vt:lpwstr/>
  </property>
</Properties>
</file>