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287"/>
        <w:gridCol w:w="4214"/>
        <w:gridCol w:w="1260"/>
        <w:gridCol w:w="1260"/>
        <w:gridCol w:w="1260"/>
        <w:gridCol w:w="4500"/>
        <w:gridCol w:w="720"/>
        <w:gridCol w:w="1760"/>
        <w:gridCol w:w="40"/>
      </w:tblGrid>
      <w:tr w:rsidR="007D3C9E" w14:paraId="59414B5A" w14:textId="77777777" w:rsidTr="00F0577C">
        <w:tc>
          <w:tcPr>
            <w:tcW w:w="162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687F5" w14:textId="57C43292" w:rsidR="007D3C9E" w:rsidRDefault="007D3C9E" w:rsidP="007D3C9E">
            <w:pPr>
              <w:pStyle w:val="Nadpis1"/>
              <w:widowControl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TABUĽKA  ZHODY</w:t>
            </w:r>
          </w:p>
          <w:p w14:paraId="638AA74E" w14:textId="77777777" w:rsidR="007D3C9E" w:rsidRPr="0063019C" w:rsidRDefault="0063019C" w:rsidP="007D3C9E">
            <w:pPr>
              <w:pStyle w:val="Nadpis1"/>
              <w:widowControl/>
              <w:spacing w:after="120"/>
              <w:rPr>
                <w:bCs w:val="0"/>
                <w:sz w:val="20"/>
                <w:szCs w:val="20"/>
              </w:rPr>
            </w:pPr>
            <w:r w:rsidRPr="0063019C">
              <w:rPr>
                <w:bCs w:val="0"/>
                <w:sz w:val="20"/>
                <w:szCs w:val="20"/>
              </w:rPr>
              <w:t>návrhu zákona s právom Európskej únie</w:t>
            </w:r>
          </w:p>
        </w:tc>
      </w:tr>
      <w:tr w:rsidR="00ED64F6" w:rsidRPr="004C0598" w14:paraId="2FF9E1E2" w14:textId="77777777" w:rsidTr="00F0577C">
        <w:trPr>
          <w:trHeight w:val="417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4F75C" w14:textId="619BB809" w:rsidR="00ED64F6" w:rsidRDefault="00ED64F6" w:rsidP="00ED64F6">
            <w:pPr>
              <w:pStyle w:val="Zkladntext3"/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CB7903">
              <w:rPr>
                <w:b/>
                <w:sz w:val="20"/>
                <w:szCs w:val="20"/>
              </w:rPr>
              <w:t>Smernica Európskeho parlamentu a Rady 2006/123/ES z 12. decembra 2006 o službách na vnútornom trhu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525E56" w14:textId="2624E8F4" w:rsidR="00ED64F6" w:rsidRPr="004C0598" w:rsidRDefault="0008344F" w:rsidP="00ED64F6">
            <w:pPr>
              <w:pStyle w:val="Hlavika"/>
              <w:widowControl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Návrh zákona </w:t>
            </w:r>
            <w:r w:rsidR="00ED64F6" w:rsidRPr="004C0598">
              <w:rPr>
                <w:b/>
                <w:sz w:val="20"/>
                <w:szCs w:val="20"/>
              </w:rPr>
              <w:t>o</w:t>
            </w:r>
            <w:r w:rsidR="00ED64F6">
              <w:rPr>
                <w:b/>
                <w:sz w:val="20"/>
                <w:szCs w:val="20"/>
              </w:rPr>
              <w:t xml:space="preserve"> Komore geodetov a kartografov </w:t>
            </w:r>
            <w:r w:rsidR="00ED64F6" w:rsidRPr="004C059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64F6" w14:paraId="5E0E9179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B705F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B1C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10FC3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AFF0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D04" w14:textId="77777777" w:rsidR="00ED64F6" w:rsidRDefault="00ED64F6" w:rsidP="00ED64F6">
            <w:pPr>
              <w:pStyle w:val="Zkladntext2"/>
              <w:widowControl/>
              <w:spacing w:line="240" w:lineRule="exact"/>
            </w:pPr>
            <w: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B2" w14:textId="77777777" w:rsidR="00ED64F6" w:rsidRDefault="00ED64F6" w:rsidP="00ED64F6">
            <w:pPr>
              <w:pStyle w:val="Zkladntext2"/>
              <w:widowControl/>
              <w:spacing w:line="240" w:lineRule="exact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467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CFFCF" w14:textId="77777777" w:rsidR="00ED64F6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D64F6" w14:paraId="35B3A06C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FB0BC" w14:textId="77777777" w:rsidR="00ED64F6" w:rsidRDefault="00ED64F6" w:rsidP="00ED64F6">
            <w:pPr>
              <w:pStyle w:val="Normlny0"/>
              <w:widowControl/>
              <w:jc w:val="center"/>
            </w:pPr>
            <w:r>
              <w:t>Článok</w:t>
            </w:r>
          </w:p>
          <w:p w14:paraId="595C1E12" w14:textId="77777777" w:rsidR="00ED64F6" w:rsidRDefault="00ED64F6" w:rsidP="00ED64F6">
            <w:pPr>
              <w:pStyle w:val="Normlny0"/>
              <w:widowControl/>
              <w:jc w:val="center"/>
            </w:pPr>
            <w:r>
              <w:t>(Č, O,</w:t>
            </w:r>
          </w:p>
          <w:p w14:paraId="3DFA8975" w14:textId="77777777" w:rsidR="00ED64F6" w:rsidRDefault="00ED64F6" w:rsidP="00ED64F6">
            <w:pPr>
              <w:pStyle w:val="Normlny0"/>
              <w:widowControl/>
              <w:jc w:val="center"/>
            </w:pPr>
            <w:r>
              <w:t>V, P)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D14" w14:textId="77777777" w:rsidR="00ED64F6" w:rsidRDefault="00ED64F6" w:rsidP="00ED64F6">
            <w:pPr>
              <w:pStyle w:val="Normlny0"/>
              <w:widowControl/>
              <w:jc w:val="center"/>
            </w:pPr>
            <w: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05E5C" w14:textId="77777777" w:rsidR="00ED64F6" w:rsidRDefault="00ED64F6" w:rsidP="00ED64F6">
            <w:pPr>
              <w:pStyle w:val="Normlny0"/>
              <w:widowControl/>
              <w:jc w:val="center"/>
            </w:pPr>
            <w:r>
              <w:t>Spôsob transp.</w:t>
            </w:r>
          </w:p>
          <w:p w14:paraId="7F30BDF1" w14:textId="77777777" w:rsidR="00ED64F6" w:rsidRDefault="00ED64F6" w:rsidP="00ED64F6">
            <w:pPr>
              <w:pStyle w:val="Normlny0"/>
              <w:widowControl/>
              <w:jc w:val="center"/>
            </w:pPr>
            <w: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D48B" w14:textId="77777777" w:rsidR="00ED64F6" w:rsidRDefault="00ED64F6" w:rsidP="00ED64F6">
            <w:pPr>
              <w:pStyle w:val="Normlny0"/>
              <w:widowControl/>
              <w:jc w:val="center"/>
            </w:pPr>
            <w:r>
              <w:t>Číslo</w:t>
            </w:r>
          </w:p>
          <w:p w14:paraId="242D9411" w14:textId="77777777" w:rsidR="00ED64F6" w:rsidRDefault="00ED64F6" w:rsidP="00ED64F6">
            <w:pPr>
              <w:pStyle w:val="Normlny0"/>
              <w:widowControl/>
              <w:jc w:val="center"/>
            </w:pPr>
            <w:r>
              <w:t>predpisu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32A" w14:textId="77777777" w:rsidR="00ED64F6" w:rsidRDefault="00ED64F6" w:rsidP="00ED64F6">
            <w:pPr>
              <w:pStyle w:val="Normlny0"/>
              <w:widowControl/>
              <w:jc w:val="center"/>
            </w:pPr>
            <w:r>
              <w:t xml:space="preserve">Článok </w:t>
            </w:r>
            <w:r>
              <w:br/>
              <w:t>(Č, §, O, V, P)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492" w14:textId="77777777" w:rsidR="00ED64F6" w:rsidRDefault="00ED64F6" w:rsidP="00ED64F6">
            <w:pPr>
              <w:pStyle w:val="Normlny0"/>
              <w:widowControl/>
              <w:jc w:val="center"/>
            </w:pPr>
            <w: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55E" w14:textId="77777777" w:rsidR="00ED64F6" w:rsidRDefault="00ED64F6" w:rsidP="00ED64F6">
            <w:pPr>
              <w:pStyle w:val="Normlny0"/>
              <w:widowControl/>
              <w:jc w:val="center"/>
            </w:pPr>
            <w:r>
              <w:t>Zhoda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F9FD6" w14:textId="77777777" w:rsidR="00ED64F6" w:rsidRDefault="00ED64F6" w:rsidP="00ED64F6">
            <w:pPr>
              <w:pStyle w:val="Normlny0"/>
              <w:widowControl/>
              <w:jc w:val="center"/>
            </w:pPr>
            <w:r>
              <w:t>Poznámky</w:t>
            </w:r>
          </w:p>
        </w:tc>
      </w:tr>
      <w:tr w:rsidR="00462CEB" w:rsidRPr="009664D7" w14:paraId="7622C05C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71F40" w14:textId="56BF14C8" w:rsidR="00462CEB" w:rsidRDefault="007D2557" w:rsidP="00462CE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9</w:t>
            </w:r>
          </w:p>
          <w:p w14:paraId="48B826A6" w14:textId="3F469FDC" w:rsidR="00462CEB" w:rsidRPr="009664D7" w:rsidRDefault="00462CEB" w:rsidP="00462CE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7D7" w14:textId="77777777" w:rsidR="00462CEB" w:rsidRPr="003B495D" w:rsidRDefault="00462CEB" w:rsidP="00462CEB">
            <w:pPr>
              <w:widowControl/>
              <w:adjustRightInd/>
              <w:rPr>
                <w:vanish/>
                <w:sz w:val="20"/>
                <w:szCs w:val="20"/>
              </w:rPr>
            </w:pPr>
          </w:p>
          <w:p w14:paraId="1D034F98" w14:textId="23AA8C98" w:rsidR="003B495D" w:rsidRPr="003B495D" w:rsidRDefault="003B495D" w:rsidP="003B495D">
            <w:pPr>
              <w:widowControl/>
              <w:shd w:val="clear" w:color="auto" w:fill="FFFFFF"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3B495D">
              <w:rPr>
                <w:color w:val="000000"/>
                <w:sz w:val="20"/>
                <w:szCs w:val="20"/>
              </w:rPr>
              <w:t>1.   Členské štáty nepodmieňujú prístup k činnosti v oblasti služieb alebo jej vykonávanie systémom udeľovania povolení, pokiaľ nie sú splnené tieto podmienky: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81"/>
            </w:tblGrid>
            <w:tr w:rsidR="003B495D" w:rsidRPr="003B495D" w14:paraId="2084817C" w14:textId="77777777" w:rsidTr="003B495D">
              <w:tc>
                <w:tcPr>
                  <w:tcW w:w="255" w:type="dxa"/>
                  <w:shd w:val="clear" w:color="auto" w:fill="FFFFFF"/>
                  <w:hideMark/>
                </w:tcPr>
                <w:p w14:paraId="23113A22" w14:textId="28F4AD2B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17" w:type="dxa"/>
                  <w:shd w:val="clear" w:color="auto" w:fill="FFFFFF"/>
                  <w:hideMark/>
                </w:tcPr>
                <w:p w14:paraId="66F001DE" w14:textId="08F6D640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>systém udeľovani</w:t>
                  </w:r>
                  <w:r>
                    <w:rPr>
                      <w:color w:val="000000"/>
                      <w:sz w:val="20"/>
                      <w:szCs w:val="20"/>
                    </w:rPr>
                    <w:t>a povolení nediskriminuje dané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 xml:space="preserve"> poskytovateľa;</w:t>
                  </w:r>
                </w:p>
              </w:tc>
            </w:tr>
          </w:tbl>
          <w:p w14:paraId="166831BD" w14:textId="77777777" w:rsidR="003B495D" w:rsidRPr="003B495D" w:rsidRDefault="003B495D" w:rsidP="003B495D">
            <w:pPr>
              <w:widowControl/>
              <w:adjustRightInd/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"/>
              <w:gridCol w:w="4308"/>
            </w:tblGrid>
            <w:tr w:rsidR="003B495D" w:rsidRPr="003B495D" w14:paraId="728FB844" w14:textId="77777777" w:rsidTr="003B495D">
              <w:tc>
                <w:tcPr>
                  <w:tcW w:w="200" w:type="dxa"/>
                  <w:shd w:val="clear" w:color="auto" w:fill="FFFFFF"/>
                  <w:hideMark/>
                </w:tcPr>
                <w:p w14:paraId="3648E246" w14:textId="327C7878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 </w:t>
                  </w:r>
                </w:p>
              </w:tc>
              <w:tc>
                <w:tcPr>
                  <w:tcW w:w="8872" w:type="dxa"/>
                  <w:shd w:val="clear" w:color="auto" w:fill="FFFFFF"/>
                  <w:hideMark/>
                </w:tcPr>
                <w:p w14:paraId="251D5D44" w14:textId="77F7A7CB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>potreba existencie systému udeľovania povolení je opodstatnená závažným dôvodom týkajúcim sa verejného záujmu;</w:t>
                  </w:r>
                </w:p>
              </w:tc>
            </w:tr>
          </w:tbl>
          <w:p w14:paraId="0E9CFC3F" w14:textId="77777777" w:rsidR="003B495D" w:rsidRPr="003B495D" w:rsidRDefault="003B495D" w:rsidP="003B495D">
            <w:pPr>
              <w:widowControl/>
              <w:adjustRightInd/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4314"/>
            </w:tblGrid>
            <w:tr w:rsidR="003B495D" w:rsidRPr="003B495D" w14:paraId="349789A5" w14:textId="77777777" w:rsidTr="003B495D">
              <w:tc>
                <w:tcPr>
                  <w:tcW w:w="187" w:type="dxa"/>
                  <w:shd w:val="clear" w:color="auto" w:fill="FFFFFF"/>
                  <w:hideMark/>
                </w:tcPr>
                <w:p w14:paraId="3785B3F6" w14:textId="335CAB28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B495D">
                    <w:rPr>
                      <w:color w:val="000000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8885" w:type="dxa"/>
                  <w:shd w:val="clear" w:color="auto" w:fill="FFFFFF"/>
                  <w:hideMark/>
                </w:tcPr>
                <w:p w14:paraId="1F55AB40" w14:textId="33E5759D" w:rsidR="003B495D" w:rsidRPr="003B495D" w:rsidRDefault="003B495D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) </w:t>
                  </w:r>
                  <w:r w:rsidRPr="003B495D">
                    <w:rPr>
                      <w:color w:val="000000"/>
                      <w:sz w:val="20"/>
                      <w:szCs w:val="20"/>
                    </w:rPr>
                    <w:t>sledovaný cieľ nemožno dosiahnuť pomocou menej reštriktívneho opatrenia, najmä v dôsledku skutočnosti, že následná inšpekcia by bola vykonaná príliš neskoro, aby bola skutočne účinná.</w:t>
                  </w:r>
                </w:p>
              </w:tc>
            </w:tr>
            <w:tr w:rsidR="00D06EAF" w:rsidRPr="003B495D" w14:paraId="0FB608D2" w14:textId="77777777" w:rsidTr="003B495D">
              <w:tc>
                <w:tcPr>
                  <w:tcW w:w="187" w:type="dxa"/>
                  <w:shd w:val="clear" w:color="auto" w:fill="FFFFFF"/>
                </w:tcPr>
                <w:p w14:paraId="1CDD5285" w14:textId="77777777" w:rsidR="00D06EAF" w:rsidRPr="003B495D" w:rsidRDefault="00D06EAF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85" w:type="dxa"/>
                  <w:shd w:val="clear" w:color="auto" w:fill="FFFFFF"/>
                </w:tcPr>
                <w:p w14:paraId="71B389B0" w14:textId="77777777" w:rsidR="00D06EAF" w:rsidRDefault="00D06EAF" w:rsidP="003B495D">
                  <w:pPr>
                    <w:widowControl/>
                    <w:adjustRightInd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BAF825F" w14:textId="0F0FD351" w:rsidR="00462CEB" w:rsidRPr="009664D7" w:rsidRDefault="00462CEB" w:rsidP="003B495D">
            <w:pPr>
              <w:widowControl/>
              <w:shd w:val="clear" w:color="auto" w:fill="FFFFFF"/>
              <w:adjustRightInd/>
              <w:spacing w:before="12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96F11" w14:textId="2B645D73" w:rsidR="00462CEB" w:rsidRPr="009664D7" w:rsidRDefault="00A3695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6E959" w14:textId="25804A8F" w:rsidR="00462CEB" w:rsidRDefault="00A01E35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FA1" w14:textId="25C6EA69" w:rsidR="00462CEB" w:rsidRDefault="003B495D" w:rsidP="00ED64F6">
            <w:pPr>
              <w:pStyle w:val="Normlny0"/>
              <w:widowControl/>
              <w:jc w:val="center"/>
            </w:pPr>
            <w:r>
              <w:t>§</w:t>
            </w:r>
            <w:r w:rsidR="005A57EE">
              <w:t>:</w:t>
            </w:r>
            <w:r>
              <w:t>7</w:t>
            </w:r>
          </w:p>
          <w:p w14:paraId="3782ACB6" w14:textId="05CF9939" w:rsidR="003B495D" w:rsidRPr="009664D7" w:rsidRDefault="005A57EE" w:rsidP="00ED64F6">
            <w:pPr>
              <w:pStyle w:val="Normlny0"/>
              <w:widowControl/>
              <w:jc w:val="center"/>
            </w:pPr>
            <w:r>
              <w:t>O:</w:t>
            </w:r>
            <w:r w:rsidR="003B495D">
              <w:t xml:space="preserve">2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262" w14:textId="7FCFDA26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(2) Do registra komora zapíše</w:t>
            </w:r>
          </w:p>
          <w:p w14:paraId="6C36042F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a) pri prvom hosťovaní toho, kto preukáže, že</w:t>
            </w:r>
          </w:p>
          <w:p w14:paraId="6F4B5F34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1. je občanom členského štátu,</w:t>
            </w:r>
          </w:p>
          <w:p w14:paraId="39904FE4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2. je bezúhonný,</w:t>
            </w:r>
          </w:p>
          <w:p w14:paraId="7055BD5C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3. nemá obmedzený alebo zakázaný výkon činnosti autorizovaného geodeta a kartografa,</w:t>
            </w:r>
          </w:p>
          <w:p w14:paraId="244E62F7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4. je oprávnený vykonávať geodetickú alebo kartografickú činnosť v členskom štáte a má doklad o vysokoškolskom vzdelaní v študijnom odbore geodézia a kartografia vydaný vysokou školou v členskom štáte,</w:t>
            </w:r>
          </w:p>
          <w:p w14:paraId="6E3770F9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5. úspešne vykoná kompenzačné opatrenie podľa § 8, ak ho komora považuje za potrebné vykonať,</w:t>
            </w:r>
          </w:p>
          <w:p w14:paraId="5FF5F917" w14:textId="77777777" w:rsidR="003B495D" w:rsidRPr="003B495D" w:rsidRDefault="003B495D" w:rsidP="003B495D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6. má uzavreté poistenie zo zodpovednosti za škodu spôsobenú v súvislosti s výkonom činnosti autorizovaného geodeta a kartografa s platnosťou pre územie Slovenskej republiky,</w:t>
            </w:r>
          </w:p>
          <w:p w14:paraId="2B28907E" w14:textId="2C4BCD47" w:rsidR="00462CEB" w:rsidRPr="0060414D" w:rsidRDefault="003B495D" w:rsidP="007830E8">
            <w:pPr>
              <w:jc w:val="both"/>
              <w:rPr>
                <w:sz w:val="20"/>
                <w:szCs w:val="20"/>
              </w:rPr>
            </w:pPr>
            <w:r w:rsidRPr="003B495D">
              <w:rPr>
                <w:sz w:val="20"/>
                <w:szCs w:val="20"/>
              </w:rPr>
              <w:t>b) pri predĺžení času hosťovania alebo pri opakovanom hosťovaní, ak od predchádzajúceho hosťovania neuplynú viac ako dva roky toho, kto preukáže, že spĺňa požiadavky podľa písmena a) druhého, tretieho a šiesteho bodu.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B76" w14:textId="5CC7FD5C" w:rsidR="00462CEB" w:rsidRPr="009664D7" w:rsidRDefault="00A3695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097F7" w14:textId="77777777" w:rsidR="00462CEB" w:rsidRPr="009664D7" w:rsidRDefault="00462CEB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46A55" w:rsidRPr="009664D7" w14:paraId="2BF9113E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2FEF50" w14:textId="77777777" w:rsidR="00C46A55" w:rsidRDefault="00C46A55" w:rsidP="00462CE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13</w:t>
            </w:r>
          </w:p>
          <w:p w14:paraId="1BB0E823" w14:textId="1DAA8FCB" w:rsidR="00C46A55" w:rsidRDefault="00C46A55" w:rsidP="00462CE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3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F22" w14:textId="1D2B3B14" w:rsidR="00C46A55" w:rsidRPr="00C46A55" w:rsidRDefault="00C46A55" w:rsidP="00462CEB">
            <w:pPr>
              <w:widowControl/>
              <w:adjustRightInd/>
              <w:rPr>
                <w:vanish/>
                <w:sz w:val="20"/>
                <w:szCs w:val="20"/>
              </w:rPr>
            </w:pPr>
            <w:r w:rsidRPr="004A2FF3">
              <w:rPr>
                <w:color w:val="000000"/>
                <w:sz w:val="20"/>
                <w:szCs w:val="20"/>
                <w:shd w:val="clear" w:color="auto" w:fill="FFFFFF"/>
              </w:rPr>
              <w:t>3.   Postupy a formálne náležitosti pri udeľovaní povolení zaručujú žiadateľom, že ich žiadosti budú vybavené bez zbytočného odkladu, v každom prípade však v primeranej lehote, ktorá je vopred stanovená a zverejnená. Lehota začína plynúť až od predloženia úplnej dokumentácie. V prípadoch odôvodnených zložitosťou danej záležitosti môže príslušný orgán predĺžiť lehotu raz, a to na obmedzené obdobie. Predĺženie a jeho dĺžka musia byť riadne opodstatnené a oznámené žiadateľovi pred uplynutím pôvodnej lehoty.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70F2F1" w14:textId="79A1C726" w:rsidR="00C46A55" w:rsidRDefault="00C46A55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4B721" w14:textId="6C183810" w:rsidR="00C46A55" w:rsidRDefault="00C46A55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D87" w14:textId="77777777" w:rsidR="00C46A55" w:rsidRDefault="00037AF2" w:rsidP="00ED64F6">
            <w:pPr>
              <w:pStyle w:val="Normlny0"/>
              <w:widowControl/>
              <w:jc w:val="center"/>
            </w:pPr>
            <w:r>
              <w:t>§: 6</w:t>
            </w:r>
          </w:p>
          <w:p w14:paraId="6F9253F0" w14:textId="5C169AC8" w:rsidR="00037AF2" w:rsidRDefault="00037AF2" w:rsidP="00ED64F6">
            <w:pPr>
              <w:pStyle w:val="Normlny0"/>
              <w:widowControl/>
              <w:jc w:val="center"/>
            </w:pPr>
            <w:r>
              <w:t>O: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DA4" w14:textId="77777777" w:rsidR="00037AF2" w:rsidRPr="0060414D" w:rsidRDefault="00037AF2" w:rsidP="00037AF2">
            <w:pPr>
              <w:pStyle w:val="odsek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414D">
              <w:rPr>
                <w:sz w:val="20"/>
                <w:szCs w:val="20"/>
              </w:rPr>
              <w:t>7) Komora zapíše fyzickú osobu do zoznamu do dvoch mesiacov odo dňa vydania potvrdenia o prijatí žiadosti. Ak má žiadosť alebo jej prílohy nedostatky, lehota podľa prvej vety začína plynúť odo dňa odstránenia všetkých nedostatkov podľa odseku 6. Ak komora v lehote nezapíše fyzickú osobu do zoznamu má sa za to, že vydala fiktívne rozhodnutie o odmietnutí zapísať ju do zoznamu podľa odseku 8 písm. b).</w:t>
            </w:r>
          </w:p>
          <w:p w14:paraId="5BAB0E0E" w14:textId="77777777" w:rsidR="00C46A55" w:rsidRPr="003B495D" w:rsidRDefault="00C46A55" w:rsidP="003B4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044" w14:textId="6CF10B39" w:rsidR="00C46A55" w:rsidRDefault="00C46A55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7F118" w14:textId="77777777" w:rsidR="00C46A55" w:rsidRPr="009664D7" w:rsidRDefault="00C46A55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D06EAF" w:rsidRPr="009664D7" w14:paraId="70D9D9CE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3163B0" w14:textId="77777777" w:rsidR="00D06EAF" w:rsidRPr="009664D7" w:rsidRDefault="00D06EAF" w:rsidP="00D06EAF">
            <w:pPr>
              <w:widowControl/>
              <w:jc w:val="center"/>
              <w:rPr>
                <w:sz w:val="20"/>
                <w:szCs w:val="20"/>
              </w:rPr>
            </w:pPr>
            <w:r w:rsidRPr="009664D7">
              <w:rPr>
                <w:sz w:val="20"/>
                <w:szCs w:val="20"/>
              </w:rPr>
              <w:t>Č:13</w:t>
            </w:r>
          </w:p>
          <w:p w14:paraId="23A45DEC" w14:textId="76CA605A" w:rsidR="00D06EAF" w:rsidRDefault="00D06EAF" w:rsidP="00D06EAF">
            <w:pPr>
              <w:widowControl/>
              <w:jc w:val="center"/>
              <w:rPr>
                <w:sz w:val="20"/>
                <w:szCs w:val="20"/>
              </w:rPr>
            </w:pPr>
            <w:r w:rsidRPr="009664D7">
              <w:rPr>
                <w:sz w:val="20"/>
                <w:szCs w:val="20"/>
              </w:rPr>
              <w:lastRenderedPageBreak/>
              <w:t>O:4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7B2" w14:textId="531727FA" w:rsidR="00D06EAF" w:rsidRPr="009F7B69" w:rsidRDefault="00D06EAF" w:rsidP="00462CEB">
            <w:pPr>
              <w:widowControl/>
              <w:adjustRightInd/>
              <w:rPr>
                <w:vanish/>
                <w:sz w:val="20"/>
                <w:szCs w:val="20"/>
              </w:rPr>
            </w:pPr>
            <w:r w:rsidRPr="009F7B69">
              <w:rPr>
                <w:sz w:val="20"/>
                <w:szCs w:val="20"/>
              </w:rPr>
              <w:lastRenderedPageBreak/>
              <w:t xml:space="preserve">4. Ak sa na žiadosť neodpovie v stanovenej alebo </w:t>
            </w:r>
            <w:r w:rsidRPr="009F7B69">
              <w:rPr>
                <w:sz w:val="20"/>
                <w:szCs w:val="20"/>
              </w:rPr>
              <w:lastRenderedPageBreak/>
              <w:t>predĺženej lehote v súlade s odsekom 3, povolenie sa považuje za udelené. V prípadoch, ktoré sú opodstatnené závažnými dôvodmi týkajúcimi sa verejného záujmu vrátane oprávneného záujmu tretích strán, však možno zaviesť inú úpravu.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C8402" w14:textId="77F63393" w:rsidR="00D06EAF" w:rsidRDefault="005C7E0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33BD" w14:textId="77B2A8E1" w:rsidR="00D06EAF" w:rsidRDefault="00D06EAF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lastRenderedPageBreak/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7C3" w14:textId="77777777" w:rsidR="00D06EAF" w:rsidRPr="009664D7" w:rsidRDefault="00D06EAF" w:rsidP="00D06EAF">
            <w:pPr>
              <w:pStyle w:val="Normlny0"/>
              <w:widowControl/>
              <w:jc w:val="center"/>
            </w:pPr>
            <w:r w:rsidRPr="009664D7">
              <w:lastRenderedPageBreak/>
              <w:t>§:</w:t>
            </w:r>
            <w:r>
              <w:t>6</w:t>
            </w:r>
          </w:p>
          <w:p w14:paraId="4F5AD2E5" w14:textId="2893D81C" w:rsidR="00D06EAF" w:rsidRDefault="00D06EAF" w:rsidP="00D06EAF">
            <w:pPr>
              <w:pStyle w:val="Normlny0"/>
              <w:widowControl/>
              <w:jc w:val="center"/>
            </w:pPr>
            <w:r w:rsidRPr="009664D7">
              <w:lastRenderedPageBreak/>
              <w:t>O:</w:t>
            </w:r>
            <w:r>
              <w:t xml:space="preserve">7 a </w:t>
            </w:r>
            <w:r w:rsidR="00CC3A74"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E7D" w14:textId="2B4A312D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Pr="0060414D">
              <w:rPr>
                <w:sz w:val="20"/>
                <w:szCs w:val="20"/>
              </w:rPr>
              <w:t xml:space="preserve">7) Komora zapíše fyzickú osobu do zoznamu do </w:t>
            </w:r>
            <w:r w:rsidRPr="0060414D">
              <w:rPr>
                <w:sz w:val="20"/>
                <w:szCs w:val="20"/>
              </w:rPr>
              <w:lastRenderedPageBreak/>
              <w:t>dvoch mesiacov odo dňa vydania potvrdenia o prijatí žiadosti. Ak má žiadosť alebo jej prílohy nedostatky, lehota podľa prvej vety začína plynúť odo dňa odstránenia všetkých nedostatkov podľa odseku 6. Ak komora v lehote nezapíše fyzickú osobu do zoznamu má sa za to, že vydala fiktívne rozhodnutie o odmietnutí zapísať ju do zoznamu podľa odseku 8 písm. b).</w:t>
            </w:r>
          </w:p>
          <w:p w14:paraId="347F6076" w14:textId="317197E8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(</w:t>
            </w:r>
            <w:r w:rsidR="00CC3A74">
              <w:rPr>
                <w:sz w:val="20"/>
                <w:szCs w:val="20"/>
              </w:rPr>
              <w:t>8</w:t>
            </w:r>
            <w:r w:rsidRPr="0060414D">
              <w:rPr>
                <w:sz w:val="20"/>
                <w:szCs w:val="20"/>
              </w:rPr>
              <w:t>) Právo domáhať sa ochrany na súde má fyzická osoba, ktorá tvrdí, že spĺňa podmienky podľa tohto zákona a komora rozhodne o</w:t>
            </w:r>
          </w:p>
          <w:p w14:paraId="15A45A8C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a) neumožnení vykonania kvalifikačnej skúšky,</w:t>
            </w:r>
          </w:p>
          <w:p w14:paraId="5D3271DE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b) odmietnutí zapísať ju do zoznamu,</w:t>
            </w:r>
          </w:p>
          <w:p w14:paraId="734736A6" w14:textId="77777777" w:rsidR="00D06EAF" w:rsidRPr="0060414D" w:rsidRDefault="00D06EAF" w:rsidP="00D06EAF">
            <w:pPr>
              <w:pStyle w:val="odsek1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c) pozastavení jej činnosti, alebo</w:t>
            </w:r>
          </w:p>
          <w:p w14:paraId="6A5970FB" w14:textId="0E0878D1" w:rsidR="00D06EAF" w:rsidRPr="003B495D" w:rsidRDefault="00D06EAF" w:rsidP="00D06EAF">
            <w:pPr>
              <w:jc w:val="both"/>
              <w:rPr>
                <w:sz w:val="20"/>
                <w:szCs w:val="20"/>
              </w:rPr>
            </w:pPr>
            <w:r w:rsidRPr="0060414D">
              <w:rPr>
                <w:sz w:val="20"/>
                <w:szCs w:val="20"/>
              </w:rPr>
              <w:t>d) jej vyčiarknutí zo zoznamu.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C91" w14:textId="7F6D55CB" w:rsidR="00D06EAF" w:rsidRDefault="00D06EA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960210" w14:textId="77777777" w:rsidR="00D06EAF" w:rsidRPr="009664D7" w:rsidRDefault="00D06EAF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62CEB" w:rsidRPr="009664D7" w14:paraId="7C50B240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6DCD8" w14:textId="77777777" w:rsidR="00462CEB" w:rsidRDefault="00462CEB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Č: 23</w:t>
            </w:r>
          </w:p>
          <w:p w14:paraId="5164B64B" w14:textId="61BDE4C3" w:rsidR="00462CEB" w:rsidRDefault="00462CEB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F18" w14:textId="6E4B63F2" w:rsidR="00462CEB" w:rsidRPr="00A857D5" w:rsidRDefault="008A34FF" w:rsidP="00ED64F6">
            <w:pPr>
              <w:pStyle w:val="Normlny0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="00462CEB">
              <w:rPr>
                <w:color w:val="000000"/>
                <w:shd w:val="clear" w:color="auto" w:fill="FFFFFF"/>
              </w:rPr>
              <w:t>Členské štáty môžu zabezpečiť, aby poskytovatelia, ktorých služby predstavujú priame a osobitné riziko pre zdravie alebo bezpečnosť príjemcu alebo tretej osoby alebo pre finančné zabezpečenie príjemcu, uzavreli poistenie profesijnej zodpovednosti primerané povahe a rozsahu rizika alebo poskytli záruku alebo podobné opatrenie, ktoré sú, pokiaľ ide o ich účel, v zásade porovnateľné.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56903" w14:textId="3B25993F" w:rsidR="00462CEB" w:rsidRPr="009664D7" w:rsidRDefault="005C7E06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A61E5" w14:textId="74D0566A" w:rsidR="00462CEB" w:rsidRDefault="00A01E35" w:rsidP="000837F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471" w14:textId="0D25BF12" w:rsidR="00462CEB" w:rsidRDefault="00AD6B17" w:rsidP="00ED64F6">
            <w:pPr>
              <w:pStyle w:val="Normlny0"/>
              <w:widowControl/>
              <w:jc w:val="center"/>
            </w:pPr>
            <w:r>
              <w:t>§</w:t>
            </w:r>
            <w:r w:rsidR="005A57EE">
              <w:t>:</w:t>
            </w:r>
            <w:r>
              <w:t>9</w:t>
            </w:r>
          </w:p>
          <w:p w14:paraId="6F6A64CE" w14:textId="5942B64B" w:rsidR="00AD6B17" w:rsidRPr="009664D7" w:rsidRDefault="005A57EE" w:rsidP="00ED64F6">
            <w:pPr>
              <w:pStyle w:val="Normlny0"/>
              <w:widowControl/>
              <w:jc w:val="center"/>
            </w:pPr>
            <w:r>
              <w:t>O:</w:t>
            </w:r>
            <w:r w:rsidR="00AD6B17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62E6" w14:textId="77777777" w:rsidR="000837F3" w:rsidRPr="000837F3" w:rsidRDefault="000837F3" w:rsidP="000837F3">
            <w:pPr>
              <w:spacing w:after="200"/>
              <w:jc w:val="both"/>
              <w:rPr>
                <w:sz w:val="20"/>
                <w:szCs w:val="20"/>
              </w:rPr>
            </w:pPr>
            <w:r w:rsidRPr="000837F3">
              <w:rPr>
                <w:sz w:val="20"/>
                <w:szCs w:val="20"/>
              </w:rPr>
              <w:t>(2) Autorizovaný geodet a kartograf je povinný pri zápise do zoznamu alebo registra preukázať komore, že má poistenie zodpovednosti za škodu. Poistenie zodpovednosti za škodu musí trvať počas celej doby zápisu v zozname alebo v registri; to neplatí počas pozastavenia výkonu činnosti autorizovaného geodeta a kartografa. Autorizovaný geodet a kartograf je povinný na písomnú výzvu komory predložiť v určenej lehote na nahliadnutie poistnú zmluvu o poistení zodpovednosti za škodu.</w:t>
            </w:r>
          </w:p>
          <w:p w14:paraId="5FAA3223" w14:textId="77777777" w:rsidR="00462CEB" w:rsidRPr="00270630" w:rsidRDefault="00462CEB" w:rsidP="000837F3">
            <w:pPr>
              <w:ind w:firstLine="33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9EF" w14:textId="3ED8815A" w:rsidR="00462CEB" w:rsidRPr="009664D7" w:rsidRDefault="00A01E35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0EAE9" w14:textId="77777777" w:rsidR="00462CEB" w:rsidRPr="009664D7" w:rsidRDefault="00462CEB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8344F" w:rsidRPr="009664D7" w14:paraId="4323E8AA" w14:textId="77777777" w:rsidTr="00F0577C"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2911A" w14:textId="488BF936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44</w:t>
            </w:r>
          </w:p>
          <w:p w14:paraId="3CE4585F" w14:textId="5AFBD107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  <w:p w14:paraId="098ED7CE" w14:textId="3E131116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</w:t>
            </w:r>
            <w:r w:rsidR="00A97C9E">
              <w:rPr>
                <w:sz w:val="20"/>
                <w:szCs w:val="20"/>
              </w:rPr>
              <w:t>3</w:t>
            </w:r>
          </w:p>
          <w:p w14:paraId="57FF0A36" w14:textId="538F3840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EEDC81" w14:textId="77777777" w:rsidR="0008344F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</w:p>
          <w:p w14:paraId="2EBFEC0F" w14:textId="6359F1EA" w:rsidR="0008344F" w:rsidRPr="009664D7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BAA" w14:textId="607CF8EA" w:rsidR="0008344F" w:rsidRPr="009664D7" w:rsidRDefault="00A97C9E" w:rsidP="00ED64F6">
            <w:pPr>
              <w:pStyle w:val="Normlny0"/>
              <w:widowControl/>
              <w:jc w:val="both"/>
            </w:pPr>
            <w:r>
              <w:rPr>
                <w:color w:val="000000"/>
                <w:shd w:val="clear" w:color="auto" w:fill="FFFFFF"/>
              </w:rPr>
              <w:t>Členské štáty uvedú priamo v prijatých opatreniach alebo pri ich úradnom uverejnení odkaz na túto smernicu. Podrobnosti o odkaze upravia členské štáty.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F35C9" w14:textId="1A8E1C5A" w:rsidR="0008344F" w:rsidRPr="009664D7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2F5F" w14:textId="4D52F813" w:rsidR="0008344F" w:rsidRDefault="00AD6B17" w:rsidP="00AD6B1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Zákon </w:t>
            </w:r>
            <w:r w:rsidRPr="00480FD2">
              <w:rPr>
                <w:sz w:val="20"/>
                <w:szCs w:val="20"/>
              </w:rPr>
              <w:t xml:space="preserve">č. </w:t>
            </w:r>
            <w:r>
              <w:rPr>
                <w:sz w:val="20"/>
                <w:szCs w:val="20"/>
              </w:rPr>
              <w:t>.../2021</w:t>
            </w:r>
            <w:r w:rsidRPr="00480FD2">
              <w:rPr>
                <w:sz w:val="20"/>
                <w:szCs w:val="20"/>
              </w:rPr>
              <w:t xml:space="preserve"> Z. z. o Komore geodetov a kartografov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18B" w14:textId="251E5867" w:rsidR="0008344F" w:rsidRDefault="0008344F" w:rsidP="000837F3">
            <w:pPr>
              <w:pStyle w:val="Normlny0"/>
              <w:widowControl/>
              <w:jc w:val="center"/>
            </w:pPr>
            <w:r>
              <w:t>Príloha</w:t>
            </w:r>
            <w:r w:rsidR="00771C38">
              <w:t xml:space="preserve"> č. 3</w:t>
            </w:r>
          </w:p>
          <w:p w14:paraId="73E910B2" w14:textId="25853BE4" w:rsidR="0008344F" w:rsidRPr="009664D7" w:rsidRDefault="0008344F" w:rsidP="000837F3">
            <w:pPr>
              <w:pStyle w:val="Normlny0"/>
              <w:widowControl/>
              <w:jc w:val="center"/>
            </w:pPr>
            <w:r>
              <w:t>bod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E98" w14:textId="77777777" w:rsidR="0008344F" w:rsidRPr="00463DE8" w:rsidRDefault="0008344F" w:rsidP="00463DE8">
            <w:pPr>
              <w:spacing w:after="200"/>
              <w:rPr>
                <w:sz w:val="20"/>
                <w:szCs w:val="20"/>
              </w:rPr>
            </w:pPr>
            <w:r w:rsidRPr="00463DE8">
              <w:rPr>
                <w:b/>
                <w:sz w:val="20"/>
                <w:szCs w:val="20"/>
              </w:rPr>
              <w:t>ZOZNAM PREBERANÝCH PRÁVNE ZÁV</w:t>
            </w:r>
            <w:r w:rsidRPr="00463DE8">
              <w:rPr>
                <w:b/>
                <w:caps/>
                <w:sz w:val="20"/>
                <w:szCs w:val="20"/>
              </w:rPr>
              <w:t>ä</w:t>
            </w:r>
            <w:r w:rsidRPr="00463DE8">
              <w:rPr>
                <w:b/>
                <w:sz w:val="20"/>
                <w:szCs w:val="20"/>
              </w:rPr>
              <w:t>ZNÝCH AKTOV EURÓPSKEJ ÚNIE</w:t>
            </w:r>
          </w:p>
          <w:p w14:paraId="20CF3FD2" w14:textId="77777777" w:rsidR="0008344F" w:rsidRPr="00B12F4F" w:rsidRDefault="0008344F" w:rsidP="00463DE8">
            <w:pPr>
              <w:spacing w:before="120" w:after="120"/>
              <w:jc w:val="both"/>
            </w:pPr>
            <w:r w:rsidRPr="00463DE8">
              <w:rPr>
                <w:sz w:val="20"/>
                <w:szCs w:val="20"/>
              </w:rPr>
              <w:t>2. Smernica Európskeho parlamentu a Rady 2006/123/ES z 12. decembra 2006 o službách na vnútornom trhu (Ú. v. EÚ L 376, 27. 12. 2006).</w:t>
            </w:r>
          </w:p>
          <w:p w14:paraId="4F327DEA" w14:textId="49D02CF6" w:rsidR="0008344F" w:rsidRPr="0060414D" w:rsidRDefault="0008344F" w:rsidP="0060414D">
            <w:pPr>
              <w:pStyle w:val="odsek1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095" w14:textId="459BB67E" w:rsidR="0008344F" w:rsidRPr="009664D7" w:rsidRDefault="0008344F" w:rsidP="00ED64F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72785" w14:textId="77777777" w:rsidR="0008344F" w:rsidRPr="009664D7" w:rsidRDefault="0008344F" w:rsidP="00ED64F6">
            <w:pPr>
              <w:pStyle w:val="Nadpis1"/>
              <w:widowControl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64F6" w:rsidRPr="009664D7" w14:paraId="15043F74" w14:textId="77777777" w:rsidTr="00F0577C">
        <w:trPr>
          <w:gridAfter w:val="1"/>
          <w:wAfter w:w="40" w:type="dxa"/>
          <w:cantSplit/>
        </w:trPr>
        <w:tc>
          <w:tcPr>
            <w:tcW w:w="161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ED276" w14:textId="77777777" w:rsidR="00ED64F6" w:rsidRPr="009664D7" w:rsidRDefault="00ED64F6" w:rsidP="00ED64F6">
            <w:pPr>
              <w:pStyle w:val="Nadpis2"/>
              <w:widowControl/>
            </w:pPr>
            <w:r w:rsidRPr="009664D7">
              <w:t>Zoznam všeobecne záväzných právnych predpisov preberajúcich smernicu (uveďte číslo smernice)</w:t>
            </w:r>
          </w:p>
          <w:p w14:paraId="44BCAB4B" w14:textId="77777777" w:rsidR="00ED64F6" w:rsidRPr="009664D7" w:rsidRDefault="00ED64F6" w:rsidP="00ED64F6">
            <w:pPr>
              <w:widowControl/>
              <w:jc w:val="center"/>
              <w:rPr>
                <w:sz w:val="20"/>
                <w:szCs w:val="20"/>
              </w:rPr>
            </w:pPr>
            <w:r w:rsidRPr="00CB7903">
              <w:rPr>
                <w:b/>
                <w:sz w:val="20"/>
                <w:szCs w:val="20"/>
              </w:rPr>
              <w:t>Smernica Európ</w:t>
            </w:r>
            <w:smartTag w:uri="urn:schemas-microsoft-com:office:smarttags" w:element="PersonName">
              <w:r w:rsidRPr="00CB7903">
                <w:rPr>
                  <w:b/>
                  <w:sz w:val="20"/>
                  <w:szCs w:val="20"/>
                </w:rPr>
                <w:t>sk</w:t>
              </w:r>
            </w:smartTag>
            <w:r w:rsidRPr="00CB7903">
              <w:rPr>
                <w:b/>
                <w:sz w:val="20"/>
                <w:szCs w:val="20"/>
              </w:rPr>
              <w:t>eho parlamentu a Rady 2006/123/ES z 12. decembra 2006 o službách na vnútornom trhu</w:t>
            </w:r>
          </w:p>
        </w:tc>
      </w:tr>
      <w:tr w:rsidR="00ED64F6" w:rsidRPr="009664D7" w14:paraId="41E8A360" w14:textId="77777777" w:rsidTr="00F0577C"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030B7F" w14:textId="77777777" w:rsidR="00ED64F6" w:rsidRPr="009664D7" w:rsidRDefault="00ED64F6" w:rsidP="00ED64F6">
            <w:pPr>
              <w:widowControl/>
              <w:spacing w:after="120"/>
              <w:jc w:val="center"/>
              <w:rPr>
                <w:sz w:val="20"/>
                <w:szCs w:val="20"/>
              </w:rPr>
            </w:pPr>
            <w:r w:rsidRPr="009664D7">
              <w:rPr>
                <w:sz w:val="20"/>
                <w:szCs w:val="20"/>
              </w:rPr>
              <w:t>Por. č.</w:t>
            </w:r>
          </w:p>
        </w:tc>
        <w:tc>
          <w:tcPr>
            <w:tcW w:w="14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CF67C" w14:textId="77777777" w:rsidR="00ED64F6" w:rsidRPr="009664D7" w:rsidRDefault="00ED64F6" w:rsidP="00ED64F6">
            <w:pPr>
              <w:pStyle w:val="Normlny0"/>
              <w:widowControl/>
            </w:pPr>
            <w:r w:rsidRPr="009664D7">
              <w:t>Názov predpisu</w:t>
            </w:r>
          </w:p>
        </w:tc>
      </w:tr>
      <w:tr w:rsidR="00ED64F6" w:rsidRPr="009664D7" w14:paraId="5FBE03B3" w14:textId="77777777" w:rsidTr="00F0577C">
        <w:trPr>
          <w:gridAfter w:val="1"/>
          <w:wAfter w:w="40" w:type="dxa"/>
          <w:cantSplit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D079C9" w14:textId="77777777" w:rsidR="00ED64F6" w:rsidRPr="009664D7" w:rsidRDefault="00ED64F6" w:rsidP="00ED64F6">
            <w:pPr>
              <w:widowControl/>
              <w:numPr>
                <w:ilvl w:val="0"/>
                <w:numId w:val="10"/>
              </w:num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7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DCDAAE" w14:textId="77777777" w:rsidR="00ED64F6" w:rsidRPr="009664D7" w:rsidRDefault="00ED64F6" w:rsidP="00ED64F6">
            <w:pPr>
              <w:pStyle w:val="abc"/>
              <w:widowControl/>
              <w:tabs>
                <w:tab w:val="clear" w:pos="360"/>
                <w:tab w:val="clear" w:pos="680"/>
              </w:tabs>
            </w:pPr>
            <w:r w:rsidRPr="009664D7">
              <w:t xml:space="preserve">Zákon </w:t>
            </w:r>
            <w:r>
              <w:t xml:space="preserve">č. 136/2010 Z. z. </w:t>
            </w:r>
            <w:r w:rsidRPr="009664D7">
              <w:t>o službách na vnútornom trhu a o zmene a doplnení niektorých zákonov</w:t>
            </w:r>
          </w:p>
        </w:tc>
      </w:tr>
    </w:tbl>
    <w:p w14:paraId="10558CFE" w14:textId="77777777" w:rsidR="00024B32" w:rsidRDefault="00024B32">
      <w:pPr>
        <w:widowControl/>
      </w:pPr>
    </w:p>
    <w:sectPr w:rsidR="00024B32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E36B6" w14:textId="77777777" w:rsidR="008C2B88" w:rsidRDefault="008C2B88">
      <w:r>
        <w:separator/>
      </w:r>
    </w:p>
  </w:endnote>
  <w:endnote w:type="continuationSeparator" w:id="0">
    <w:p w14:paraId="1EBA0D78" w14:textId="77777777" w:rsidR="008C2B88" w:rsidRDefault="008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F33A" w14:textId="6CA5E727" w:rsidR="00363950" w:rsidRDefault="00363950">
    <w:pPr>
      <w:pStyle w:val="Pta"/>
      <w:framePr w:wrap="auto" w:vAnchor="text" w:hAnchor="margin" w:xAlign="right" w:y="2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B45DF">
      <w:rPr>
        <w:rStyle w:val="slostrany"/>
        <w:noProof/>
      </w:rPr>
      <w:t>1</w:t>
    </w:r>
    <w:r>
      <w:rPr>
        <w:rStyle w:val="slostrany"/>
      </w:rPr>
      <w:fldChar w:fldCharType="end"/>
    </w:r>
  </w:p>
  <w:p w14:paraId="1F1FB630" w14:textId="77777777" w:rsidR="00363950" w:rsidRDefault="00363950">
    <w:pPr>
      <w:pStyle w:val="Pta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E658" w14:textId="77777777" w:rsidR="008C2B88" w:rsidRDefault="008C2B88">
      <w:r>
        <w:separator/>
      </w:r>
    </w:p>
  </w:footnote>
  <w:footnote w:type="continuationSeparator" w:id="0">
    <w:p w14:paraId="4CE7EE0E" w14:textId="77777777" w:rsidR="008C2B88" w:rsidRDefault="008C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4C3"/>
    <w:multiLevelType w:val="hybridMultilevel"/>
    <w:tmpl w:val="BB6CA1DA"/>
    <w:lvl w:ilvl="0" w:tplc="3A8A1D98">
      <w:start w:val="1"/>
      <w:numFmt w:val="decimal"/>
      <w:pStyle w:val="odsek1"/>
      <w:lvlText w:val="(%1)"/>
      <w:lvlJc w:val="left"/>
      <w:pPr>
        <w:ind w:left="709" w:hanging="360"/>
      </w:pPr>
      <w:rPr>
        <w:rFonts w:cs="Times New Roman" w:hint="default"/>
      </w:rPr>
    </w:lvl>
    <w:lvl w:ilvl="1" w:tplc="3A30D15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CE54E70C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3E00AF"/>
    <w:multiLevelType w:val="hybridMultilevel"/>
    <w:tmpl w:val="D61EDC9A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0E43D89"/>
    <w:multiLevelType w:val="hybridMultilevel"/>
    <w:tmpl w:val="E4401AF2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000000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C166577"/>
    <w:multiLevelType w:val="hybridMultilevel"/>
    <w:tmpl w:val="35D45A9E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0696D"/>
    <w:multiLevelType w:val="hybridMultilevel"/>
    <w:tmpl w:val="7F204AD4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7A480B"/>
    <w:multiLevelType w:val="hybridMultilevel"/>
    <w:tmpl w:val="F1C2237C"/>
    <w:lvl w:ilvl="0" w:tplc="00000000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cs="Times New Roman"/>
        <w:strike w:val="0"/>
      </w:rPr>
    </w:lvl>
    <w:lvl w:ilvl="1" w:tplc="0000000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 w15:restartNumberingAfterBreak="0">
    <w:nsid w:val="59A85ABE"/>
    <w:multiLevelType w:val="hybridMultilevel"/>
    <w:tmpl w:val="0406BCC8"/>
    <w:lvl w:ilvl="0" w:tplc="0000000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B363D12"/>
    <w:multiLevelType w:val="hybridMultilevel"/>
    <w:tmpl w:val="D1AEB120"/>
    <w:lvl w:ilvl="0" w:tplc="0000000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BE1B35"/>
    <w:multiLevelType w:val="hybridMultilevel"/>
    <w:tmpl w:val="02889AEA"/>
    <w:lvl w:ilvl="0" w:tplc="DB887DE4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65F79B0"/>
    <w:multiLevelType w:val="hybridMultilevel"/>
    <w:tmpl w:val="887A2306"/>
    <w:lvl w:ilvl="0" w:tplc="FDA424E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AE57C8A"/>
    <w:multiLevelType w:val="hybridMultilevel"/>
    <w:tmpl w:val="F9BAF6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11"/>
  </w:num>
  <w:num w:numId="18">
    <w:abstractNumId w:val="15"/>
  </w:num>
  <w:num w:numId="19">
    <w:abstractNumId w:val="14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39"/>
    <w:rsid w:val="00005E03"/>
    <w:rsid w:val="00024B32"/>
    <w:rsid w:val="00026374"/>
    <w:rsid w:val="00034B48"/>
    <w:rsid w:val="00037AF2"/>
    <w:rsid w:val="00042823"/>
    <w:rsid w:val="00052A7D"/>
    <w:rsid w:val="00070826"/>
    <w:rsid w:val="0007228A"/>
    <w:rsid w:val="0008344F"/>
    <w:rsid w:val="000837F3"/>
    <w:rsid w:val="0008579D"/>
    <w:rsid w:val="00115996"/>
    <w:rsid w:val="001323BD"/>
    <w:rsid w:val="00161C24"/>
    <w:rsid w:val="001646FE"/>
    <w:rsid w:val="001D1CC6"/>
    <w:rsid w:val="00227A20"/>
    <w:rsid w:val="00232ED7"/>
    <w:rsid w:val="00234E39"/>
    <w:rsid w:val="00262E16"/>
    <w:rsid w:val="00270630"/>
    <w:rsid w:val="0029605F"/>
    <w:rsid w:val="002A2455"/>
    <w:rsid w:val="002C1335"/>
    <w:rsid w:val="002C41B2"/>
    <w:rsid w:val="002E38CA"/>
    <w:rsid w:val="002F54EC"/>
    <w:rsid w:val="0032070F"/>
    <w:rsid w:val="00363950"/>
    <w:rsid w:val="003B495D"/>
    <w:rsid w:val="003B7A31"/>
    <w:rsid w:val="003D419E"/>
    <w:rsid w:val="003D71D2"/>
    <w:rsid w:val="00420890"/>
    <w:rsid w:val="00446A2C"/>
    <w:rsid w:val="004502EE"/>
    <w:rsid w:val="0045185E"/>
    <w:rsid w:val="00455986"/>
    <w:rsid w:val="00462CEB"/>
    <w:rsid w:val="00463DE8"/>
    <w:rsid w:val="00480F58"/>
    <w:rsid w:val="00480FD2"/>
    <w:rsid w:val="004A2FF3"/>
    <w:rsid w:val="004B4C31"/>
    <w:rsid w:val="004C0598"/>
    <w:rsid w:val="004F7FD0"/>
    <w:rsid w:val="005113B1"/>
    <w:rsid w:val="0051535E"/>
    <w:rsid w:val="005175F0"/>
    <w:rsid w:val="00582B0D"/>
    <w:rsid w:val="005A39EC"/>
    <w:rsid w:val="005A57EE"/>
    <w:rsid w:val="005C7E06"/>
    <w:rsid w:val="005E5984"/>
    <w:rsid w:val="0060414D"/>
    <w:rsid w:val="006253C0"/>
    <w:rsid w:val="0063019C"/>
    <w:rsid w:val="006306BD"/>
    <w:rsid w:val="00637FA6"/>
    <w:rsid w:val="00677AE1"/>
    <w:rsid w:val="006B32E9"/>
    <w:rsid w:val="007561A4"/>
    <w:rsid w:val="00771C38"/>
    <w:rsid w:val="007830E8"/>
    <w:rsid w:val="007977B6"/>
    <w:rsid w:val="007A2F3F"/>
    <w:rsid w:val="007B4242"/>
    <w:rsid w:val="007D2557"/>
    <w:rsid w:val="007D3C9E"/>
    <w:rsid w:val="007E6024"/>
    <w:rsid w:val="007F1322"/>
    <w:rsid w:val="00816EDD"/>
    <w:rsid w:val="0082532C"/>
    <w:rsid w:val="00843768"/>
    <w:rsid w:val="00864004"/>
    <w:rsid w:val="00885BB0"/>
    <w:rsid w:val="008A34FF"/>
    <w:rsid w:val="008C2B88"/>
    <w:rsid w:val="008C36A3"/>
    <w:rsid w:val="008D44A3"/>
    <w:rsid w:val="008E1ECB"/>
    <w:rsid w:val="00920328"/>
    <w:rsid w:val="009664D7"/>
    <w:rsid w:val="00973CCE"/>
    <w:rsid w:val="00984C00"/>
    <w:rsid w:val="009F7B69"/>
    <w:rsid w:val="00A01E35"/>
    <w:rsid w:val="00A050BF"/>
    <w:rsid w:val="00A270A6"/>
    <w:rsid w:val="00A3695F"/>
    <w:rsid w:val="00A857D5"/>
    <w:rsid w:val="00A97C9E"/>
    <w:rsid w:val="00AD6B17"/>
    <w:rsid w:val="00B1268D"/>
    <w:rsid w:val="00B12F4F"/>
    <w:rsid w:val="00B83B57"/>
    <w:rsid w:val="00B84D7B"/>
    <w:rsid w:val="00B97AC1"/>
    <w:rsid w:val="00BC6045"/>
    <w:rsid w:val="00C14E8B"/>
    <w:rsid w:val="00C170FD"/>
    <w:rsid w:val="00C304A5"/>
    <w:rsid w:val="00C45888"/>
    <w:rsid w:val="00C46A55"/>
    <w:rsid w:val="00C5561A"/>
    <w:rsid w:val="00C76D76"/>
    <w:rsid w:val="00CA024E"/>
    <w:rsid w:val="00CB23A7"/>
    <w:rsid w:val="00CB7903"/>
    <w:rsid w:val="00CC3A74"/>
    <w:rsid w:val="00D04A6A"/>
    <w:rsid w:val="00D05F27"/>
    <w:rsid w:val="00D06EAF"/>
    <w:rsid w:val="00D31BD7"/>
    <w:rsid w:val="00D6445E"/>
    <w:rsid w:val="00D77626"/>
    <w:rsid w:val="00D95B74"/>
    <w:rsid w:val="00DD5694"/>
    <w:rsid w:val="00DE7420"/>
    <w:rsid w:val="00E0638B"/>
    <w:rsid w:val="00E14A08"/>
    <w:rsid w:val="00E25688"/>
    <w:rsid w:val="00E44D6A"/>
    <w:rsid w:val="00E636E7"/>
    <w:rsid w:val="00ED0E3B"/>
    <w:rsid w:val="00ED64F6"/>
    <w:rsid w:val="00EF0FAE"/>
    <w:rsid w:val="00F0577C"/>
    <w:rsid w:val="00F15950"/>
    <w:rsid w:val="00F23EEB"/>
    <w:rsid w:val="00F47539"/>
    <w:rsid w:val="00FB45DF"/>
    <w:rsid w:val="00FD2376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DFE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3C9E"/>
    <w:pPr>
      <w:widowControl w:val="0"/>
      <w:adjustRightInd w:val="0"/>
      <w:spacing w:after="0" w:line="240" w:lineRule="auto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D3C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7D3C9E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7D3C9E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D3C9E"/>
    <w:rPr>
      <w:rFonts w:cs="Times New Roman"/>
      <w:b/>
      <w:bCs/>
      <w:sz w:val="24"/>
      <w:szCs w:val="24"/>
      <w:lang w:val="sk-SK" w:eastAsia="x-none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D3C9E"/>
    <w:rPr>
      <w:rFonts w:cs="Times New Roman"/>
      <w:b/>
      <w:bCs/>
      <w:sz w:val="22"/>
      <w:szCs w:val="22"/>
      <w:lang w:val="sk-SK" w:eastAsia="x-none" w:bidi="ar-SA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7D3C9E"/>
    <w:rPr>
      <w:rFonts w:ascii="Tahoma" w:hAnsi="Tahoma" w:cs="Tahoma"/>
      <w:sz w:val="16"/>
      <w:szCs w:val="16"/>
      <w:lang w:val="sk-SK" w:eastAsia="x-none" w:bidi="ar-SA"/>
    </w:rPr>
  </w:style>
  <w:style w:type="paragraph" w:styleId="Textbubliny">
    <w:name w:val="Balloon Text"/>
    <w:basedOn w:val="Normlny"/>
    <w:link w:val="TextbublinyChar"/>
    <w:uiPriority w:val="99"/>
    <w:semiHidden/>
    <w:rsid w:val="007D3C9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uiPriority w:val="99"/>
    <w:semiHidden/>
    <w:rPr>
      <w:rFonts w:ascii="Segoe UI" w:hAnsi="Segoe UI" w:cs="Segoe UI"/>
      <w:sz w:val="18"/>
      <w:szCs w:val="18"/>
      <w:lang w:val="sk-SK" w:eastAsia="sk-SK"/>
    </w:rPr>
  </w:style>
  <w:style w:type="character" w:customStyle="1" w:styleId="TextbublinyChar113">
    <w:name w:val="Text bubliny Char113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2">
    <w:name w:val="Text bubliny Char112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1">
    <w:name w:val="Text bubliny Char111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0">
    <w:name w:val="Text bubliny Char110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9">
    <w:name w:val="Text bubliny Char19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8">
    <w:name w:val="Text bubliny Char18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7">
    <w:name w:val="Text bubliny Char17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6">
    <w:name w:val="Text bubliny Char16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5">
    <w:name w:val="Text bubliny Char15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4">
    <w:name w:val="Text bubliny Char14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3">
    <w:name w:val="Text bubliny Char13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2">
    <w:name w:val="Text bubliny Char12"/>
    <w:basedOn w:val="Predvolenpsmoodseku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11">
    <w:name w:val="Text bubliny Char11"/>
    <w:basedOn w:val="Predvolenpsmoodseku"/>
    <w:uiPriority w:val="99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rsid w:val="007D3C9E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D3C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D3C9E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rsid w:val="007D3C9E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D3C9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rsid w:val="007D3C9E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rsid w:val="007D3C9E"/>
    <w:pPr>
      <w:tabs>
        <w:tab w:val="left" w:pos="360"/>
        <w:tab w:val="left" w:pos="680"/>
      </w:tabs>
      <w:jc w:val="both"/>
    </w:pPr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7D3C9E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D3C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D3C9E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D3C9E"/>
    <w:pPr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7D3C9E"/>
    <w:rPr>
      <w:rFonts w:cs="Times New Roman"/>
      <w:b/>
      <w:bCs/>
    </w:rPr>
  </w:style>
  <w:style w:type="paragraph" w:styleId="Zkladntext">
    <w:name w:val="Body Text"/>
    <w:basedOn w:val="Normlny"/>
    <w:link w:val="ZkladntextChar"/>
    <w:uiPriority w:val="99"/>
    <w:rsid w:val="007D3C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odsek1">
    <w:name w:val="odsek1"/>
    <w:basedOn w:val="Normlny"/>
    <w:qFormat/>
    <w:rsid w:val="00F23EEB"/>
    <w:pPr>
      <w:keepNext/>
      <w:keepLines/>
      <w:widowControl/>
      <w:numPr>
        <w:numId w:val="20"/>
      </w:numPr>
      <w:adjustRightInd/>
      <w:spacing w:before="120" w:after="120"/>
      <w:ind w:firstLine="709"/>
      <w:jc w:val="both"/>
    </w:pPr>
    <w:rPr>
      <w:szCs w:val="22"/>
      <w:lang w:eastAsia="en-US"/>
    </w:rPr>
  </w:style>
  <w:style w:type="paragraph" w:styleId="Odsekzoznamu">
    <w:name w:val="List Paragraph"/>
    <w:basedOn w:val="Normlny"/>
    <w:uiPriority w:val="34"/>
    <w:qFormat/>
    <w:locked/>
    <w:rsid w:val="0008344F"/>
    <w:pPr>
      <w:widowControl/>
      <w:adjustRightInd/>
      <w:ind w:left="720"/>
      <w:contextualSpacing/>
    </w:pPr>
    <w:rPr>
      <w:sz w:val="20"/>
      <w:szCs w:val="20"/>
      <w:lang w:bidi="sk-SK"/>
    </w:rPr>
  </w:style>
  <w:style w:type="character" w:styleId="Odkaznakomentr">
    <w:name w:val="annotation reference"/>
    <w:basedOn w:val="Predvolenpsmoodseku"/>
    <w:rsid w:val="008D44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D44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D44A3"/>
    <w:rPr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8D44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D44A3"/>
    <w:rPr>
      <w:b/>
      <w:bCs/>
      <w:sz w:val="20"/>
      <w:szCs w:val="20"/>
      <w:lang w:val="sk-SK" w:eastAsia="sk-SK"/>
    </w:rPr>
  </w:style>
  <w:style w:type="paragraph" w:customStyle="1" w:styleId="Normlny1">
    <w:name w:val="Normálny1"/>
    <w:basedOn w:val="Normlny"/>
    <w:rsid w:val="00F0577C"/>
    <w:pPr>
      <w:widowControl/>
      <w:adjustRightInd/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3B495D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2021-09-09T09:26:00Z</dcterms:created>
  <dcterms:modified xsi:type="dcterms:W3CDTF">2021-09-17T07:59:00Z</dcterms:modified>
</cp:coreProperties>
</file>