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950" w:rsidRPr="00764085" w:rsidRDefault="00313950" w:rsidP="00313950">
      <w:pPr>
        <w:pStyle w:val="Vchodzie"/>
        <w:spacing w:after="0" w:line="200" w:lineRule="atLeast"/>
        <w:jc w:val="center"/>
        <w:rPr>
          <w:rFonts w:cs="Times New Roman"/>
          <w:szCs w:val="24"/>
          <w:lang w:val="sk-SK"/>
        </w:rPr>
      </w:pPr>
      <w:r w:rsidRPr="00764085">
        <w:rPr>
          <w:rFonts w:ascii="Times New Roman" w:hAnsi="Times New Roman" w:cs="Times New Roman"/>
          <w:b/>
          <w:caps/>
          <w:color w:val="000000"/>
          <w:spacing w:val="30"/>
          <w:sz w:val="24"/>
          <w:szCs w:val="24"/>
          <w:lang w:val="sk-SK"/>
        </w:rPr>
        <w:t>Doložka</w:t>
      </w:r>
    </w:p>
    <w:p w:rsidR="00313950" w:rsidRPr="00764085" w:rsidRDefault="00313950" w:rsidP="00313950">
      <w:pPr>
        <w:pStyle w:val="Vchodzie"/>
        <w:spacing w:after="0" w:line="200" w:lineRule="atLeast"/>
        <w:jc w:val="center"/>
        <w:rPr>
          <w:rFonts w:cs="Times New Roman"/>
          <w:szCs w:val="24"/>
          <w:lang w:val="sk-SK"/>
        </w:rPr>
      </w:pPr>
      <w:r w:rsidRPr="00764085">
        <w:rPr>
          <w:rFonts w:ascii="Times New Roman" w:hAnsi="Times New Roman" w:cs="Times New Roman"/>
          <w:b/>
          <w:color w:val="000000"/>
          <w:sz w:val="24"/>
          <w:szCs w:val="24"/>
          <w:lang w:val="sk-SK"/>
        </w:rPr>
        <w:t>vybraných vplyvov</w:t>
      </w:r>
    </w:p>
    <w:p w:rsidR="00313950" w:rsidRPr="00764085" w:rsidRDefault="00313950" w:rsidP="00313950">
      <w:pPr>
        <w:pStyle w:val="Vchodzie"/>
        <w:spacing w:after="0" w:line="200" w:lineRule="atLeast"/>
        <w:rPr>
          <w:rFonts w:cs="Times New Roman"/>
          <w:szCs w:val="24"/>
          <w:lang w:val="sk-SK"/>
        </w:rPr>
      </w:pPr>
    </w:p>
    <w:p w:rsidR="00313950" w:rsidRDefault="00313950" w:rsidP="00313950">
      <w:pPr>
        <w:jc w:val="both"/>
        <w:rPr>
          <w:rFonts w:cs="Times New Roman"/>
        </w:rPr>
      </w:pPr>
      <w:r w:rsidRPr="00764085">
        <w:rPr>
          <w:rFonts w:cs="Times New Roman"/>
          <w:b/>
          <w:color w:val="000000"/>
        </w:rPr>
        <w:t xml:space="preserve">A.1. Názov materiálu: </w:t>
      </w:r>
      <w:r>
        <w:rPr>
          <w:rFonts w:eastAsia="Times New Roman" w:cs="Times New Roman"/>
          <w:kern w:val="0"/>
          <w:lang w:eastAsia="en-US" w:bidi="ar-SA"/>
        </w:rPr>
        <w:t xml:space="preserve">Návrh zákona, </w:t>
      </w:r>
      <w:r w:rsidRPr="00FF5BF9">
        <w:rPr>
          <w:rFonts w:cs="Times New Roman"/>
        </w:rPr>
        <w:t>ktorým sa mení</w:t>
      </w:r>
      <w:r>
        <w:rPr>
          <w:rFonts w:cs="Times New Roman"/>
        </w:rPr>
        <w:t xml:space="preserve"> a dopĺňa</w:t>
      </w:r>
      <w:r w:rsidRPr="00FF5BF9">
        <w:rPr>
          <w:rFonts w:cs="Times New Roman"/>
        </w:rPr>
        <w:t xml:space="preserve"> zákon č. </w:t>
      </w:r>
      <w:r>
        <w:rPr>
          <w:rFonts w:cs="Times New Roman"/>
        </w:rPr>
        <w:t>365/2004</w:t>
      </w:r>
      <w:r w:rsidRPr="00FF5BF9">
        <w:rPr>
          <w:rFonts w:cs="Times New Roman"/>
        </w:rPr>
        <w:t xml:space="preserve"> Z. z. </w:t>
      </w:r>
      <w:r>
        <w:rPr>
          <w:rFonts w:cs="Times New Roman"/>
        </w:rPr>
        <w:t>o rovnakom zaobchádzaní v niektorých oblastiach a o ochrane pred diskrimináciou a o zmene a doplnení niektorých zákonov (antidiskriminačný zákon) v znení neskorších predpisov a ktorým sa menia a dopĺňajú niektoré zákony.</w:t>
      </w:r>
    </w:p>
    <w:p w:rsidR="00313950" w:rsidRDefault="00313950" w:rsidP="00313950">
      <w:pPr>
        <w:jc w:val="both"/>
        <w:rPr>
          <w:rFonts w:cs="Times New Roman"/>
          <w:b/>
          <w:color w:val="000000"/>
        </w:rPr>
      </w:pPr>
    </w:p>
    <w:p w:rsidR="00313950" w:rsidRDefault="00313950" w:rsidP="00313950">
      <w:pPr>
        <w:pStyle w:val="Vchodzie"/>
        <w:spacing w:after="0" w:line="200" w:lineRule="atLeast"/>
        <w:jc w:val="both"/>
        <w:rPr>
          <w:rFonts w:ascii="Times New Roman" w:hAnsi="Times New Roman" w:cs="Times New Roman"/>
          <w:b/>
          <w:color w:val="000000"/>
          <w:sz w:val="24"/>
          <w:szCs w:val="24"/>
          <w:lang w:val="sk-SK"/>
        </w:rPr>
      </w:pPr>
      <w:r w:rsidRPr="00764085">
        <w:rPr>
          <w:rFonts w:ascii="Times New Roman" w:hAnsi="Times New Roman" w:cs="Times New Roman"/>
          <w:b/>
          <w:color w:val="000000"/>
          <w:sz w:val="24"/>
          <w:szCs w:val="24"/>
          <w:lang w:val="sk-SK"/>
        </w:rPr>
        <w:t>A.2. Vplyvy:</w:t>
      </w:r>
    </w:p>
    <w:tbl>
      <w:tblPr>
        <w:tblW w:w="909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26"/>
        <w:gridCol w:w="1192"/>
        <w:gridCol w:w="1181"/>
        <w:gridCol w:w="1196"/>
      </w:tblGrid>
      <w:tr w:rsidR="00313950" w:rsidRPr="00764085" w:rsidTr="000B023D">
        <w:tc>
          <w:tcPr>
            <w:tcW w:w="5526" w:type="dxa"/>
            <w:vAlign w:val="center"/>
          </w:tcPr>
          <w:p w:rsidR="00313950" w:rsidRPr="00764085" w:rsidRDefault="00313950" w:rsidP="000B023D">
            <w:pPr>
              <w:pStyle w:val="Vchodzie"/>
              <w:spacing w:after="0"/>
              <w:rPr>
                <w:rFonts w:cs="Times New Roman"/>
                <w:szCs w:val="24"/>
                <w:lang w:val="sk-SK"/>
              </w:rPr>
            </w:pPr>
          </w:p>
        </w:tc>
        <w:tc>
          <w:tcPr>
            <w:tcW w:w="1192" w:type="dxa"/>
            <w:vAlign w:val="center"/>
          </w:tcPr>
          <w:p w:rsidR="00313950" w:rsidRPr="00764085" w:rsidRDefault="00313950" w:rsidP="000B023D">
            <w:pPr>
              <w:pStyle w:val="Vchodzie"/>
              <w:spacing w:after="0"/>
              <w:jc w:val="center"/>
              <w:rPr>
                <w:rFonts w:cs="Times New Roman"/>
                <w:szCs w:val="24"/>
                <w:lang w:val="sk-SK"/>
              </w:rPr>
            </w:pPr>
            <w:r w:rsidRPr="00764085">
              <w:rPr>
                <w:rFonts w:ascii="Times New Roman" w:hAnsi="Times New Roman" w:cs="Times New Roman"/>
                <w:color w:val="000000"/>
                <w:sz w:val="24"/>
                <w:szCs w:val="24"/>
                <w:lang w:val="sk-SK"/>
              </w:rPr>
              <w:t>Pozitívne</w:t>
            </w:r>
          </w:p>
        </w:tc>
        <w:tc>
          <w:tcPr>
            <w:tcW w:w="1181" w:type="dxa"/>
            <w:vAlign w:val="center"/>
          </w:tcPr>
          <w:p w:rsidR="00313950" w:rsidRPr="00764085" w:rsidRDefault="00313950" w:rsidP="000B023D">
            <w:pPr>
              <w:pStyle w:val="Vchodzie"/>
              <w:spacing w:after="0"/>
              <w:jc w:val="center"/>
              <w:rPr>
                <w:rFonts w:cs="Times New Roman"/>
                <w:szCs w:val="24"/>
                <w:lang w:val="sk-SK"/>
              </w:rPr>
            </w:pPr>
            <w:r w:rsidRPr="00764085">
              <w:rPr>
                <w:rFonts w:ascii="Times New Roman" w:hAnsi="Times New Roman" w:cs="Times New Roman"/>
                <w:color w:val="000000"/>
                <w:sz w:val="24"/>
                <w:szCs w:val="24"/>
                <w:lang w:val="sk-SK"/>
              </w:rPr>
              <w:t>Žiadne</w:t>
            </w:r>
          </w:p>
        </w:tc>
        <w:tc>
          <w:tcPr>
            <w:tcW w:w="1196" w:type="dxa"/>
            <w:vAlign w:val="center"/>
          </w:tcPr>
          <w:p w:rsidR="00313950" w:rsidRPr="00764085" w:rsidRDefault="00313950" w:rsidP="000B023D">
            <w:pPr>
              <w:pStyle w:val="Vchodzie"/>
              <w:spacing w:after="0"/>
              <w:jc w:val="center"/>
              <w:rPr>
                <w:rFonts w:cs="Times New Roman"/>
                <w:szCs w:val="24"/>
                <w:lang w:val="sk-SK"/>
              </w:rPr>
            </w:pPr>
            <w:r w:rsidRPr="00764085">
              <w:rPr>
                <w:rFonts w:ascii="Times New Roman" w:hAnsi="Times New Roman" w:cs="Times New Roman"/>
                <w:color w:val="000000"/>
                <w:sz w:val="24"/>
                <w:szCs w:val="24"/>
                <w:lang w:val="sk-SK"/>
              </w:rPr>
              <w:t>Negatívne</w:t>
            </w:r>
          </w:p>
        </w:tc>
      </w:tr>
      <w:tr w:rsidR="00313950" w:rsidRPr="00764085" w:rsidTr="000B023D">
        <w:tc>
          <w:tcPr>
            <w:tcW w:w="5526" w:type="dxa"/>
            <w:vAlign w:val="center"/>
          </w:tcPr>
          <w:p w:rsidR="00313950" w:rsidRPr="00764085" w:rsidRDefault="00313950" w:rsidP="000B023D">
            <w:pPr>
              <w:pStyle w:val="Vchodzie"/>
              <w:spacing w:after="0"/>
              <w:rPr>
                <w:rFonts w:cs="Times New Roman"/>
                <w:szCs w:val="24"/>
                <w:lang w:val="sk-SK"/>
              </w:rPr>
            </w:pPr>
            <w:r w:rsidRPr="00764085">
              <w:rPr>
                <w:rFonts w:ascii="Times New Roman" w:hAnsi="Times New Roman" w:cs="Times New Roman"/>
                <w:color w:val="000000"/>
                <w:sz w:val="24"/>
                <w:szCs w:val="24"/>
                <w:lang w:val="sk-SK"/>
              </w:rPr>
              <w:t>1. Vplyvy na rozpočet verejnej správy</w:t>
            </w:r>
          </w:p>
        </w:tc>
        <w:tc>
          <w:tcPr>
            <w:tcW w:w="1192" w:type="dxa"/>
            <w:vAlign w:val="center"/>
          </w:tcPr>
          <w:p w:rsidR="00313950" w:rsidRPr="002C45D4" w:rsidRDefault="00313950" w:rsidP="000B023D">
            <w:pPr>
              <w:pStyle w:val="Vchodzie"/>
              <w:spacing w:after="0"/>
              <w:jc w:val="center"/>
              <w:rPr>
                <w:rFonts w:ascii="Times New Roman" w:hAnsi="Times New Roman" w:cs="Times New Roman"/>
                <w:sz w:val="24"/>
                <w:szCs w:val="24"/>
                <w:lang w:val="sk-SK"/>
              </w:rPr>
            </w:pPr>
            <w:r w:rsidRPr="002C45D4">
              <w:rPr>
                <w:rFonts w:ascii="Times New Roman" w:hAnsi="Times New Roman" w:cs="Times New Roman"/>
                <w:sz w:val="24"/>
                <w:szCs w:val="24"/>
                <w:lang w:val="sk-SK"/>
              </w:rPr>
              <w:t>X</w:t>
            </w:r>
          </w:p>
        </w:tc>
        <w:tc>
          <w:tcPr>
            <w:tcW w:w="1181" w:type="dxa"/>
            <w:vAlign w:val="center"/>
          </w:tcPr>
          <w:p w:rsidR="00313950" w:rsidRPr="002C45D4" w:rsidRDefault="00313950" w:rsidP="000B023D">
            <w:pPr>
              <w:pStyle w:val="Vchodzie"/>
              <w:spacing w:after="0"/>
              <w:jc w:val="center"/>
              <w:rPr>
                <w:rFonts w:ascii="Times New Roman" w:hAnsi="Times New Roman" w:cs="Times New Roman"/>
                <w:sz w:val="24"/>
                <w:szCs w:val="24"/>
                <w:lang w:val="sk-SK"/>
              </w:rPr>
            </w:pPr>
          </w:p>
        </w:tc>
        <w:tc>
          <w:tcPr>
            <w:tcW w:w="1196" w:type="dxa"/>
            <w:vAlign w:val="center"/>
          </w:tcPr>
          <w:p w:rsidR="00313950" w:rsidRPr="002C45D4" w:rsidRDefault="00313950" w:rsidP="000B023D">
            <w:pPr>
              <w:pStyle w:val="Vchodzie"/>
              <w:spacing w:after="0"/>
              <w:jc w:val="center"/>
              <w:rPr>
                <w:rFonts w:ascii="Times New Roman" w:hAnsi="Times New Roman" w:cs="Times New Roman"/>
                <w:sz w:val="24"/>
                <w:szCs w:val="24"/>
                <w:lang w:val="sk-SK"/>
              </w:rPr>
            </w:pPr>
            <w:r w:rsidRPr="002C45D4">
              <w:rPr>
                <w:rFonts w:ascii="Times New Roman" w:hAnsi="Times New Roman" w:cs="Times New Roman"/>
                <w:sz w:val="24"/>
                <w:szCs w:val="24"/>
                <w:lang w:val="sk-SK"/>
              </w:rPr>
              <w:t>X</w:t>
            </w:r>
          </w:p>
        </w:tc>
      </w:tr>
      <w:tr w:rsidR="00313950" w:rsidRPr="00764085" w:rsidTr="000B023D">
        <w:tc>
          <w:tcPr>
            <w:tcW w:w="5526" w:type="dxa"/>
            <w:vAlign w:val="center"/>
          </w:tcPr>
          <w:p w:rsidR="00313950" w:rsidRPr="00764085" w:rsidRDefault="00313950" w:rsidP="000B023D">
            <w:pPr>
              <w:pStyle w:val="Vchodzie"/>
              <w:spacing w:after="0"/>
              <w:rPr>
                <w:rFonts w:cs="Times New Roman"/>
                <w:szCs w:val="24"/>
                <w:lang w:val="sk-SK"/>
              </w:rPr>
            </w:pPr>
            <w:r w:rsidRPr="00764085">
              <w:rPr>
                <w:rFonts w:ascii="Times New Roman" w:hAnsi="Times New Roman" w:cs="Times New Roman"/>
                <w:color w:val="000000"/>
                <w:sz w:val="24"/>
                <w:szCs w:val="24"/>
                <w:lang w:val="sk-SK"/>
              </w:rPr>
              <w:t>2. Vplyvy na podnikateľské prostredie – dochádza k zvýšeniu regulačného zaťaženia?</w:t>
            </w:r>
          </w:p>
        </w:tc>
        <w:tc>
          <w:tcPr>
            <w:tcW w:w="1192" w:type="dxa"/>
            <w:vAlign w:val="center"/>
          </w:tcPr>
          <w:p w:rsidR="00313950" w:rsidRPr="002C45D4" w:rsidRDefault="00313950" w:rsidP="000B023D">
            <w:pPr>
              <w:pStyle w:val="Vchodzie"/>
              <w:spacing w:after="0"/>
              <w:jc w:val="center"/>
              <w:rPr>
                <w:rFonts w:ascii="Times New Roman" w:hAnsi="Times New Roman" w:cs="Times New Roman"/>
                <w:sz w:val="24"/>
                <w:szCs w:val="24"/>
                <w:lang w:val="sk-SK"/>
              </w:rPr>
            </w:pPr>
            <w:r w:rsidRPr="002C45D4">
              <w:rPr>
                <w:rFonts w:ascii="Times New Roman" w:hAnsi="Times New Roman" w:cs="Times New Roman"/>
                <w:sz w:val="24"/>
                <w:szCs w:val="24"/>
                <w:lang w:val="sk-SK"/>
              </w:rPr>
              <w:t xml:space="preserve">X </w:t>
            </w:r>
          </w:p>
        </w:tc>
        <w:tc>
          <w:tcPr>
            <w:tcW w:w="1181" w:type="dxa"/>
            <w:vAlign w:val="center"/>
          </w:tcPr>
          <w:p w:rsidR="00313950" w:rsidRPr="002C45D4" w:rsidRDefault="00313950" w:rsidP="000B023D">
            <w:pPr>
              <w:pStyle w:val="Vchodzie"/>
              <w:spacing w:after="0"/>
              <w:jc w:val="center"/>
              <w:rPr>
                <w:rFonts w:ascii="Times New Roman" w:hAnsi="Times New Roman" w:cs="Times New Roman"/>
                <w:sz w:val="24"/>
                <w:szCs w:val="24"/>
                <w:lang w:val="sk-SK"/>
              </w:rPr>
            </w:pPr>
          </w:p>
        </w:tc>
        <w:tc>
          <w:tcPr>
            <w:tcW w:w="1196" w:type="dxa"/>
            <w:vAlign w:val="center"/>
          </w:tcPr>
          <w:p w:rsidR="00313950" w:rsidRPr="002C45D4" w:rsidRDefault="00313950" w:rsidP="000B023D">
            <w:pPr>
              <w:pStyle w:val="Vchodzie"/>
              <w:spacing w:after="0"/>
              <w:jc w:val="center"/>
              <w:rPr>
                <w:rFonts w:ascii="Times New Roman" w:hAnsi="Times New Roman" w:cs="Times New Roman"/>
                <w:sz w:val="24"/>
                <w:szCs w:val="24"/>
                <w:lang w:val="sk-SK"/>
              </w:rPr>
            </w:pPr>
            <w:r w:rsidRPr="002C45D4">
              <w:rPr>
                <w:rFonts w:ascii="Times New Roman" w:hAnsi="Times New Roman" w:cs="Times New Roman"/>
                <w:sz w:val="24"/>
                <w:szCs w:val="24"/>
                <w:lang w:val="sk-SK"/>
              </w:rPr>
              <w:t>X</w:t>
            </w:r>
          </w:p>
        </w:tc>
      </w:tr>
      <w:tr w:rsidR="00313950" w:rsidRPr="00764085" w:rsidTr="000B023D">
        <w:tc>
          <w:tcPr>
            <w:tcW w:w="5526" w:type="dxa"/>
            <w:vAlign w:val="center"/>
          </w:tcPr>
          <w:p w:rsidR="00313950" w:rsidRPr="00764085" w:rsidRDefault="00313950" w:rsidP="000B023D">
            <w:pPr>
              <w:pStyle w:val="Vchodzie"/>
              <w:spacing w:after="0"/>
              <w:rPr>
                <w:rFonts w:cs="Times New Roman"/>
                <w:szCs w:val="24"/>
                <w:lang w:val="sk-SK"/>
              </w:rPr>
            </w:pPr>
            <w:r w:rsidRPr="00764085">
              <w:rPr>
                <w:rFonts w:ascii="Times New Roman" w:hAnsi="Times New Roman" w:cs="Times New Roman"/>
                <w:color w:val="000000"/>
                <w:sz w:val="24"/>
                <w:szCs w:val="24"/>
                <w:lang w:val="sk-SK"/>
              </w:rPr>
              <w:t>3. Sociálne vplyvy</w:t>
            </w:r>
          </w:p>
        </w:tc>
        <w:tc>
          <w:tcPr>
            <w:tcW w:w="1192" w:type="dxa"/>
            <w:vAlign w:val="center"/>
          </w:tcPr>
          <w:p w:rsidR="00313950" w:rsidRPr="002C45D4" w:rsidRDefault="00313950" w:rsidP="000B023D">
            <w:pPr>
              <w:pStyle w:val="Vchodzie"/>
              <w:spacing w:after="0"/>
              <w:jc w:val="center"/>
              <w:rPr>
                <w:rFonts w:ascii="Times New Roman" w:hAnsi="Times New Roman" w:cs="Times New Roman"/>
                <w:sz w:val="24"/>
                <w:szCs w:val="24"/>
                <w:lang w:val="sk-SK"/>
              </w:rPr>
            </w:pPr>
            <w:r w:rsidRPr="002C45D4">
              <w:rPr>
                <w:rFonts w:ascii="Times New Roman" w:hAnsi="Times New Roman" w:cs="Times New Roman"/>
                <w:sz w:val="24"/>
                <w:szCs w:val="24"/>
                <w:lang w:val="sk-SK"/>
              </w:rPr>
              <w:t>X</w:t>
            </w:r>
          </w:p>
        </w:tc>
        <w:tc>
          <w:tcPr>
            <w:tcW w:w="1181" w:type="dxa"/>
            <w:vAlign w:val="center"/>
          </w:tcPr>
          <w:p w:rsidR="00313950" w:rsidRPr="002C45D4" w:rsidRDefault="00313950" w:rsidP="000B023D">
            <w:pPr>
              <w:pStyle w:val="Vchodzie"/>
              <w:spacing w:after="0"/>
              <w:jc w:val="center"/>
              <w:rPr>
                <w:rFonts w:ascii="Times New Roman" w:hAnsi="Times New Roman" w:cs="Times New Roman"/>
                <w:sz w:val="24"/>
                <w:szCs w:val="24"/>
                <w:lang w:val="sk-SK"/>
              </w:rPr>
            </w:pPr>
          </w:p>
        </w:tc>
        <w:tc>
          <w:tcPr>
            <w:tcW w:w="1196" w:type="dxa"/>
            <w:vAlign w:val="center"/>
          </w:tcPr>
          <w:p w:rsidR="00313950" w:rsidRPr="002C45D4" w:rsidRDefault="00313950" w:rsidP="000B023D">
            <w:pPr>
              <w:pStyle w:val="Vchodzie"/>
              <w:spacing w:after="0"/>
              <w:jc w:val="center"/>
              <w:rPr>
                <w:rFonts w:ascii="Times New Roman" w:hAnsi="Times New Roman" w:cs="Times New Roman"/>
                <w:sz w:val="24"/>
                <w:szCs w:val="24"/>
                <w:lang w:val="sk-SK"/>
              </w:rPr>
            </w:pPr>
          </w:p>
        </w:tc>
      </w:tr>
      <w:tr w:rsidR="00313950" w:rsidRPr="00764085" w:rsidTr="000B023D">
        <w:tc>
          <w:tcPr>
            <w:tcW w:w="5526" w:type="dxa"/>
            <w:vAlign w:val="center"/>
          </w:tcPr>
          <w:p w:rsidR="00313950" w:rsidRPr="00764085" w:rsidRDefault="00313950" w:rsidP="000B023D">
            <w:pPr>
              <w:pStyle w:val="Vchodzie"/>
              <w:spacing w:after="0"/>
              <w:rPr>
                <w:rFonts w:cs="Times New Roman"/>
                <w:szCs w:val="24"/>
                <w:lang w:val="sk-SK"/>
              </w:rPr>
            </w:pPr>
            <w:r w:rsidRPr="00764085">
              <w:rPr>
                <w:rFonts w:ascii="Times New Roman" w:hAnsi="Times New Roman" w:cs="Times New Roman"/>
                <w:color w:val="000000"/>
                <w:sz w:val="24"/>
                <w:szCs w:val="24"/>
                <w:lang w:val="sk-SK"/>
              </w:rPr>
              <w:t>– vplyvy na hospodárenie obyvateľstva,</w:t>
            </w:r>
          </w:p>
        </w:tc>
        <w:tc>
          <w:tcPr>
            <w:tcW w:w="1192" w:type="dxa"/>
            <w:vAlign w:val="center"/>
          </w:tcPr>
          <w:p w:rsidR="00313950" w:rsidRPr="002C45D4" w:rsidRDefault="00313950" w:rsidP="000B023D">
            <w:pPr>
              <w:pStyle w:val="Vchodzie"/>
              <w:spacing w:after="0"/>
              <w:jc w:val="center"/>
              <w:rPr>
                <w:rFonts w:ascii="Times New Roman" w:hAnsi="Times New Roman" w:cs="Times New Roman"/>
                <w:sz w:val="24"/>
                <w:szCs w:val="24"/>
                <w:lang w:val="sk-SK"/>
              </w:rPr>
            </w:pPr>
            <w:r w:rsidRPr="002C45D4">
              <w:rPr>
                <w:rFonts w:ascii="Times New Roman" w:hAnsi="Times New Roman" w:cs="Times New Roman"/>
                <w:sz w:val="24"/>
                <w:szCs w:val="24"/>
                <w:lang w:val="sk-SK"/>
              </w:rPr>
              <w:t>X</w:t>
            </w:r>
          </w:p>
        </w:tc>
        <w:tc>
          <w:tcPr>
            <w:tcW w:w="1181" w:type="dxa"/>
            <w:vAlign w:val="center"/>
          </w:tcPr>
          <w:p w:rsidR="00313950" w:rsidRPr="002C45D4" w:rsidRDefault="00313950" w:rsidP="000B023D">
            <w:pPr>
              <w:pStyle w:val="Vchodzie"/>
              <w:spacing w:after="0"/>
              <w:jc w:val="center"/>
              <w:rPr>
                <w:rFonts w:ascii="Times New Roman" w:hAnsi="Times New Roman" w:cs="Times New Roman"/>
                <w:sz w:val="24"/>
                <w:szCs w:val="24"/>
                <w:lang w:val="sk-SK"/>
              </w:rPr>
            </w:pPr>
          </w:p>
        </w:tc>
        <w:tc>
          <w:tcPr>
            <w:tcW w:w="1196" w:type="dxa"/>
            <w:vAlign w:val="center"/>
          </w:tcPr>
          <w:p w:rsidR="00313950" w:rsidRPr="002C45D4" w:rsidRDefault="00313950" w:rsidP="000B023D">
            <w:pPr>
              <w:pStyle w:val="Vchodzie"/>
              <w:spacing w:after="0"/>
              <w:jc w:val="center"/>
              <w:rPr>
                <w:rFonts w:ascii="Times New Roman" w:hAnsi="Times New Roman" w:cs="Times New Roman"/>
                <w:sz w:val="24"/>
                <w:szCs w:val="24"/>
                <w:lang w:val="sk-SK"/>
              </w:rPr>
            </w:pPr>
          </w:p>
        </w:tc>
      </w:tr>
      <w:tr w:rsidR="00313950" w:rsidRPr="00764085" w:rsidTr="000B023D">
        <w:tc>
          <w:tcPr>
            <w:tcW w:w="5526" w:type="dxa"/>
            <w:vAlign w:val="center"/>
          </w:tcPr>
          <w:p w:rsidR="00313950" w:rsidRPr="00764085" w:rsidRDefault="00313950" w:rsidP="000B023D">
            <w:pPr>
              <w:pStyle w:val="Vchodzie"/>
              <w:spacing w:after="0"/>
              <w:rPr>
                <w:rFonts w:cs="Times New Roman"/>
                <w:szCs w:val="24"/>
                <w:lang w:val="sk-SK"/>
              </w:rPr>
            </w:pPr>
            <w:r w:rsidRPr="00764085">
              <w:rPr>
                <w:rFonts w:ascii="Times New Roman" w:hAnsi="Times New Roman" w:cs="Times New Roman"/>
                <w:color w:val="000000"/>
                <w:sz w:val="24"/>
                <w:szCs w:val="24"/>
                <w:lang w:val="sk-SK"/>
              </w:rPr>
              <w:t xml:space="preserve">– sociálnu </w:t>
            </w:r>
            <w:proofErr w:type="spellStart"/>
            <w:r w:rsidRPr="00764085">
              <w:rPr>
                <w:rFonts w:ascii="Times New Roman" w:hAnsi="Times New Roman" w:cs="Times New Roman"/>
                <w:color w:val="000000"/>
                <w:sz w:val="24"/>
                <w:szCs w:val="24"/>
                <w:lang w:val="sk-SK"/>
              </w:rPr>
              <w:t>exklúziu</w:t>
            </w:r>
            <w:proofErr w:type="spellEnd"/>
            <w:r w:rsidRPr="00764085">
              <w:rPr>
                <w:rFonts w:ascii="Times New Roman" w:hAnsi="Times New Roman" w:cs="Times New Roman"/>
                <w:color w:val="000000"/>
                <w:sz w:val="24"/>
                <w:szCs w:val="24"/>
                <w:lang w:val="sk-SK"/>
              </w:rPr>
              <w:t>,</w:t>
            </w:r>
          </w:p>
        </w:tc>
        <w:tc>
          <w:tcPr>
            <w:tcW w:w="1192" w:type="dxa"/>
            <w:vAlign w:val="center"/>
          </w:tcPr>
          <w:p w:rsidR="00313950" w:rsidRPr="002C45D4" w:rsidRDefault="00313950" w:rsidP="000B023D">
            <w:pPr>
              <w:pStyle w:val="Vchodzie"/>
              <w:spacing w:after="0"/>
              <w:jc w:val="center"/>
              <w:rPr>
                <w:rFonts w:ascii="Times New Roman" w:hAnsi="Times New Roman" w:cs="Times New Roman"/>
                <w:sz w:val="24"/>
                <w:szCs w:val="24"/>
                <w:highlight w:val="yellow"/>
                <w:lang w:val="sk-SK"/>
              </w:rPr>
            </w:pPr>
            <w:r w:rsidRPr="002C45D4">
              <w:rPr>
                <w:rFonts w:ascii="Times New Roman" w:hAnsi="Times New Roman" w:cs="Times New Roman"/>
                <w:sz w:val="24"/>
                <w:szCs w:val="24"/>
                <w:lang w:val="sk-SK"/>
              </w:rPr>
              <w:t>X</w:t>
            </w:r>
          </w:p>
        </w:tc>
        <w:tc>
          <w:tcPr>
            <w:tcW w:w="1181" w:type="dxa"/>
            <w:vAlign w:val="center"/>
          </w:tcPr>
          <w:p w:rsidR="00313950" w:rsidRPr="002C45D4" w:rsidRDefault="00313950" w:rsidP="000B023D">
            <w:pPr>
              <w:pStyle w:val="Vchodzie"/>
              <w:spacing w:after="0"/>
              <w:jc w:val="center"/>
              <w:rPr>
                <w:rFonts w:ascii="Times New Roman" w:hAnsi="Times New Roman" w:cs="Times New Roman"/>
                <w:sz w:val="24"/>
                <w:szCs w:val="24"/>
                <w:lang w:val="sk-SK"/>
              </w:rPr>
            </w:pPr>
          </w:p>
        </w:tc>
        <w:tc>
          <w:tcPr>
            <w:tcW w:w="1196" w:type="dxa"/>
            <w:vAlign w:val="center"/>
          </w:tcPr>
          <w:p w:rsidR="00313950" w:rsidRPr="002C45D4" w:rsidRDefault="00313950" w:rsidP="000B023D">
            <w:pPr>
              <w:pStyle w:val="Vchodzie"/>
              <w:spacing w:after="0"/>
              <w:jc w:val="center"/>
              <w:rPr>
                <w:rFonts w:ascii="Times New Roman" w:hAnsi="Times New Roman" w:cs="Times New Roman"/>
                <w:sz w:val="24"/>
                <w:szCs w:val="24"/>
                <w:lang w:val="sk-SK"/>
              </w:rPr>
            </w:pPr>
          </w:p>
        </w:tc>
      </w:tr>
      <w:tr w:rsidR="00313950" w:rsidRPr="00764085" w:rsidTr="000B023D">
        <w:tc>
          <w:tcPr>
            <w:tcW w:w="5526" w:type="dxa"/>
            <w:vAlign w:val="center"/>
          </w:tcPr>
          <w:p w:rsidR="00313950" w:rsidRPr="00764085" w:rsidRDefault="00313950" w:rsidP="000B023D">
            <w:pPr>
              <w:pStyle w:val="Vchodzie"/>
              <w:spacing w:after="0"/>
              <w:rPr>
                <w:rFonts w:cs="Times New Roman"/>
                <w:szCs w:val="24"/>
                <w:lang w:val="sk-SK"/>
              </w:rPr>
            </w:pPr>
            <w:r w:rsidRPr="00764085">
              <w:rPr>
                <w:rFonts w:ascii="Times New Roman" w:hAnsi="Times New Roman" w:cs="Times New Roman"/>
                <w:color w:val="000000"/>
                <w:sz w:val="24"/>
                <w:szCs w:val="24"/>
                <w:lang w:val="sk-SK"/>
              </w:rPr>
              <w:t>– rovnosť príležitostí a rodovú rovnosť a vplyvy na zamestnanosť</w:t>
            </w:r>
          </w:p>
        </w:tc>
        <w:tc>
          <w:tcPr>
            <w:tcW w:w="1192" w:type="dxa"/>
            <w:vAlign w:val="center"/>
          </w:tcPr>
          <w:p w:rsidR="00313950" w:rsidRPr="002C45D4" w:rsidRDefault="00313950" w:rsidP="000B023D">
            <w:pPr>
              <w:pStyle w:val="Vchodzie"/>
              <w:spacing w:after="0"/>
              <w:jc w:val="center"/>
              <w:rPr>
                <w:rFonts w:ascii="Times New Roman" w:hAnsi="Times New Roman" w:cs="Times New Roman"/>
                <w:sz w:val="24"/>
                <w:szCs w:val="24"/>
                <w:highlight w:val="yellow"/>
                <w:lang w:val="sk-SK"/>
              </w:rPr>
            </w:pPr>
            <w:r w:rsidRPr="002C45D4">
              <w:rPr>
                <w:rFonts w:ascii="Times New Roman" w:hAnsi="Times New Roman" w:cs="Times New Roman"/>
                <w:sz w:val="24"/>
                <w:szCs w:val="24"/>
                <w:lang w:val="sk-SK"/>
              </w:rPr>
              <w:t>X</w:t>
            </w:r>
          </w:p>
        </w:tc>
        <w:tc>
          <w:tcPr>
            <w:tcW w:w="1181" w:type="dxa"/>
            <w:vAlign w:val="center"/>
          </w:tcPr>
          <w:p w:rsidR="00313950" w:rsidRPr="002C45D4" w:rsidRDefault="00313950" w:rsidP="000B023D">
            <w:pPr>
              <w:pStyle w:val="Vchodzie"/>
              <w:spacing w:after="0"/>
              <w:jc w:val="center"/>
              <w:rPr>
                <w:rFonts w:ascii="Times New Roman" w:hAnsi="Times New Roman" w:cs="Times New Roman"/>
                <w:sz w:val="24"/>
                <w:szCs w:val="24"/>
                <w:lang w:val="sk-SK"/>
              </w:rPr>
            </w:pPr>
          </w:p>
        </w:tc>
        <w:tc>
          <w:tcPr>
            <w:tcW w:w="1196" w:type="dxa"/>
            <w:vAlign w:val="center"/>
          </w:tcPr>
          <w:p w:rsidR="00313950" w:rsidRPr="002C45D4" w:rsidRDefault="00313950" w:rsidP="000B023D">
            <w:pPr>
              <w:pStyle w:val="Vchodzie"/>
              <w:spacing w:after="0"/>
              <w:jc w:val="center"/>
              <w:rPr>
                <w:rFonts w:ascii="Times New Roman" w:hAnsi="Times New Roman" w:cs="Times New Roman"/>
                <w:sz w:val="24"/>
                <w:szCs w:val="24"/>
                <w:lang w:val="sk-SK"/>
              </w:rPr>
            </w:pPr>
          </w:p>
        </w:tc>
      </w:tr>
      <w:tr w:rsidR="00313950" w:rsidRPr="00764085" w:rsidTr="000B023D">
        <w:tc>
          <w:tcPr>
            <w:tcW w:w="5526" w:type="dxa"/>
            <w:vAlign w:val="center"/>
          </w:tcPr>
          <w:p w:rsidR="00313950" w:rsidRPr="00764085" w:rsidRDefault="00313950" w:rsidP="000B023D">
            <w:pPr>
              <w:pStyle w:val="Vchodzie"/>
              <w:spacing w:after="0"/>
              <w:rPr>
                <w:rFonts w:cs="Times New Roman"/>
                <w:szCs w:val="24"/>
                <w:lang w:val="sk-SK"/>
              </w:rPr>
            </w:pPr>
            <w:r w:rsidRPr="00764085">
              <w:rPr>
                <w:rFonts w:ascii="Times New Roman" w:hAnsi="Times New Roman" w:cs="Times New Roman"/>
                <w:color w:val="000000"/>
                <w:sz w:val="24"/>
                <w:szCs w:val="24"/>
                <w:lang w:val="sk-SK"/>
              </w:rPr>
              <w:t>4. Vplyvy na životné prostredie</w:t>
            </w:r>
          </w:p>
        </w:tc>
        <w:tc>
          <w:tcPr>
            <w:tcW w:w="1192" w:type="dxa"/>
            <w:vAlign w:val="center"/>
          </w:tcPr>
          <w:p w:rsidR="00313950" w:rsidRPr="002C45D4" w:rsidRDefault="00313950" w:rsidP="000B023D">
            <w:pPr>
              <w:pStyle w:val="Vchodzie"/>
              <w:spacing w:after="0"/>
              <w:jc w:val="center"/>
              <w:rPr>
                <w:rFonts w:ascii="Times New Roman" w:hAnsi="Times New Roman" w:cs="Times New Roman"/>
                <w:sz w:val="24"/>
                <w:szCs w:val="24"/>
                <w:lang w:val="sk-SK"/>
              </w:rPr>
            </w:pPr>
          </w:p>
        </w:tc>
        <w:tc>
          <w:tcPr>
            <w:tcW w:w="1181" w:type="dxa"/>
            <w:vAlign w:val="center"/>
          </w:tcPr>
          <w:p w:rsidR="00313950" w:rsidRPr="002C45D4" w:rsidRDefault="00313950" w:rsidP="000B023D">
            <w:pPr>
              <w:pStyle w:val="Vchodzie"/>
              <w:spacing w:after="0"/>
              <w:jc w:val="center"/>
              <w:rPr>
                <w:rFonts w:ascii="Times New Roman" w:hAnsi="Times New Roman" w:cs="Times New Roman"/>
                <w:sz w:val="24"/>
                <w:szCs w:val="24"/>
                <w:lang w:val="sk-SK"/>
              </w:rPr>
            </w:pPr>
            <w:r w:rsidRPr="002C45D4">
              <w:rPr>
                <w:rFonts w:ascii="Times New Roman" w:hAnsi="Times New Roman" w:cs="Times New Roman"/>
                <w:sz w:val="24"/>
                <w:szCs w:val="24"/>
                <w:lang w:val="sk-SK"/>
              </w:rPr>
              <w:t>X</w:t>
            </w:r>
          </w:p>
        </w:tc>
        <w:tc>
          <w:tcPr>
            <w:tcW w:w="1196" w:type="dxa"/>
            <w:vAlign w:val="center"/>
          </w:tcPr>
          <w:p w:rsidR="00313950" w:rsidRPr="002C45D4" w:rsidRDefault="00313950" w:rsidP="000B023D">
            <w:pPr>
              <w:pStyle w:val="Vchodzie"/>
              <w:spacing w:after="0"/>
              <w:jc w:val="center"/>
              <w:rPr>
                <w:rFonts w:ascii="Times New Roman" w:hAnsi="Times New Roman" w:cs="Times New Roman"/>
                <w:sz w:val="24"/>
                <w:szCs w:val="24"/>
                <w:lang w:val="sk-SK"/>
              </w:rPr>
            </w:pPr>
          </w:p>
        </w:tc>
      </w:tr>
      <w:tr w:rsidR="00313950" w:rsidRPr="00764085" w:rsidTr="000B023D">
        <w:tc>
          <w:tcPr>
            <w:tcW w:w="5526" w:type="dxa"/>
            <w:vAlign w:val="center"/>
          </w:tcPr>
          <w:p w:rsidR="00313950" w:rsidRPr="00764085" w:rsidRDefault="00313950" w:rsidP="000B023D">
            <w:pPr>
              <w:pStyle w:val="Vchodzie"/>
              <w:spacing w:after="0"/>
              <w:rPr>
                <w:rFonts w:cs="Times New Roman"/>
                <w:szCs w:val="24"/>
                <w:lang w:val="sk-SK"/>
              </w:rPr>
            </w:pPr>
            <w:r w:rsidRPr="00764085">
              <w:rPr>
                <w:rFonts w:ascii="Times New Roman" w:hAnsi="Times New Roman" w:cs="Times New Roman"/>
                <w:color w:val="000000"/>
                <w:sz w:val="24"/>
                <w:szCs w:val="24"/>
                <w:lang w:val="sk-SK"/>
              </w:rPr>
              <w:t>5. Vplyvy na informatizáciu spoločnosti</w:t>
            </w:r>
          </w:p>
        </w:tc>
        <w:tc>
          <w:tcPr>
            <w:tcW w:w="1192" w:type="dxa"/>
            <w:vAlign w:val="center"/>
          </w:tcPr>
          <w:p w:rsidR="00313950" w:rsidRPr="002C45D4" w:rsidRDefault="00313950" w:rsidP="000B023D">
            <w:pPr>
              <w:pStyle w:val="Vchodzie"/>
              <w:spacing w:after="0"/>
              <w:jc w:val="center"/>
              <w:rPr>
                <w:rFonts w:ascii="Times New Roman" w:hAnsi="Times New Roman" w:cs="Times New Roman"/>
                <w:sz w:val="24"/>
                <w:szCs w:val="24"/>
                <w:lang w:val="sk-SK"/>
              </w:rPr>
            </w:pPr>
            <w:r w:rsidRPr="002C45D4">
              <w:rPr>
                <w:rFonts w:ascii="Times New Roman" w:hAnsi="Times New Roman" w:cs="Times New Roman"/>
                <w:sz w:val="24"/>
                <w:szCs w:val="24"/>
                <w:lang w:val="sk-SK"/>
              </w:rPr>
              <w:t>X</w:t>
            </w:r>
          </w:p>
        </w:tc>
        <w:tc>
          <w:tcPr>
            <w:tcW w:w="1181" w:type="dxa"/>
            <w:vAlign w:val="center"/>
          </w:tcPr>
          <w:p w:rsidR="00313950" w:rsidRPr="002C45D4" w:rsidRDefault="00313950" w:rsidP="000B023D">
            <w:pPr>
              <w:pStyle w:val="Vchodzie"/>
              <w:spacing w:after="0"/>
              <w:jc w:val="center"/>
              <w:rPr>
                <w:rFonts w:ascii="Times New Roman" w:hAnsi="Times New Roman" w:cs="Times New Roman"/>
                <w:sz w:val="24"/>
                <w:szCs w:val="24"/>
                <w:lang w:val="sk-SK"/>
              </w:rPr>
            </w:pPr>
          </w:p>
        </w:tc>
        <w:tc>
          <w:tcPr>
            <w:tcW w:w="1196" w:type="dxa"/>
            <w:vAlign w:val="center"/>
          </w:tcPr>
          <w:p w:rsidR="00313950" w:rsidRPr="002C45D4" w:rsidRDefault="00313950" w:rsidP="000B023D">
            <w:pPr>
              <w:pStyle w:val="Vchodzie"/>
              <w:spacing w:after="0"/>
              <w:jc w:val="center"/>
              <w:rPr>
                <w:rFonts w:ascii="Times New Roman" w:hAnsi="Times New Roman" w:cs="Times New Roman"/>
                <w:sz w:val="24"/>
                <w:szCs w:val="24"/>
                <w:lang w:val="sk-SK"/>
              </w:rPr>
            </w:pPr>
          </w:p>
        </w:tc>
      </w:tr>
      <w:tr w:rsidR="00313950" w:rsidRPr="00764085" w:rsidTr="000B023D">
        <w:tc>
          <w:tcPr>
            <w:tcW w:w="5526" w:type="dxa"/>
            <w:vAlign w:val="center"/>
          </w:tcPr>
          <w:p w:rsidR="00313950" w:rsidRPr="00281B10" w:rsidRDefault="00313950" w:rsidP="000B023D">
            <w:pPr>
              <w:pStyle w:val="Vchodzie"/>
              <w:spacing w:after="0"/>
              <w:rPr>
                <w:rFonts w:ascii="Times New Roman" w:hAnsi="Times New Roman" w:cs="Times New Roman"/>
                <w:color w:val="000000"/>
                <w:sz w:val="24"/>
                <w:szCs w:val="24"/>
                <w:lang w:val="sk-SK"/>
              </w:rPr>
            </w:pPr>
            <w:r w:rsidRPr="00281B10">
              <w:rPr>
                <w:rFonts w:ascii="Times New Roman" w:hAnsi="Times New Roman" w:cs="Times New Roman"/>
                <w:color w:val="000000"/>
                <w:sz w:val="24"/>
                <w:szCs w:val="24"/>
                <w:lang w:val="sk-SK"/>
              </w:rPr>
              <w:t>6. Vplyvy na služby pre občana z toho</w:t>
            </w:r>
          </w:p>
          <w:p w:rsidR="00313950" w:rsidRPr="00281B10" w:rsidRDefault="00313950" w:rsidP="000B023D">
            <w:pPr>
              <w:pStyle w:val="Vchodzie"/>
              <w:spacing w:after="0"/>
              <w:rPr>
                <w:rFonts w:ascii="Times New Roman" w:hAnsi="Times New Roman" w:cs="Times New Roman"/>
                <w:color w:val="000000"/>
                <w:sz w:val="24"/>
                <w:szCs w:val="24"/>
                <w:lang w:val="sk-SK"/>
              </w:rPr>
            </w:pPr>
            <w:r w:rsidRPr="00281B10">
              <w:rPr>
                <w:rFonts w:ascii="Times New Roman" w:hAnsi="Times New Roman" w:cs="Times New Roman"/>
                <w:color w:val="000000"/>
                <w:sz w:val="24"/>
                <w:szCs w:val="24"/>
                <w:lang w:val="sk-SK"/>
              </w:rPr>
              <w:t>- vplyvy služieb verejnej správy na občana</w:t>
            </w:r>
          </w:p>
          <w:p w:rsidR="00313950" w:rsidRPr="00281B10" w:rsidRDefault="00313950" w:rsidP="000B023D">
            <w:pPr>
              <w:pStyle w:val="Vchodzie"/>
              <w:spacing w:after="0"/>
              <w:rPr>
                <w:rFonts w:ascii="Times New Roman" w:hAnsi="Times New Roman" w:cs="Times New Roman"/>
                <w:color w:val="000000"/>
                <w:sz w:val="24"/>
                <w:szCs w:val="24"/>
                <w:lang w:val="sk-SK"/>
              </w:rPr>
            </w:pPr>
            <w:r w:rsidRPr="00281B10">
              <w:rPr>
                <w:rFonts w:ascii="Times New Roman" w:hAnsi="Times New Roman" w:cs="Times New Roman"/>
                <w:color w:val="000000"/>
                <w:sz w:val="24"/>
                <w:szCs w:val="24"/>
                <w:lang w:val="sk-SK"/>
              </w:rPr>
              <w:t>- vplyvy na procesy služieb vo verejnej správe</w:t>
            </w:r>
          </w:p>
        </w:tc>
        <w:tc>
          <w:tcPr>
            <w:tcW w:w="1192" w:type="dxa"/>
            <w:vAlign w:val="center"/>
          </w:tcPr>
          <w:p w:rsidR="00313950" w:rsidRPr="00281B10" w:rsidRDefault="00313950" w:rsidP="000B023D">
            <w:pPr>
              <w:pStyle w:val="Vchodzie"/>
              <w:spacing w:after="0"/>
              <w:jc w:val="center"/>
              <w:rPr>
                <w:rFonts w:ascii="Times New Roman" w:hAnsi="Times New Roman" w:cs="Times New Roman"/>
                <w:sz w:val="24"/>
                <w:szCs w:val="24"/>
                <w:lang w:val="sk-SK"/>
              </w:rPr>
            </w:pPr>
          </w:p>
        </w:tc>
        <w:tc>
          <w:tcPr>
            <w:tcW w:w="1181" w:type="dxa"/>
            <w:vAlign w:val="center"/>
          </w:tcPr>
          <w:p w:rsidR="00313950" w:rsidRPr="00281B10" w:rsidRDefault="00313950" w:rsidP="000B023D">
            <w:pPr>
              <w:pStyle w:val="Vchodzie"/>
              <w:spacing w:after="0"/>
              <w:jc w:val="center"/>
              <w:rPr>
                <w:rFonts w:ascii="Times New Roman" w:hAnsi="Times New Roman" w:cs="Times New Roman"/>
                <w:sz w:val="24"/>
                <w:szCs w:val="24"/>
                <w:lang w:val="sk-SK"/>
              </w:rPr>
            </w:pPr>
            <w:r w:rsidRPr="00281B10">
              <w:rPr>
                <w:rFonts w:ascii="Times New Roman" w:hAnsi="Times New Roman" w:cs="Times New Roman"/>
                <w:sz w:val="24"/>
                <w:szCs w:val="24"/>
                <w:lang w:val="sk-SK"/>
              </w:rPr>
              <w:t>X</w:t>
            </w:r>
          </w:p>
          <w:p w:rsidR="00313950" w:rsidRPr="00281B10" w:rsidRDefault="00313950" w:rsidP="000B023D">
            <w:pPr>
              <w:pStyle w:val="Vchodzie"/>
              <w:spacing w:after="0"/>
              <w:jc w:val="center"/>
              <w:rPr>
                <w:rFonts w:ascii="Times New Roman" w:hAnsi="Times New Roman" w:cs="Times New Roman"/>
                <w:sz w:val="24"/>
                <w:szCs w:val="24"/>
                <w:lang w:val="sk-SK"/>
              </w:rPr>
            </w:pPr>
            <w:r w:rsidRPr="00281B10">
              <w:rPr>
                <w:rFonts w:ascii="Times New Roman" w:hAnsi="Times New Roman" w:cs="Times New Roman"/>
                <w:sz w:val="24"/>
                <w:szCs w:val="24"/>
                <w:lang w:val="sk-SK"/>
              </w:rPr>
              <w:t>X</w:t>
            </w:r>
          </w:p>
          <w:p w:rsidR="00313950" w:rsidRPr="00281B10" w:rsidRDefault="00313950" w:rsidP="000B023D">
            <w:pPr>
              <w:pStyle w:val="Vchodzie"/>
              <w:spacing w:after="0"/>
              <w:jc w:val="center"/>
              <w:rPr>
                <w:rFonts w:ascii="Times New Roman" w:hAnsi="Times New Roman" w:cs="Times New Roman"/>
                <w:sz w:val="24"/>
                <w:szCs w:val="24"/>
                <w:lang w:val="sk-SK"/>
              </w:rPr>
            </w:pPr>
            <w:r w:rsidRPr="00281B10">
              <w:rPr>
                <w:rFonts w:ascii="Times New Roman" w:hAnsi="Times New Roman" w:cs="Times New Roman"/>
                <w:sz w:val="24"/>
                <w:szCs w:val="24"/>
                <w:lang w:val="sk-SK"/>
              </w:rPr>
              <w:t>X</w:t>
            </w:r>
          </w:p>
        </w:tc>
        <w:tc>
          <w:tcPr>
            <w:tcW w:w="1196" w:type="dxa"/>
            <w:vAlign w:val="center"/>
          </w:tcPr>
          <w:p w:rsidR="00313950" w:rsidRPr="002C45D4" w:rsidRDefault="00313950" w:rsidP="000B023D">
            <w:pPr>
              <w:pStyle w:val="Vchodzie"/>
              <w:spacing w:after="0"/>
              <w:jc w:val="center"/>
              <w:rPr>
                <w:rFonts w:ascii="Times New Roman" w:hAnsi="Times New Roman" w:cs="Times New Roman"/>
                <w:sz w:val="24"/>
                <w:szCs w:val="24"/>
                <w:lang w:val="sk-SK"/>
              </w:rPr>
            </w:pPr>
          </w:p>
        </w:tc>
      </w:tr>
      <w:tr w:rsidR="00313950" w:rsidRPr="00764085" w:rsidTr="000B023D">
        <w:tc>
          <w:tcPr>
            <w:tcW w:w="5526" w:type="dxa"/>
            <w:vAlign w:val="center"/>
          </w:tcPr>
          <w:p w:rsidR="00313950" w:rsidRPr="00281B10" w:rsidRDefault="00313950" w:rsidP="000B023D">
            <w:pPr>
              <w:pStyle w:val="Vchodzie"/>
              <w:spacing w:after="0"/>
              <w:rPr>
                <w:rFonts w:ascii="Times New Roman" w:hAnsi="Times New Roman" w:cs="Times New Roman"/>
                <w:color w:val="000000"/>
                <w:sz w:val="24"/>
                <w:szCs w:val="24"/>
                <w:lang w:val="sk-SK"/>
              </w:rPr>
            </w:pPr>
            <w:r w:rsidRPr="00281B10">
              <w:rPr>
                <w:rFonts w:ascii="Times New Roman" w:hAnsi="Times New Roman" w:cs="Times New Roman"/>
                <w:color w:val="000000"/>
                <w:sz w:val="24"/>
                <w:szCs w:val="24"/>
                <w:lang w:val="sk-SK"/>
              </w:rPr>
              <w:t>7. Vplyv na manželstvo, rodičovstvo a rodinu</w:t>
            </w:r>
          </w:p>
        </w:tc>
        <w:tc>
          <w:tcPr>
            <w:tcW w:w="1192" w:type="dxa"/>
            <w:vAlign w:val="center"/>
          </w:tcPr>
          <w:p w:rsidR="00313950" w:rsidRPr="00281B10" w:rsidRDefault="00F54441" w:rsidP="000B023D">
            <w:pPr>
              <w:pStyle w:val="Vchodzie"/>
              <w:spacing w:after="0"/>
              <w:jc w:val="center"/>
              <w:rPr>
                <w:rFonts w:ascii="Times New Roman" w:hAnsi="Times New Roman" w:cs="Times New Roman"/>
                <w:sz w:val="24"/>
                <w:szCs w:val="24"/>
                <w:lang w:val="sk-SK"/>
              </w:rPr>
            </w:pPr>
            <w:r>
              <w:rPr>
                <w:rFonts w:ascii="Times New Roman" w:hAnsi="Times New Roman" w:cs="Times New Roman"/>
                <w:sz w:val="24"/>
                <w:szCs w:val="24"/>
                <w:lang w:val="sk-SK"/>
              </w:rPr>
              <w:t>X</w:t>
            </w:r>
          </w:p>
        </w:tc>
        <w:tc>
          <w:tcPr>
            <w:tcW w:w="1181" w:type="dxa"/>
            <w:vAlign w:val="center"/>
          </w:tcPr>
          <w:p w:rsidR="00313950" w:rsidRPr="00281B10" w:rsidRDefault="00313950" w:rsidP="000B023D">
            <w:pPr>
              <w:pStyle w:val="Vchodzie"/>
              <w:spacing w:after="0"/>
              <w:jc w:val="center"/>
              <w:rPr>
                <w:rFonts w:ascii="Times New Roman" w:hAnsi="Times New Roman" w:cs="Times New Roman"/>
                <w:sz w:val="24"/>
                <w:szCs w:val="24"/>
                <w:lang w:val="sk-SK"/>
              </w:rPr>
            </w:pPr>
          </w:p>
        </w:tc>
        <w:tc>
          <w:tcPr>
            <w:tcW w:w="1196" w:type="dxa"/>
            <w:vAlign w:val="center"/>
          </w:tcPr>
          <w:p w:rsidR="00313950" w:rsidRPr="002C45D4" w:rsidRDefault="00313950" w:rsidP="000B023D">
            <w:pPr>
              <w:pStyle w:val="Vchodzie"/>
              <w:spacing w:after="0"/>
              <w:jc w:val="center"/>
              <w:rPr>
                <w:rFonts w:ascii="Times New Roman" w:hAnsi="Times New Roman" w:cs="Times New Roman"/>
                <w:sz w:val="24"/>
                <w:szCs w:val="24"/>
                <w:lang w:val="sk-SK"/>
              </w:rPr>
            </w:pPr>
          </w:p>
        </w:tc>
      </w:tr>
    </w:tbl>
    <w:p w:rsidR="00313950" w:rsidRPr="00764085" w:rsidRDefault="00313950" w:rsidP="00313950">
      <w:pPr>
        <w:pStyle w:val="Vchodzie"/>
        <w:spacing w:after="0" w:line="200" w:lineRule="atLeast"/>
        <w:jc w:val="both"/>
        <w:rPr>
          <w:rFonts w:cs="Times New Roman"/>
          <w:szCs w:val="24"/>
          <w:lang w:val="sk-SK"/>
        </w:rPr>
      </w:pPr>
    </w:p>
    <w:p w:rsidR="00313950" w:rsidRDefault="00313950" w:rsidP="00313950">
      <w:pPr>
        <w:pStyle w:val="Vchodzie"/>
        <w:jc w:val="both"/>
        <w:rPr>
          <w:rFonts w:ascii="Times New Roman" w:hAnsi="Times New Roman" w:cs="Times New Roman"/>
          <w:b/>
          <w:color w:val="000000"/>
          <w:sz w:val="24"/>
          <w:szCs w:val="24"/>
          <w:lang w:val="sk-SK"/>
        </w:rPr>
      </w:pPr>
      <w:r w:rsidRPr="00764085">
        <w:rPr>
          <w:rFonts w:ascii="Times New Roman" w:hAnsi="Times New Roman" w:cs="Times New Roman"/>
          <w:b/>
          <w:color w:val="000000"/>
          <w:sz w:val="24"/>
          <w:szCs w:val="24"/>
          <w:lang w:val="sk-SK"/>
        </w:rPr>
        <w:t>A.3. Poznámky</w:t>
      </w:r>
    </w:p>
    <w:p w:rsidR="00313950" w:rsidRDefault="00313950" w:rsidP="00313950">
      <w:pPr>
        <w:pStyle w:val="Vchodzie"/>
        <w:spacing w:after="0" w:line="240" w:lineRule="auto"/>
        <w:jc w:val="both"/>
        <w:rPr>
          <w:rFonts w:ascii="Times New Roman" w:hAnsi="Times New Roman" w:cs="Times New Roman"/>
          <w:color w:val="000000"/>
          <w:sz w:val="24"/>
          <w:szCs w:val="24"/>
          <w:lang w:val="sk-SK"/>
        </w:rPr>
      </w:pPr>
      <w:r>
        <w:rPr>
          <w:rFonts w:ascii="Times New Roman" w:hAnsi="Times New Roman" w:cs="Times New Roman"/>
          <w:color w:val="000000"/>
          <w:sz w:val="24"/>
          <w:szCs w:val="24"/>
          <w:lang w:val="sk-SK"/>
        </w:rPr>
        <w:t xml:space="preserve">Návrh zákona má zanedbateľné negatívne vplyvy na rozpočet verejnej správy, ktoré môžu vzniknúť v súvislosti s plnením novo uložených povinností. Na druhej strane, zákon ustanovuje možnosť ukladania pokút, ktoré budú príjmom štátneho rozpočtu. Nemožno tiež opomenúť skutočnosť, že pokiaľ by sa prostredníctvom návrhu zákona podarilo znižovať rozdiely v odmeňovaní medzi ženami a mužmi tak, že by priemerné odmeny žien stúpali smerom k priemerným odmenám mužov, z takéhoto znižovania platových rozdielov by mal úžitok aj štát (vyšší výber daní a odvodov). Z týchto dôvodov predkladatelia očakávajú ako pozitívne, tak aj negatívne vplyvy na rozpočet verejnej správy; ich povaha ale neumožňuje presnú kvantifikáciu. </w:t>
      </w:r>
    </w:p>
    <w:p w:rsidR="00313950" w:rsidRDefault="00313950" w:rsidP="00313950">
      <w:pPr>
        <w:pStyle w:val="Vchodzie"/>
        <w:spacing w:after="0" w:line="240" w:lineRule="auto"/>
        <w:jc w:val="both"/>
        <w:rPr>
          <w:rFonts w:ascii="Times New Roman" w:hAnsi="Times New Roman" w:cs="Times New Roman"/>
          <w:color w:val="000000"/>
          <w:sz w:val="24"/>
          <w:szCs w:val="24"/>
          <w:lang w:val="sk-SK"/>
        </w:rPr>
      </w:pPr>
    </w:p>
    <w:p w:rsidR="00313950" w:rsidRDefault="00313950" w:rsidP="00313950">
      <w:pPr>
        <w:pStyle w:val="Vchodzie"/>
        <w:spacing w:after="0" w:line="240" w:lineRule="auto"/>
        <w:jc w:val="both"/>
        <w:rPr>
          <w:rFonts w:ascii="Times New Roman" w:hAnsi="Times New Roman" w:cs="Times New Roman"/>
          <w:color w:val="000000"/>
          <w:sz w:val="24"/>
          <w:szCs w:val="24"/>
          <w:lang w:val="sk-SK"/>
        </w:rPr>
      </w:pPr>
      <w:r>
        <w:rPr>
          <w:rFonts w:ascii="Times New Roman" w:hAnsi="Times New Roman" w:cs="Times New Roman"/>
          <w:color w:val="000000"/>
          <w:sz w:val="24"/>
          <w:szCs w:val="24"/>
          <w:lang w:val="sk-SK"/>
        </w:rPr>
        <w:t>Vďaka dodržiavaniu princípu „</w:t>
      </w:r>
      <w:proofErr w:type="spellStart"/>
      <w:r>
        <w:rPr>
          <w:rFonts w:ascii="Times New Roman" w:hAnsi="Times New Roman" w:cs="Times New Roman"/>
          <w:color w:val="000000"/>
          <w:sz w:val="24"/>
          <w:szCs w:val="24"/>
          <w:lang w:val="sk-SK"/>
        </w:rPr>
        <w:t>one</w:t>
      </w:r>
      <w:proofErr w:type="spellEnd"/>
      <w:r>
        <w:rPr>
          <w:rFonts w:ascii="Times New Roman" w:hAnsi="Times New Roman" w:cs="Times New Roman"/>
          <w:color w:val="000000"/>
          <w:sz w:val="24"/>
          <w:szCs w:val="24"/>
          <w:lang w:val="sk-SK"/>
        </w:rPr>
        <w:t xml:space="preserve"> in, </w:t>
      </w:r>
      <w:proofErr w:type="spellStart"/>
      <w:r>
        <w:rPr>
          <w:rFonts w:ascii="Times New Roman" w:hAnsi="Times New Roman" w:cs="Times New Roman"/>
          <w:color w:val="000000"/>
          <w:sz w:val="24"/>
          <w:szCs w:val="24"/>
          <w:lang w:val="sk-SK"/>
        </w:rPr>
        <w:t>one</w:t>
      </w:r>
      <w:proofErr w:type="spellEnd"/>
      <w:r>
        <w:rPr>
          <w:rFonts w:ascii="Times New Roman" w:hAnsi="Times New Roman" w:cs="Times New Roman"/>
          <w:color w:val="000000"/>
          <w:sz w:val="24"/>
          <w:szCs w:val="24"/>
          <w:lang w:val="sk-SK"/>
        </w:rPr>
        <w:t xml:space="preserve"> </w:t>
      </w:r>
      <w:proofErr w:type="spellStart"/>
      <w:r>
        <w:rPr>
          <w:rFonts w:ascii="Times New Roman" w:hAnsi="Times New Roman" w:cs="Times New Roman"/>
          <w:color w:val="000000"/>
          <w:sz w:val="24"/>
          <w:szCs w:val="24"/>
          <w:lang w:val="sk-SK"/>
        </w:rPr>
        <w:t>out</w:t>
      </w:r>
      <w:proofErr w:type="spellEnd"/>
      <w:r>
        <w:rPr>
          <w:rFonts w:ascii="Times New Roman" w:hAnsi="Times New Roman" w:cs="Times New Roman"/>
          <w:color w:val="000000"/>
          <w:sz w:val="24"/>
          <w:szCs w:val="24"/>
          <w:lang w:val="sk-SK"/>
        </w:rPr>
        <w:t xml:space="preserve">“ má návrh pozitívne aj negatívne vplyvy na podnikateľské prostredie. Sociálne vplyvy i vplyvy na informatizáciu spoločnosti budú pozitívne. </w:t>
      </w:r>
    </w:p>
    <w:p w:rsidR="00313950" w:rsidRDefault="00313950" w:rsidP="00313950">
      <w:pPr>
        <w:pStyle w:val="Vchodzie"/>
        <w:spacing w:after="0"/>
        <w:jc w:val="both"/>
        <w:rPr>
          <w:rFonts w:ascii="Times New Roman" w:hAnsi="Times New Roman" w:cs="Times New Roman"/>
          <w:color w:val="000000"/>
          <w:sz w:val="24"/>
          <w:szCs w:val="24"/>
          <w:lang w:val="sk-SK"/>
        </w:rPr>
      </w:pPr>
    </w:p>
    <w:p w:rsidR="00313950" w:rsidRDefault="00313950" w:rsidP="00313950">
      <w:pPr>
        <w:pStyle w:val="Vchodzie"/>
        <w:spacing w:after="0" w:line="200" w:lineRule="atLeast"/>
        <w:jc w:val="both"/>
        <w:rPr>
          <w:rFonts w:ascii="Times New Roman" w:hAnsi="Times New Roman" w:cs="Times New Roman"/>
          <w:b/>
          <w:color w:val="000000"/>
          <w:sz w:val="24"/>
          <w:szCs w:val="24"/>
          <w:lang w:val="sk-SK"/>
        </w:rPr>
      </w:pPr>
      <w:r w:rsidRPr="00764085">
        <w:rPr>
          <w:rFonts w:ascii="Times New Roman" w:hAnsi="Times New Roman" w:cs="Times New Roman"/>
          <w:b/>
          <w:color w:val="000000"/>
          <w:sz w:val="24"/>
          <w:szCs w:val="24"/>
          <w:lang w:val="sk-SK"/>
        </w:rPr>
        <w:t>A.4. Alternatívne riešenia</w:t>
      </w:r>
    </w:p>
    <w:p w:rsidR="00313950" w:rsidRPr="00764085" w:rsidRDefault="00313950" w:rsidP="00313950">
      <w:pPr>
        <w:pStyle w:val="Vchodzie"/>
        <w:spacing w:after="0" w:line="200" w:lineRule="atLeast"/>
        <w:jc w:val="both"/>
        <w:rPr>
          <w:rFonts w:cs="Times New Roman"/>
          <w:szCs w:val="24"/>
          <w:lang w:val="sk-SK"/>
        </w:rPr>
      </w:pPr>
    </w:p>
    <w:p w:rsidR="00313950" w:rsidRPr="00764085" w:rsidRDefault="00313950" w:rsidP="00313950">
      <w:pPr>
        <w:pStyle w:val="Vchodzie"/>
        <w:spacing w:after="0" w:line="200" w:lineRule="atLeast"/>
        <w:jc w:val="both"/>
        <w:rPr>
          <w:rFonts w:cs="Times New Roman"/>
          <w:szCs w:val="24"/>
          <w:lang w:val="sk-SK"/>
        </w:rPr>
      </w:pPr>
      <w:r w:rsidRPr="00764085">
        <w:rPr>
          <w:rFonts w:ascii="Times New Roman" w:hAnsi="Times New Roman" w:cs="Times New Roman"/>
          <w:color w:val="000000"/>
          <w:sz w:val="24"/>
          <w:szCs w:val="24"/>
          <w:lang w:val="sk-SK"/>
        </w:rPr>
        <w:t xml:space="preserve">Bezpredmetné  </w:t>
      </w:r>
    </w:p>
    <w:p w:rsidR="00313950" w:rsidRPr="00764085" w:rsidRDefault="00313950" w:rsidP="00313950">
      <w:pPr>
        <w:pStyle w:val="Normlnywebov"/>
        <w:spacing w:before="0" w:after="0"/>
        <w:ind w:left="567" w:hanging="567"/>
        <w:jc w:val="both"/>
      </w:pPr>
      <w:r w:rsidRPr="00764085">
        <w:rPr>
          <w:b/>
        </w:rPr>
        <w:t xml:space="preserve">A.5. </w:t>
      </w:r>
      <w:r w:rsidRPr="00764085">
        <w:rPr>
          <w:b/>
        </w:rPr>
        <w:tab/>
        <w:t>Stanovisko gestorov</w:t>
      </w:r>
    </w:p>
    <w:p w:rsidR="00313950" w:rsidRDefault="00313950" w:rsidP="00313950">
      <w:pPr>
        <w:pStyle w:val="Vchodzie"/>
        <w:spacing w:after="0" w:line="200" w:lineRule="atLeast"/>
        <w:jc w:val="both"/>
        <w:rPr>
          <w:rFonts w:cs="Times New Roman"/>
          <w:color w:val="000000"/>
        </w:rPr>
      </w:pPr>
      <w:r>
        <w:rPr>
          <w:rFonts w:ascii="Times New Roman" w:hAnsi="Times New Roman" w:cs="Times New Roman"/>
          <w:color w:val="000000"/>
          <w:sz w:val="24"/>
          <w:szCs w:val="24"/>
          <w:lang w:val="sk-SK"/>
        </w:rPr>
        <w:t>Bezpredmetné</w:t>
      </w:r>
      <w:r>
        <w:rPr>
          <w:rFonts w:cs="Times New Roman"/>
          <w:color w:val="000000"/>
        </w:rPr>
        <w:br w:type="page"/>
      </w:r>
    </w:p>
    <w:p w:rsidR="00313950" w:rsidRPr="0017622F" w:rsidRDefault="00313950" w:rsidP="00313950">
      <w:pPr>
        <w:widowControl/>
        <w:suppressAutoHyphens w:val="0"/>
        <w:spacing w:line="276" w:lineRule="auto"/>
        <w:jc w:val="center"/>
        <w:rPr>
          <w:rFonts w:ascii="Calibri" w:hAnsi="Calibri" w:cs="Calibri"/>
          <w:sz w:val="22"/>
          <w:szCs w:val="22"/>
          <w:lang w:eastAsia="en-US" w:bidi="ar-SA"/>
        </w:rPr>
      </w:pPr>
      <w:r w:rsidRPr="0017622F">
        <w:rPr>
          <w:rFonts w:eastAsia="Times New Roman" w:cs="Calibri"/>
          <w:b/>
          <w:bCs/>
          <w:caps/>
          <w:spacing w:val="30"/>
          <w:lang w:eastAsia="en-US" w:bidi="ar-SA"/>
        </w:rPr>
        <w:t>Doložka zlučiteľnosti</w:t>
      </w:r>
    </w:p>
    <w:p w:rsidR="00313950" w:rsidRPr="0017622F" w:rsidRDefault="00313950" w:rsidP="00313950">
      <w:pPr>
        <w:suppressAutoHyphens w:val="0"/>
        <w:autoSpaceDN w:val="0"/>
        <w:adjustRightInd w:val="0"/>
        <w:spacing w:line="200" w:lineRule="atLeast"/>
        <w:jc w:val="center"/>
        <w:rPr>
          <w:rFonts w:ascii="Calibri" w:hAnsi="Calibri" w:cs="Times New Roman"/>
          <w:sz w:val="22"/>
          <w:lang w:eastAsia="en-US" w:bidi="ar-SA"/>
        </w:rPr>
      </w:pPr>
      <w:r w:rsidRPr="0017622F">
        <w:rPr>
          <w:rFonts w:eastAsia="Times New Roman" w:cs="Times New Roman"/>
          <w:b/>
          <w:lang w:eastAsia="en-US" w:bidi="ar-SA"/>
        </w:rPr>
        <w:t>právneho predpisu s právom Európskej únie</w:t>
      </w:r>
    </w:p>
    <w:p w:rsidR="00313950" w:rsidRPr="0017622F" w:rsidRDefault="00313950" w:rsidP="00313950">
      <w:pPr>
        <w:suppressAutoHyphens w:val="0"/>
        <w:autoSpaceDN w:val="0"/>
        <w:adjustRightInd w:val="0"/>
        <w:spacing w:line="200" w:lineRule="atLeast"/>
        <w:rPr>
          <w:rFonts w:ascii="Calibri" w:hAnsi="Calibri" w:cs="Times New Roman"/>
          <w:sz w:val="22"/>
          <w:lang w:eastAsia="en-US" w:bidi="ar-SA"/>
        </w:rPr>
      </w:pPr>
    </w:p>
    <w:p w:rsidR="00313950" w:rsidRPr="0017622F" w:rsidRDefault="00313950" w:rsidP="00313950">
      <w:pPr>
        <w:suppressAutoHyphens w:val="0"/>
        <w:autoSpaceDN w:val="0"/>
        <w:adjustRightInd w:val="0"/>
        <w:spacing w:line="200" w:lineRule="atLeast"/>
        <w:ind w:left="3828" w:hanging="3828"/>
        <w:jc w:val="both"/>
        <w:rPr>
          <w:rFonts w:ascii="Calibri" w:hAnsi="Calibri" w:cs="Times New Roman"/>
          <w:sz w:val="22"/>
          <w:lang w:eastAsia="en-US" w:bidi="ar-SA"/>
        </w:rPr>
      </w:pPr>
      <w:r w:rsidRPr="0017622F">
        <w:rPr>
          <w:rFonts w:eastAsia="Times New Roman" w:cs="Times New Roman"/>
          <w:b/>
          <w:lang w:eastAsia="en-US" w:bidi="ar-SA"/>
        </w:rPr>
        <w:t>1. Predkladateľ právneho predpisu:</w:t>
      </w:r>
      <w:r w:rsidRPr="0017622F">
        <w:rPr>
          <w:rFonts w:eastAsia="Times New Roman" w:cs="Times New Roman"/>
          <w:lang w:eastAsia="en-US" w:bidi="ar-SA"/>
        </w:rPr>
        <w:t xml:space="preserve"> </w:t>
      </w:r>
      <w:r>
        <w:rPr>
          <w:rFonts w:eastAsia="Times New Roman" w:cs="Times New Roman"/>
          <w:lang w:eastAsia="en-US" w:bidi="ar-SA"/>
        </w:rPr>
        <w:tab/>
        <w:t>poslan</w:t>
      </w:r>
      <w:r w:rsidR="00425E30">
        <w:rPr>
          <w:rFonts w:eastAsia="Times New Roman" w:cs="Times New Roman"/>
          <w:lang w:eastAsia="en-US" w:bidi="ar-SA"/>
        </w:rPr>
        <w:t>ec</w:t>
      </w:r>
      <w:r>
        <w:rPr>
          <w:rFonts w:eastAsia="Times New Roman" w:cs="Times New Roman"/>
          <w:lang w:eastAsia="en-US" w:bidi="ar-SA"/>
        </w:rPr>
        <w:t xml:space="preserve"> </w:t>
      </w:r>
      <w:r w:rsidRPr="0017622F">
        <w:rPr>
          <w:rFonts w:eastAsia="Times New Roman" w:cs="Times New Roman"/>
          <w:lang w:eastAsia="en-US" w:bidi="ar-SA"/>
        </w:rPr>
        <w:t>Národnej rady Slovenskej republiky</w:t>
      </w:r>
      <w:r>
        <w:rPr>
          <w:rFonts w:eastAsia="Times New Roman" w:cs="Times New Roman"/>
          <w:lang w:eastAsia="en-US" w:bidi="ar-SA"/>
        </w:rPr>
        <w:t xml:space="preserve"> </w:t>
      </w:r>
      <w:r w:rsidR="00425E30">
        <w:rPr>
          <w:rFonts w:eastAsia="Times New Roman" w:cs="Times New Roman"/>
          <w:lang w:eastAsia="en-US" w:bidi="ar-SA"/>
        </w:rPr>
        <w:t>Tomáš Valášek</w:t>
      </w:r>
    </w:p>
    <w:p w:rsidR="00313950" w:rsidRPr="0017622F" w:rsidRDefault="00313950" w:rsidP="00313950">
      <w:pPr>
        <w:tabs>
          <w:tab w:val="left" w:pos="360"/>
        </w:tabs>
        <w:suppressAutoHyphens w:val="0"/>
        <w:autoSpaceDN w:val="0"/>
        <w:adjustRightInd w:val="0"/>
        <w:spacing w:line="200" w:lineRule="atLeast"/>
        <w:ind w:left="360"/>
        <w:jc w:val="both"/>
        <w:rPr>
          <w:rFonts w:ascii="Calibri" w:hAnsi="Calibri" w:cs="Times New Roman"/>
          <w:sz w:val="22"/>
          <w:lang w:eastAsia="en-US" w:bidi="ar-SA"/>
        </w:rPr>
      </w:pPr>
      <w:r w:rsidRPr="0017622F">
        <w:rPr>
          <w:rFonts w:eastAsia="Times New Roman" w:cs="Times New Roman"/>
          <w:lang w:eastAsia="en-US" w:bidi="ar-SA"/>
        </w:rPr>
        <w:t xml:space="preserve"> </w:t>
      </w:r>
    </w:p>
    <w:p w:rsidR="00313950" w:rsidRDefault="00313950" w:rsidP="00313950">
      <w:pPr>
        <w:suppressAutoHyphens w:val="0"/>
        <w:autoSpaceDN w:val="0"/>
        <w:adjustRightInd w:val="0"/>
        <w:spacing w:line="200" w:lineRule="atLeast"/>
        <w:ind w:left="3828" w:hanging="3828"/>
        <w:jc w:val="both"/>
        <w:rPr>
          <w:rFonts w:eastAsia="Times New Roman" w:cs="Times New Roman"/>
          <w:lang w:eastAsia="en-US" w:bidi="ar-SA"/>
        </w:rPr>
      </w:pPr>
      <w:r>
        <w:rPr>
          <w:rFonts w:eastAsia="Times New Roman" w:cs="Times New Roman"/>
          <w:b/>
          <w:lang w:eastAsia="en-US" w:bidi="ar-SA"/>
        </w:rPr>
        <w:t xml:space="preserve">2. </w:t>
      </w:r>
      <w:r w:rsidRPr="0017622F">
        <w:rPr>
          <w:rFonts w:eastAsia="Times New Roman" w:cs="Times New Roman"/>
          <w:b/>
          <w:lang w:eastAsia="en-US" w:bidi="ar-SA"/>
        </w:rPr>
        <w:t>Názov návrhu právneho predpisu:</w:t>
      </w:r>
      <w:r>
        <w:rPr>
          <w:rFonts w:eastAsia="Times New Roman" w:cs="Times New Roman"/>
          <w:lang w:eastAsia="en-US" w:bidi="ar-SA"/>
        </w:rPr>
        <w:t xml:space="preserve"> </w:t>
      </w:r>
      <w:r w:rsidRPr="00853C65">
        <w:rPr>
          <w:rFonts w:eastAsia="Times New Roman" w:cs="Times New Roman"/>
          <w:kern w:val="0"/>
          <w:lang w:eastAsia="en-US" w:bidi="ar-SA"/>
        </w:rPr>
        <w:t>Návrh zákona</w:t>
      </w:r>
      <w:r w:rsidRPr="00C401B4">
        <w:rPr>
          <w:rFonts w:eastAsia="Times New Roman" w:cs="Times New Roman"/>
          <w:kern w:val="0"/>
          <w:lang w:eastAsia="en-US" w:bidi="ar-SA"/>
        </w:rPr>
        <w:t>,</w:t>
      </w:r>
      <w:r w:rsidRPr="00853C65">
        <w:rPr>
          <w:rFonts w:eastAsia="Times New Roman" w:cs="Times New Roman"/>
          <w:b/>
          <w:kern w:val="0"/>
          <w:lang w:eastAsia="en-US" w:bidi="ar-SA"/>
        </w:rPr>
        <w:t xml:space="preserve"> </w:t>
      </w:r>
      <w:r w:rsidRPr="00FF5BF9">
        <w:rPr>
          <w:rFonts w:cs="Times New Roman"/>
        </w:rPr>
        <w:t>ktorým sa mení</w:t>
      </w:r>
      <w:r>
        <w:rPr>
          <w:rFonts w:cs="Times New Roman"/>
        </w:rPr>
        <w:t xml:space="preserve"> a dopĺňa</w:t>
      </w:r>
      <w:r w:rsidRPr="00FF5BF9">
        <w:rPr>
          <w:rFonts w:cs="Times New Roman"/>
        </w:rPr>
        <w:t xml:space="preserve"> zákon č. </w:t>
      </w:r>
      <w:r>
        <w:rPr>
          <w:rFonts w:cs="Times New Roman"/>
        </w:rPr>
        <w:t xml:space="preserve">365/2004 </w:t>
      </w:r>
      <w:r w:rsidRPr="00FF5BF9">
        <w:rPr>
          <w:rFonts w:cs="Times New Roman"/>
        </w:rPr>
        <w:t xml:space="preserve">Z. z. </w:t>
      </w:r>
      <w:r>
        <w:rPr>
          <w:rFonts w:cs="Times New Roman"/>
        </w:rPr>
        <w:t xml:space="preserve">o rovnakom zaobchádzaní v niektorých oblastiach a o ochrane pred diskrimináciou a o zmene a doplnení niektorých zákonov (antidiskriminačný zákon) v znení neskorších predpisov a ktorým sa menia a dopĺňajú niektoré zákony. </w:t>
      </w:r>
    </w:p>
    <w:p w:rsidR="00313950" w:rsidRDefault="00313950" w:rsidP="00313950">
      <w:pPr>
        <w:suppressAutoHyphens w:val="0"/>
        <w:autoSpaceDN w:val="0"/>
        <w:adjustRightInd w:val="0"/>
        <w:spacing w:line="200" w:lineRule="atLeast"/>
        <w:ind w:left="3828" w:hanging="3828"/>
        <w:jc w:val="both"/>
        <w:rPr>
          <w:rFonts w:eastAsia="Times New Roman" w:cs="Times New Roman"/>
          <w:b/>
          <w:lang w:eastAsia="en-US" w:bidi="ar-SA"/>
        </w:rPr>
      </w:pPr>
    </w:p>
    <w:p w:rsidR="00313950" w:rsidRPr="00267846" w:rsidRDefault="00313950" w:rsidP="00313950">
      <w:pPr>
        <w:suppressAutoHyphens w:val="0"/>
        <w:autoSpaceDN w:val="0"/>
        <w:adjustRightInd w:val="0"/>
        <w:spacing w:line="200" w:lineRule="atLeast"/>
        <w:ind w:left="3828" w:hanging="3828"/>
        <w:jc w:val="both"/>
        <w:rPr>
          <w:rFonts w:eastAsia="Times New Roman" w:cs="Times New Roman"/>
          <w:b/>
          <w:lang w:eastAsia="en-US" w:bidi="ar-SA"/>
        </w:rPr>
      </w:pPr>
      <w:r w:rsidRPr="00267846">
        <w:rPr>
          <w:rFonts w:eastAsia="Times New Roman" w:cs="Times New Roman"/>
          <w:b/>
          <w:lang w:eastAsia="en-US" w:bidi="ar-SA"/>
        </w:rPr>
        <w:t>3. Problematika návrhu právneho predpisu:</w:t>
      </w:r>
    </w:p>
    <w:p w:rsidR="00313950" w:rsidRPr="00267846" w:rsidRDefault="00313950" w:rsidP="00313950">
      <w:pPr>
        <w:suppressAutoHyphens w:val="0"/>
        <w:autoSpaceDN w:val="0"/>
        <w:adjustRightInd w:val="0"/>
        <w:spacing w:line="200" w:lineRule="atLeast"/>
        <w:ind w:left="3828" w:hanging="3828"/>
        <w:jc w:val="both"/>
        <w:rPr>
          <w:rFonts w:eastAsia="Times New Roman" w:cs="Times New Roman"/>
          <w:lang w:eastAsia="en-US" w:bidi="ar-SA"/>
        </w:rPr>
      </w:pPr>
    </w:p>
    <w:p w:rsidR="00313950" w:rsidRPr="00267846" w:rsidRDefault="00313950" w:rsidP="00313950">
      <w:pPr>
        <w:pStyle w:val="Odsekzoznamu"/>
        <w:numPr>
          <w:ilvl w:val="0"/>
          <w:numId w:val="1"/>
        </w:numPr>
        <w:suppressAutoHyphens w:val="0"/>
        <w:autoSpaceDN w:val="0"/>
        <w:adjustRightInd w:val="0"/>
        <w:spacing w:line="200" w:lineRule="atLeast"/>
        <w:ind w:hanging="720"/>
        <w:jc w:val="both"/>
        <w:rPr>
          <w:rFonts w:eastAsia="Times New Roman" w:cs="Times New Roman"/>
          <w:lang w:eastAsia="en-US" w:bidi="ar-SA"/>
        </w:rPr>
      </w:pPr>
      <w:r w:rsidRPr="00267846">
        <w:t>je upravená v primárnom práve Európskej únie, a to v čl. 114</w:t>
      </w:r>
      <w:r>
        <w:t xml:space="preserve"> Zmluvy o fungovaní Európskej únie, čl. 20 až 23 Charty základných práv Európskej únie, </w:t>
      </w:r>
    </w:p>
    <w:p w:rsidR="00313950" w:rsidRPr="00267846" w:rsidRDefault="00313950" w:rsidP="00313950">
      <w:pPr>
        <w:suppressAutoHyphens w:val="0"/>
        <w:autoSpaceDN w:val="0"/>
        <w:adjustRightInd w:val="0"/>
        <w:spacing w:line="200" w:lineRule="atLeast"/>
        <w:jc w:val="both"/>
        <w:rPr>
          <w:rFonts w:eastAsia="Times New Roman" w:cs="Times New Roman"/>
          <w:lang w:eastAsia="en-US" w:bidi="ar-SA"/>
        </w:rPr>
      </w:pPr>
    </w:p>
    <w:p w:rsidR="00313950" w:rsidRPr="003D5986" w:rsidRDefault="00313950" w:rsidP="00313950">
      <w:pPr>
        <w:pStyle w:val="Odsekzoznamu"/>
        <w:numPr>
          <w:ilvl w:val="0"/>
          <w:numId w:val="1"/>
        </w:numPr>
        <w:suppressAutoHyphens w:val="0"/>
        <w:autoSpaceDN w:val="0"/>
        <w:adjustRightInd w:val="0"/>
        <w:spacing w:line="200" w:lineRule="atLeast"/>
        <w:ind w:hanging="720"/>
        <w:jc w:val="both"/>
        <w:rPr>
          <w:rFonts w:eastAsia="Times New Roman" w:cs="Times New Roman"/>
          <w:lang w:eastAsia="en-US" w:bidi="ar-SA"/>
        </w:rPr>
      </w:pPr>
      <w:r w:rsidRPr="003D5986">
        <w:rPr>
          <w:rFonts w:eastAsia="Times New Roman" w:cs="Times New Roman"/>
          <w:lang w:eastAsia="en-US" w:bidi="ar-SA"/>
        </w:rPr>
        <w:t>je upravená v sekundárnom práve Európskej únie,</w:t>
      </w:r>
    </w:p>
    <w:p w:rsidR="00313950" w:rsidRDefault="00313950" w:rsidP="00313950">
      <w:pPr>
        <w:suppressAutoHyphens w:val="0"/>
        <w:autoSpaceDN w:val="0"/>
        <w:adjustRightInd w:val="0"/>
        <w:spacing w:line="200" w:lineRule="atLeast"/>
        <w:jc w:val="both"/>
        <w:rPr>
          <w:rFonts w:eastAsia="Times New Roman" w:cs="Times New Roman"/>
          <w:highlight w:val="green"/>
          <w:lang w:eastAsia="en-US" w:bidi="ar-SA"/>
        </w:rPr>
      </w:pPr>
    </w:p>
    <w:p w:rsidR="00313950" w:rsidRDefault="00313950" w:rsidP="00313950">
      <w:pPr>
        <w:suppressAutoHyphens w:val="0"/>
        <w:autoSpaceDN w:val="0"/>
        <w:adjustRightInd w:val="0"/>
        <w:spacing w:line="200" w:lineRule="atLeast"/>
        <w:jc w:val="both"/>
        <w:rPr>
          <w:rFonts w:eastAsia="Times New Roman" w:cs="Times New Roman"/>
          <w:i/>
          <w:lang w:eastAsia="en-US" w:bidi="ar-SA"/>
        </w:rPr>
      </w:pPr>
      <w:r w:rsidRPr="00192930">
        <w:rPr>
          <w:rFonts w:eastAsia="Times New Roman" w:cs="Times New Roman"/>
          <w:i/>
          <w:lang w:eastAsia="en-US" w:bidi="ar-SA"/>
        </w:rPr>
        <w:t>- prijatom po nadobudnutím platnosti Lisabonskej zmluvy, ktorou sa mení a dopĺňa Zmluva o Európskom spoločenstve a Zmluva o Európskej únii - do 30. novembra 2009)</w:t>
      </w:r>
    </w:p>
    <w:p w:rsidR="00313950" w:rsidRDefault="00313950" w:rsidP="00313950">
      <w:pPr>
        <w:suppressAutoHyphens w:val="0"/>
        <w:autoSpaceDN w:val="0"/>
        <w:adjustRightInd w:val="0"/>
        <w:spacing w:line="200" w:lineRule="atLeast"/>
        <w:jc w:val="both"/>
        <w:rPr>
          <w:rFonts w:eastAsia="Times New Roman" w:cs="Times New Roman"/>
          <w:i/>
          <w:lang w:eastAsia="en-US" w:bidi="ar-SA"/>
        </w:rPr>
      </w:pPr>
    </w:p>
    <w:p w:rsidR="00313950" w:rsidRDefault="00313950" w:rsidP="00313950">
      <w:pPr>
        <w:suppressAutoHyphens w:val="0"/>
        <w:autoSpaceDN w:val="0"/>
        <w:adjustRightInd w:val="0"/>
        <w:spacing w:line="200" w:lineRule="atLeast"/>
        <w:jc w:val="both"/>
        <w:rPr>
          <w:rFonts w:eastAsia="Times New Roman" w:cs="Times New Roman"/>
          <w:lang w:eastAsia="en-US" w:bidi="ar-SA"/>
        </w:rPr>
      </w:pPr>
      <w:r>
        <w:rPr>
          <w:rFonts w:eastAsia="Times New Roman" w:cs="Times New Roman"/>
          <w:lang w:eastAsia="en-US" w:bidi="ar-SA"/>
        </w:rPr>
        <w:t>1. legislatívne akty</w:t>
      </w:r>
    </w:p>
    <w:p w:rsidR="00313950" w:rsidRDefault="00313950" w:rsidP="00313950">
      <w:pPr>
        <w:suppressAutoHyphens w:val="0"/>
        <w:autoSpaceDN w:val="0"/>
        <w:adjustRightInd w:val="0"/>
        <w:spacing w:line="200" w:lineRule="atLeast"/>
        <w:jc w:val="both"/>
        <w:rPr>
          <w:rFonts w:eastAsia="Times New Roman" w:cs="Times New Roman"/>
          <w:lang w:eastAsia="en-US" w:bidi="ar-SA"/>
        </w:rPr>
      </w:pPr>
    </w:p>
    <w:p w:rsidR="00313950" w:rsidRDefault="00313950" w:rsidP="00313950">
      <w:pPr>
        <w:suppressAutoHyphens w:val="0"/>
        <w:autoSpaceDN w:val="0"/>
        <w:adjustRightInd w:val="0"/>
        <w:spacing w:line="200" w:lineRule="atLeast"/>
        <w:jc w:val="both"/>
        <w:rPr>
          <w:rFonts w:eastAsia="Times New Roman" w:cs="Times New Roman"/>
          <w:lang w:eastAsia="en-US" w:bidi="ar-SA"/>
        </w:rPr>
      </w:pPr>
      <w:r>
        <w:rPr>
          <w:rFonts w:eastAsia="Times New Roman" w:cs="Times New Roman"/>
          <w:lang w:eastAsia="en-US" w:bidi="ar-SA"/>
        </w:rPr>
        <w:t>2. nelegislatívne akty</w:t>
      </w:r>
    </w:p>
    <w:p w:rsidR="00313950" w:rsidRDefault="00313950" w:rsidP="00313950">
      <w:pPr>
        <w:suppressAutoHyphens w:val="0"/>
        <w:autoSpaceDN w:val="0"/>
        <w:adjustRightInd w:val="0"/>
        <w:spacing w:line="200" w:lineRule="atLeast"/>
        <w:jc w:val="both"/>
        <w:rPr>
          <w:rFonts w:eastAsia="Times New Roman" w:cs="Times New Roman"/>
          <w:lang w:eastAsia="en-US" w:bidi="ar-SA"/>
        </w:rPr>
      </w:pPr>
    </w:p>
    <w:p w:rsidR="00313950" w:rsidRDefault="00313950" w:rsidP="00313950">
      <w:pPr>
        <w:suppressAutoHyphens w:val="0"/>
        <w:autoSpaceDN w:val="0"/>
        <w:adjustRightInd w:val="0"/>
        <w:spacing w:line="200" w:lineRule="atLeast"/>
        <w:jc w:val="both"/>
        <w:rPr>
          <w:rFonts w:eastAsia="Times New Roman" w:cs="Times New Roman"/>
          <w:i/>
          <w:lang w:eastAsia="en-US" w:bidi="ar-SA"/>
        </w:rPr>
      </w:pPr>
      <w:r w:rsidRPr="009E118E">
        <w:rPr>
          <w:rFonts w:eastAsia="Times New Roman" w:cs="Times New Roman"/>
          <w:i/>
          <w:lang w:eastAsia="en-US" w:bidi="ar-SA"/>
        </w:rPr>
        <w:t>- sekundárnom (prijatom pred nadobudnutím platnosti Lisabonskej zmluvy, ktorou sa mení a dopĺňa Zmluva o Európskom spoločenstve a Zmluva o Európskej únii - do 30. novembra 2009)</w:t>
      </w:r>
    </w:p>
    <w:p w:rsidR="00313950" w:rsidRDefault="00313950" w:rsidP="00313950">
      <w:pPr>
        <w:suppressAutoHyphens w:val="0"/>
        <w:autoSpaceDN w:val="0"/>
        <w:adjustRightInd w:val="0"/>
        <w:spacing w:line="200" w:lineRule="atLeast"/>
        <w:jc w:val="both"/>
        <w:rPr>
          <w:rFonts w:eastAsia="Times New Roman" w:cs="Times New Roman"/>
          <w:i/>
          <w:lang w:eastAsia="en-US" w:bidi="ar-SA"/>
        </w:rPr>
      </w:pPr>
    </w:p>
    <w:p w:rsidR="00313950" w:rsidRDefault="00313950" w:rsidP="00313950">
      <w:pPr>
        <w:suppressAutoHyphens w:val="0"/>
        <w:autoSpaceDN w:val="0"/>
        <w:adjustRightInd w:val="0"/>
        <w:spacing w:line="200" w:lineRule="atLeast"/>
        <w:jc w:val="both"/>
        <w:rPr>
          <w:rFonts w:eastAsia="Times New Roman" w:cs="Times New Roman"/>
          <w:lang w:eastAsia="en-US" w:bidi="ar-SA"/>
        </w:rPr>
      </w:pPr>
      <w:r>
        <w:rPr>
          <w:rFonts w:eastAsia="Times New Roman" w:cs="Times New Roman"/>
          <w:lang w:eastAsia="en-US" w:bidi="ar-SA"/>
        </w:rPr>
        <w:t>Smernica Rady 2004/113/ES z 13. decembra 2004 (Ú. v. EÚ L 373, 21.12.2004) o vykonávaní zásady rovnakého zaobchádzania medzi mužmi a ženami v prístupe k tovaru a službám a k ich poskytovaniu</w:t>
      </w:r>
    </w:p>
    <w:p w:rsidR="00313950" w:rsidRDefault="00313950" w:rsidP="00313950">
      <w:pPr>
        <w:suppressAutoHyphens w:val="0"/>
        <w:autoSpaceDN w:val="0"/>
        <w:adjustRightInd w:val="0"/>
        <w:spacing w:line="200" w:lineRule="atLeast"/>
        <w:jc w:val="both"/>
        <w:rPr>
          <w:rFonts w:eastAsia="Times New Roman" w:cs="Times New Roman"/>
          <w:lang w:eastAsia="en-US" w:bidi="ar-SA"/>
        </w:rPr>
      </w:pPr>
    </w:p>
    <w:p w:rsidR="00313950" w:rsidRDefault="00313950" w:rsidP="00313950">
      <w:pPr>
        <w:suppressAutoHyphens w:val="0"/>
        <w:autoSpaceDN w:val="0"/>
        <w:adjustRightInd w:val="0"/>
        <w:spacing w:line="200" w:lineRule="atLeast"/>
        <w:jc w:val="both"/>
        <w:rPr>
          <w:rFonts w:eastAsia="Times New Roman" w:cs="Times New Roman"/>
          <w:lang w:eastAsia="en-US" w:bidi="ar-SA"/>
        </w:rPr>
      </w:pPr>
      <w:r>
        <w:rPr>
          <w:rFonts w:eastAsia="Times New Roman" w:cs="Times New Roman"/>
          <w:lang w:eastAsia="en-US" w:bidi="ar-SA"/>
        </w:rPr>
        <w:t xml:space="preserve">Smernica Rady 2000/43/ES z 29. júna 2000 (Ú. v. ES L 180, 19.7.2000) ktorou sa </w:t>
      </w:r>
      <w:proofErr w:type="spellStart"/>
      <w:r>
        <w:rPr>
          <w:rFonts w:eastAsia="Times New Roman" w:cs="Times New Roman"/>
          <w:lang w:eastAsia="en-US" w:bidi="ar-SA"/>
        </w:rPr>
        <w:t>závadza</w:t>
      </w:r>
      <w:proofErr w:type="spellEnd"/>
      <w:r>
        <w:rPr>
          <w:rFonts w:eastAsia="Times New Roman" w:cs="Times New Roman"/>
          <w:lang w:eastAsia="en-US" w:bidi="ar-SA"/>
        </w:rPr>
        <w:t xml:space="preserve"> zásada rovnakého zaobchádzania s osobami bez ohľadu na rasový alebo etnický pôvod</w:t>
      </w:r>
    </w:p>
    <w:p w:rsidR="00313950" w:rsidRDefault="00313950" w:rsidP="00313950">
      <w:pPr>
        <w:suppressAutoHyphens w:val="0"/>
        <w:autoSpaceDN w:val="0"/>
        <w:adjustRightInd w:val="0"/>
        <w:spacing w:line="200" w:lineRule="atLeast"/>
        <w:jc w:val="both"/>
        <w:rPr>
          <w:rFonts w:eastAsia="Times New Roman" w:cs="Times New Roman"/>
          <w:lang w:eastAsia="en-US" w:bidi="ar-SA"/>
        </w:rPr>
      </w:pPr>
    </w:p>
    <w:p w:rsidR="00313950" w:rsidRDefault="00313950" w:rsidP="00313950">
      <w:pPr>
        <w:suppressAutoHyphens w:val="0"/>
        <w:autoSpaceDN w:val="0"/>
        <w:adjustRightInd w:val="0"/>
        <w:spacing w:line="200" w:lineRule="atLeast"/>
        <w:jc w:val="both"/>
        <w:rPr>
          <w:rFonts w:eastAsia="Times New Roman" w:cs="Times New Roman"/>
          <w:lang w:eastAsia="en-US" w:bidi="ar-SA"/>
        </w:rPr>
      </w:pPr>
      <w:r>
        <w:rPr>
          <w:rFonts w:eastAsia="Times New Roman" w:cs="Times New Roman"/>
          <w:lang w:eastAsia="en-US" w:bidi="ar-SA"/>
        </w:rPr>
        <w:t>Smernica Rady 2000/78/ES z 27. novembra 2000 (Ú. v. ES L 303, 2.12.2000) ktorá ustanovuje všeobecný rámec pre rovnaké zaobchádzanie v zamestnaní a povolaní</w:t>
      </w:r>
    </w:p>
    <w:p w:rsidR="00313950" w:rsidRDefault="00313950" w:rsidP="00313950">
      <w:pPr>
        <w:suppressAutoHyphens w:val="0"/>
        <w:autoSpaceDN w:val="0"/>
        <w:adjustRightInd w:val="0"/>
        <w:spacing w:line="200" w:lineRule="atLeast"/>
        <w:jc w:val="both"/>
        <w:rPr>
          <w:rFonts w:eastAsia="Times New Roman" w:cs="Times New Roman"/>
          <w:lang w:eastAsia="en-US" w:bidi="ar-SA"/>
        </w:rPr>
      </w:pPr>
    </w:p>
    <w:p w:rsidR="00313950" w:rsidRPr="00FC50B4" w:rsidRDefault="00313950" w:rsidP="00313950">
      <w:pPr>
        <w:suppressAutoHyphens w:val="0"/>
        <w:autoSpaceDN w:val="0"/>
        <w:adjustRightInd w:val="0"/>
        <w:spacing w:line="200" w:lineRule="atLeast"/>
        <w:jc w:val="both"/>
        <w:rPr>
          <w:rFonts w:eastAsia="Times New Roman" w:cs="Times New Roman"/>
          <w:lang w:eastAsia="en-US" w:bidi="ar-SA"/>
        </w:rPr>
      </w:pPr>
      <w:r>
        <w:rPr>
          <w:rFonts w:eastAsia="Times New Roman" w:cs="Times New Roman"/>
          <w:lang w:eastAsia="en-US" w:bidi="ar-SA"/>
        </w:rPr>
        <w:t xml:space="preserve">Smernica Európskeho parlamentu a Rady 2006/54/ES z 5. júla 2006 (Ú. v. EÚ L 204, 26.7.2006) o vykonávaní zásady rovnosti príležitostí a rovnakého zaobchádzania s mužmi a ženami vo veciach zamestnanosti a povolania, a </w:t>
      </w:r>
    </w:p>
    <w:p w:rsidR="00313950" w:rsidRPr="00604D18" w:rsidRDefault="00313950" w:rsidP="00313950">
      <w:pPr>
        <w:suppressAutoHyphens w:val="0"/>
        <w:autoSpaceDN w:val="0"/>
        <w:adjustRightInd w:val="0"/>
        <w:spacing w:line="200" w:lineRule="atLeast"/>
        <w:jc w:val="both"/>
        <w:rPr>
          <w:rFonts w:eastAsia="Times New Roman" w:cs="Times New Roman"/>
          <w:highlight w:val="green"/>
          <w:lang w:eastAsia="en-US" w:bidi="ar-SA"/>
        </w:rPr>
      </w:pPr>
    </w:p>
    <w:p w:rsidR="00313950" w:rsidRPr="00267846" w:rsidRDefault="00313950" w:rsidP="00313950">
      <w:pPr>
        <w:pStyle w:val="Odsekzoznamu"/>
        <w:numPr>
          <w:ilvl w:val="0"/>
          <w:numId w:val="1"/>
        </w:numPr>
        <w:suppressAutoHyphens w:val="0"/>
        <w:autoSpaceDN w:val="0"/>
        <w:adjustRightInd w:val="0"/>
        <w:spacing w:line="200" w:lineRule="atLeast"/>
        <w:ind w:hanging="720"/>
        <w:jc w:val="both"/>
        <w:rPr>
          <w:rFonts w:eastAsia="Times New Roman" w:cs="Times New Roman"/>
          <w:lang w:eastAsia="en-US" w:bidi="ar-SA"/>
        </w:rPr>
      </w:pPr>
      <w:r w:rsidRPr="00267846">
        <w:t xml:space="preserve">je obsiahnutá v judikatúre Súdneho dvora Európskej únie, napríklad rozsudok vo veci </w:t>
      </w:r>
      <w:proofErr w:type="spellStart"/>
      <w:r w:rsidRPr="00267846">
        <w:t>Defrenne</w:t>
      </w:r>
      <w:proofErr w:type="spellEnd"/>
      <w:r w:rsidRPr="00267846">
        <w:t xml:space="preserve"> v. </w:t>
      </w:r>
      <w:proofErr w:type="spellStart"/>
      <w:r w:rsidRPr="00267846">
        <w:t>Sabena</w:t>
      </w:r>
      <w:proofErr w:type="spellEnd"/>
      <w:r w:rsidRPr="00267846">
        <w:t xml:space="preserve"> č. 2 (43/75), </w:t>
      </w:r>
      <w:proofErr w:type="spellStart"/>
      <w:r w:rsidRPr="00267846">
        <w:t>Marshal</w:t>
      </w:r>
      <w:proofErr w:type="spellEnd"/>
      <w:r w:rsidRPr="00267846">
        <w:t xml:space="preserve"> č. 1 (152/84) alebo </w:t>
      </w:r>
      <w:proofErr w:type="spellStart"/>
      <w:r w:rsidRPr="00267846">
        <w:t>Danfoss</w:t>
      </w:r>
      <w:proofErr w:type="spellEnd"/>
      <w:r w:rsidRPr="00267846">
        <w:t xml:space="preserve"> (109/88), </w:t>
      </w:r>
      <w:proofErr w:type="spellStart"/>
      <w:r w:rsidRPr="00267846">
        <w:t>Cadman</w:t>
      </w:r>
      <w:proofErr w:type="spellEnd"/>
      <w:r w:rsidRPr="00267846">
        <w:t xml:space="preserve"> (C-17/05) alebo </w:t>
      </w:r>
      <w:proofErr w:type="spellStart"/>
      <w:r w:rsidRPr="00267846">
        <w:t>Mangold</w:t>
      </w:r>
      <w:proofErr w:type="spellEnd"/>
      <w:r w:rsidRPr="00267846">
        <w:t xml:space="preserve"> (C-144/04).</w:t>
      </w:r>
    </w:p>
    <w:p w:rsidR="00313950" w:rsidRPr="00604D18" w:rsidRDefault="00313950" w:rsidP="00313950">
      <w:pPr>
        <w:suppressAutoHyphens w:val="0"/>
        <w:autoSpaceDN w:val="0"/>
        <w:adjustRightInd w:val="0"/>
        <w:spacing w:line="200" w:lineRule="atLeast"/>
        <w:jc w:val="both"/>
        <w:rPr>
          <w:rFonts w:eastAsia="Times New Roman" w:cs="Times New Roman"/>
          <w:highlight w:val="green"/>
          <w:lang w:eastAsia="en-US" w:bidi="ar-SA"/>
        </w:rPr>
      </w:pPr>
    </w:p>
    <w:p w:rsidR="00313950" w:rsidRPr="00FD6384" w:rsidRDefault="00313950" w:rsidP="00313950">
      <w:pPr>
        <w:jc w:val="both"/>
        <w:rPr>
          <w:b/>
        </w:rPr>
      </w:pPr>
      <w:r w:rsidRPr="00FD6384">
        <w:rPr>
          <w:b/>
        </w:rPr>
        <w:t>4. Záväzky Slovenskej republiky vo vzťahu k Európskej únii:</w:t>
      </w:r>
    </w:p>
    <w:p w:rsidR="00313950" w:rsidRPr="00FD6384" w:rsidRDefault="00313950" w:rsidP="00313950">
      <w:pPr>
        <w:jc w:val="both"/>
      </w:pPr>
    </w:p>
    <w:p w:rsidR="00D350E0" w:rsidRDefault="00313950" w:rsidP="00F54441">
      <w:pPr>
        <w:pStyle w:val="Odsekzoznamu"/>
        <w:numPr>
          <w:ilvl w:val="0"/>
          <w:numId w:val="2"/>
        </w:numPr>
        <w:ind w:hanging="720"/>
        <w:jc w:val="both"/>
      </w:pPr>
      <w:r>
        <w:t>lehota na prebratie smernice alebo lehota na implementáciu nariadenia alebo rozhodnutia</w:t>
      </w:r>
    </w:p>
    <w:p w:rsidR="00313950" w:rsidRDefault="00D350E0" w:rsidP="00947158">
      <w:pPr>
        <w:pStyle w:val="Odsekzoznamu"/>
        <w:jc w:val="both"/>
      </w:pPr>
      <w:r>
        <w:t>Bezpredmetné</w:t>
      </w:r>
    </w:p>
    <w:p w:rsidR="00313950" w:rsidRDefault="00313950" w:rsidP="00313950">
      <w:pPr>
        <w:jc w:val="both"/>
      </w:pPr>
    </w:p>
    <w:p w:rsidR="00D350E0" w:rsidRDefault="00313950" w:rsidP="00313950">
      <w:pPr>
        <w:pStyle w:val="Odsekzoznamu"/>
        <w:numPr>
          <w:ilvl w:val="0"/>
          <w:numId w:val="2"/>
        </w:numPr>
        <w:ind w:hanging="720"/>
        <w:jc w:val="both"/>
      </w:pPr>
      <w: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313950" w:rsidRDefault="00D350E0" w:rsidP="00947158">
      <w:pPr>
        <w:pStyle w:val="Odsekzoznamu"/>
        <w:jc w:val="both"/>
      </w:pPr>
      <w:r>
        <w:t>Bezpredmetné</w:t>
      </w:r>
      <w:r w:rsidR="00313950">
        <w:t xml:space="preserve">, </w:t>
      </w:r>
    </w:p>
    <w:p w:rsidR="00313950" w:rsidRDefault="00313950" w:rsidP="00313950">
      <w:pPr>
        <w:jc w:val="both"/>
      </w:pPr>
    </w:p>
    <w:p w:rsidR="00313950" w:rsidRDefault="00D350E0" w:rsidP="00313950">
      <w:pPr>
        <w:pStyle w:val="Odsekzoznamu"/>
        <w:numPr>
          <w:ilvl w:val="0"/>
          <w:numId w:val="2"/>
        </w:numPr>
        <w:ind w:hanging="720"/>
        <w:jc w:val="both"/>
      </w:pPr>
      <w:r>
        <w:t xml:space="preserve">nebolo začaté konanie </w:t>
      </w:r>
      <w:r w:rsidR="00313950">
        <w:t>proti Slovenskej republike podľa čl. 258 až 260 Zmluvy o fungovaní Európskej únie,</w:t>
      </w:r>
    </w:p>
    <w:p w:rsidR="00313950" w:rsidRDefault="00313950" w:rsidP="00313950">
      <w:pPr>
        <w:jc w:val="both"/>
      </w:pPr>
    </w:p>
    <w:p w:rsidR="00313950" w:rsidRDefault="00313950" w:rsidP="00313950">
      <w:pPr>
        <w:pStyle w:val="Odsekzoznamu"/>
        <w:numPr>
          <w:ilvl w:val="0"/>
          <w:numId w:val="2"/>
        </w:numPr>
        <w:ind w:hanging="720"/>
        <w:jc w:val="both"/>
      </w:pPr>
      <w:r>
        <w:t>informácia o právnych predpisoch, v ktorých sú preberané smernice už prebraté spolu s uvedením rozsahu tohto prebratia,</w:t>
      </w:r>
    </w:p>
    <w:p w:rsidR="00313950" w:rsidRDefault="00313950" w:rsidP="00313950">
      <w:pPr>
        <w:jc w:val="both"/>
      </w:pPr>
    </w:p>
    <w:p w:rsidR="00313950" w:rsidRDefault="00313950" w:rsidP="00313950">
      <w:pPr>
        <w:jc w:val="both"/>
      </w:pPr>
      <w:r>
        <w:t>Zákon, ktorým sa mení a dopĺňa zákon č. 365/2004 Z. z. o rovnakom zaobchádzaní v niektorých oblastiach a o ochrane pred diskrimináciou a o zmene a doplnení niektorých zákonov (antidiskriminačný zákon) v znení neskorších predpisov,</w:t>
      </w:r>
    </w:p>
    <w:p w:rsidR="00313950" w:rsidRDefault="00313950" w:rsidP="00313950">
      <w:pPr>
        <w:jc w:val="both"/>
      </w:pPr>
    </w:p>
    <w:p w:rsidR="00313950" w:rsidRDefault="00313950" w:rsidP="00313950">
      <w:pPr>
        <w:jc w:val="both"/>
      </w:pPr>
      <w:r>
        <w:t xml:space="preserve">Zákon č. 8/2008 Z. z. o poisťovníctve a o zmene a doplnení niektorých zákonov v znení neskorších predpisov. </w:t>
      </w:r>
    </w:p>
    <w:p w:rsidR="00313950" w:rsidRPr="00FD6384" w:rsidRDefault="00313950" w:rsidP="00313950">
      <w:pPr>
        <w:jc w:val="both"/>
      </w:pPr>
    </w:p>
    <w:p w:rsidR="00313950" w:rsidRPr="00FD6384" w:rsidRDefault="00313950" w:rsidP="00313950">
      <w:pPr>
        <w:jc w:val="both"/>
        <w:rPr>
          <w:b/>
        </w:rPr>
      </w:pPr>
      <w:r w:rsidRPr="00FD6384">
        <w:rPr>
          <w:b/>
        </w:rPr>
        <w:t>5. Stupeň zlučiteľnosti návrhu právneho predpisu s právom Európskej únie:</w:t>
      </w:r>
    </w:p>
    <w:p w:rsidR="00313950" w:rsidRPr="00FD6384" w:rsidRDefault="00313950" w:rsidP="00313950">
      <w:pPr>
        <w:jc w:val="both"/>
      </w:pPr>
    </w:p>
    <w:p w:rsidR="002F1B97" w:rsidRDefault="00313950" w:rsidP="00313950">
      <w:r w:rsidRPr="00FD6384">
        <w:t>Stupeň zlučiteľnosti - úplný</w:t>
      </w:r>
    </w:p>
    <w:sectPr w:rsidR="002F1B9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79B5E" w16cex:dateUtc="2021-08-30T16:01:00Z"/>
  <w16cex:commentExtensible w16cex:durableId="24D79B77" w16cex:dateUtc="2021-08-30T16:01:00Z"/>
  <w16cex:commentExtensible w16cex:durableId="24D79C4F" w16cex:dateUtc="2021-08-30T16:05:00Z"/>
  <w16cex:commentExtensible w16cex:durableId="24D79C64" w16cex:dateUtc="2021-08-30T16:05:00Z"/>
  <w16cex:commentExtensible w16cex:durableId="24D79C89" w16cex:dateUtc="2021-08-30T16:06: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E2C29"/>
    <w:multiLevelType w:val="hybridMultilevel"/>
    <w:tmpl w:val="C55001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02328B"/>
    <w:multiLevelType w:val="hybridMultilevel"/>
    <w:tmpl w:val="94D05A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C16"/>
    <w:rsid w:val="002F1B97"/>
    <w:rsid w:val="00313950"/>
    <w:rsid w:val="003D6C16"/>
    <w:rsid w:val="00425E30"/>
    <w:rsid w:val="008C10AA"/>
    <w:rsid w:val="008D42AA"/>
    <w:rsid w:val="00947158"/>
    <w:rsid w:val="00D350E0"/>
    <w:rsid w:val="00F544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44F2E"/>
  <w15:chartTrackingRefBased/>
  <w15:docId w15:val="{9E05F8CE-4B67-44FD-B8D8-EFCC01FF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13950"/>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aliases w:val="webb"/>
    <w:basedOn w:val="Normlny"/>
    <w:uiPriority w:val="99"/>
    <w:unhideWhenUsed/>
    <w:rsid w:val="00313950"/>
    <w:pPr>
      <w:widowControl/>
      <w:suppressAutoHyphens w:val="0"/>
      <w:spacing w:before="100" w:beforeAutospacing="1" w:after="100" w:afterAutospacing="1"/>
    </w:pPr>
    <w:rPr>
      <w:rFonts w:eastAsia="Times New Roman" w:cs="Times New Roman"/>
      <w:kern w:val="0"/>
      <w:lang w:eastAsia="sk-SK" w:bidi="ar-SA"/>
    </w:rPr>
  </w:style>
  <w:style w:type="paragraph" w:customStyle="1" w:styleId="Vchodzie">
    <w:name w:val="Vchodzie"/>
    <w:rsid w:val="00313950"/>
    <w:pPr>
      <w:widowControl w:val="0"/>
      <w:autoSpaceDN w:val="0"/>
      <w:adjustRightInd w:val="0"/>
      <w:spacing w:after="200" w:line="276" w:lineRule="auto"/>
    </w:pPr>
    <w:rPr>
      <w:rFonts w:ascii="Calibri" w:eastAsiaTheme="minorEastAsia" w:hAnsi="Calibri" w:cs="Calibri"/>
      <w:kern w:val="1"/>
      <w:lang w:val="en-US"/>
    </w:rPr>
  </w:style>
  <w:style w:type="paragraph" w:styleId="Odsekzoznamu">
    <w:name w:val="List Paragraph"/>
    <w:basedOn w:val="Normlny"/>
    <w:uiPriority w:val="34"/>
    <w:qFormat/>
    <w:rsid w:val="00313950"/>
    <w:pPr>
      <w:ind w:left="720"/>
      <w:contextualSpacing/>
    </w:pPr>
    <w:rPr>
      <w:szCs w:val="21"/>
    </w:rPr>
  </w:style>
  <w:style w:type="character" w:styleId="Odkaznakomentr">
    <w:name w:val="annotation reference"/>
    <w:basedOn w:val="Predvolenpsmoodseku"/>
    <w:uiPriority w:val="99"/>
    <w:semiHidden/>
    <w:unhideWhenUsed/>
    <w:rsid w:val="00425E30"/>
    <w:rPr>
      <w:sz w:val="16"/>
      <w:szCs w:val="16"/>
    </w:rPr>
  </w:style>
  <w:style w:type="paragraph" w:styleId="Textkomentra">
    <w:name w:val="annotation text"/>
    <w:basedOn w:val="Normlny"/>
    <w:link w:val="TextkomentraChar"/>
    <w:uiPriority w:val="99"/>
    <w:semiHidden/>
    <w:unhideWhenUsed/>
    <w:rsid w:val="00425E30"/>
    <w:rPr>
      <w:sz w:val="20"/>
      <w:szCs w:val="18"/>
    </w:rPr>
  </w:style>
  <w:style w:type="character" w:customStyle="1" w:styleId="TextkomentraChar">
    <w:name w:val="Text komentára Char"/>
    <w:basedOn w:val="Predvolenpsmoodseku"/>
    <w:link w:val="Textkomentra"/>
    <w:uiPriority w:val="99"/>
    <w:semiHidden/>
    <w:rsid w:val="00425E30"/>
    <w:rPr>
      <w:rFonts w:ascii="Times New Roman" w:eastAsia="SimSun" w:hAnsi="Times New Roman" w:cs="Mangal"/>
      <w:kern w:val="1"/>
      <w:sz w:val="20"/>
      <w:szCs w:val="18"/>
      <w:lang w:eastAsia="hi-IN" w:bidi="hi-IN"/>
    </w:rPr>
  </w:style>
  <w:style w:type="paragraph" w:styleId="Predmetkomentra">
    <w:name w:val="annotation subject"/>
    <w:basedOn w:val="Textkomentra"/>
    <w:next w:val="Textkomentra"/>
    <w:link w:val="PredmetkomentraChar"/>
    <w:uiPriority w:val="99"/>
    <w:semiHidden/>
    <w:unhideWhenUsed/>
    <w:rsid w:val="00425E30"/>
    <w:rPr>
      <w:b/>
      <w:bCs/>
    </w:rPr>
  </w:style>
  <w:style w:type="character" w:customStyle="1" w:styleId="PredmetkomentraChar">
    <w:name w:val="Predmet komentára Char"/>
    <w:basedOn w:val="TextkomentraChar"/>
    <w:link w:val="Predmetkomentra"/>
    <w:uiPriority w:val="99"/>
    <w:semiHidden/>
    <w:rsid w:val="00425E30"/>
    <w:rPr>
      <w:rFonts w:ascii="Times New Roman" w:eastAsia="SimSun" w:hAnsi="Times New Roman" w:cs="Mangal"/>
      <w:b/>
      <w:bCs/>
      <w:kern w:val="1"/>
      <w:sz w:val="20"/>
      <w:szCs w:val="18"/>
      <w:lang w:eastAsia="hi-IN" w:bidi="hi-IN"/>
    </w:rPr>
  </w:style>
  <w:style w:type="paragraph" w:styleId="Textbubliny">
    <w:name w:val="Balloon Text"/>
    <w:basedOn w:val="Normlny"/>
    <w:link w:val="TextbublinyChar"/>
    <w:uiPriority w:val="99"/>
    <w:semiHidden/>
    <w:unhideWhenUsed/>
    <w:rsid w:val="00425E30"/>
    <w:rPr>
      <w:rFonts w:ascii="Segoe UI" w:hAnsi="Segoe UI"/>
      <w:sz w:val="18"/>
      <w:szCs w:val="16"/>
    </w:rPr>
  </w:style>
  <w:style w:type="character" w:customStyle="1" w:styleId="TextbublinyChar">
    <w:name w:val="Text bubliny Char"/>
    <w:basedOn w:val="Predvolenpsmoodseku"/>
    <w:link w:val="Textbubliny"/>
    <w:uiPriority w:val="99"/>
    <w:semiHidden/>
    <w:rsid w:val="00425E30"/>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761</Words>
  <Characters>4338</Characters>
  <Application>Microsoft Office Word</Application>
  <DocSecurity>0</DocSecurity>
  <Lines>36</Lines>
  <Paragraphs>10</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Petrík, Simona (asistent)</dc:creator>
  <cp:keywords/>
  <dc:description/>
  <cp:lastModifiedBy>Valášek, Tomáš</cp:lastModifiedBy>
  <cp:revision>2</cp:revision>
  <dcterms:created xsi:type="dcterms:W3CDTF">2021-08-31T11:31:00Z</dcterms:created>
  <dcterms:modified xsi:type="dcterms:W3CDTF">2021-08-31T11:31:00Z</dcterms:modified>
</cp:coreProperties>
</file>