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21" w:rsidRPr="0087527F" w:rsidRDefault="00B15465" w:rsidP="00F55A21">
      <w:pPr>
        <w:widowControl/>
        <w:rPr>
          <w:sz w:val="24"/>
          <w:szCs w:val="24"/>
        </w:rPr>
      </w:pPr>
      <w:r w:rsidRPr="0087527F">
        <w:rPr>
          <w:sz w:val="24"/>
          <w:szCs w:val="24"/>
        </w:rPr>
        <w:t>Dôvodová správa</w:t>
      </w:r>
    </w:p>
    <w:p w:rsidR="00F55A21" w:rsidRPr="0087527F" w:rsidRDefault="00F55A21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rPr>
          <w:sz w:val="24"/>
          <w:szCs w:val="24"/>
        </w:rPr>
      </w:pPr>
    </w:p>
    <w:p w:rsidR="00F55A21" w:rsidRPr="0087527F" w:rsidRDefault="00F55A21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sz w:val="24"/>
          <w:szCs w:val="24"/>
        </w:rPr>
      </w:pPr>
    </w:p>
    <w:p w:rsidR="00F55A21" w:rsidRPr="0087527F" w:rsidRDefault="00B15465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caps w:val="0"/>
          <w:sz w:val="24"/>
          <w:szCs w:val="24"/>
        </w:rPr>
      </w:pPr>
      <w:r w:rsidRPr="0087527F">
        <w:rPr>
          <w:sz w:val="24"/>
          <w:szCs w:val="24"/>
        </w:rPr>
        <w:t>V</w:t>
      </w:r>
      <w:r w:rsidRPr="0087527F">
        <w:rPr>
          <w:caps w:val="0"/>
          <w:sz w:val="24"/>
          <w:szCs w:val="24"/>
        </w:rPr>
        <w:t>šeobecná časť</w:t>
      </w:r>
    </w:p>
    <w:p w:rsidR="00F61EA0" w:rsidRDefault="00F61EA0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</w:p>
    <w:p w:rsidR="004721C6" w:rsidRPr="0087527F" w:rsidRDefault="00D63394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ab/>
      </w:r>
      <w:r w:rsidR="00503AE1" w:rsidRPr="0087527F">
        <w:rPr>
          <w:b w:val="0"/>
          <w:caps w:val="0"/>
          <w:sz w:val="24"/>
          <w:szCs w:val="24"/>
        </w:rPr>
        <w:t>Z</w:t>
      </w:r>
      <w:r w:rsidR="00AF3273">
        <w:rPr>
          <w:b w:val="0"/>
          <w:caps w:val="0"/>
          <w:sz w:val="24"/>
          <w:szCs w:val="24"/>
        </w:rPr>
        <w:t>ákonník práce bol novelizovaný tak, že</w:t>
      </w:r>
      <w:r w:rsidR="00B15465" w:rsidRPr="0087527F">
        <w:rPr>
          <w:b w:val="0"/>
          <w:caps w:val="0"/>
          <w:sz w:val="24"/>
          <w:szCs w:val="24"/>
        </w:rPr>
        <w:t xml:space="preserve"> </w:t>
      </w:r>
      <w:r w:rsidR="00503AE1" w:rsidRPr="0087527F">
        <w:rPr>
          <w:b w:val="0"/>
          <w:caps w:val="0"/>
          <w:sz w:val="24"/>
          <w:szCs w:val="24"/>
        </w:rPr>
        <w:t>zamestnancovi nie je</w:t>
      </w:r>
      <w:r w:rsidR="00B15465" w:rsidRPr="0087527F">
        <w:rPr>
          <w:b w:val="0"/>
          <w:caps w:val="0"/>
          <w:sz w:val="24"/>
          <w:szCs w:val="24"/>
        </w:rPr>
        <w:t xml:space="preserve"> možné nariadiť</w:t>
      </w:r>
      <w:r w:rsidR="008709A8">
        <w:rPr>
          <w:b w:val="0"/>
          <w:caps w:val="0"/>
          <w:sz w:val="24"/>
          <w:szCs w:val="24"/>
        </w:rPr>
        <w:t>,</w:t>
      </w:r>
      <w:r w:rsidR="00B15465" w:rsidRPr="0087527F">
        <w:rPr>
          <w:b w:val="0"/>
          <w:caps w:val="0"/>
          <w:sz w:val="24"/>
          <w:szCs w:val="24"/>
        </w:rPr>
        <w:t xml:space="preserve"> </w:t>
      </w:r>
      <w:r w:rsidR="00F85539">
        <w:rPr>
          <w:b w:val="0"/>
          <w:caps w:val="0"/>
          <w:sz w:val="24"/>
          <w:szCs w:val="24"/>
        </w:rPr>
        <w:t xml:space="preserve">ani s ním dohodnúť </w:t>
      </w:r>
      <w:r w:rsidR="00B15465" w:rsidRPr="0087527F">
        <w:rPr>
          <w:b w:val="0"/>
          <w:caps w:val="0"/>
          <w:sz w:val="24"/>
          <w:szCs w:val="24"/>
        </w:rPr>
        <w:t>prácu</w:t>
      </w:r>
      <w:r w:rsidR="00F85539">
        <w:rPr>
          <w:b w:val="0"/>
          <w:caps w:val="0"/>
          <w:sz w:val="24"/>
          <w:szCs w:val="24"/>
        </w:rPr>
        <w:t xml:space="preserve">, </w:t>
      </w:r>
      <w:r w:rsidR="00F85539" w:rsidRPr="00F85539">
        <w:rPr>
          <w:b w:val="0"/>
          <w:caps w:val="0"/>
          <w:sz w:val="24"/>
          <w:szCs w:val="24"/>
        </w:rPr>
        <w:t>ktorou je predaj tovaru konečnému spotrebiteľovi vrátane s ním súvisiacich prác (ďalej len „maloobchodný predaj“)</w:t>
      </w:r>
      <w:r w:rsidR="00B15465" w:rsidRPr="0087527F">
        <w:rPr>
          <w:b w:val="0"/>
          <w:caps w:val="0"/>
          <w:sz w:val="24"/>
          <w:szCs w:val="24"/>
        </w:rPr>
        <w:t xml:space="preserve"> </w:t>
      </w:r>
      <w:r w:rsidR="00F85539">
        <w:rPr>
          <w:b w:val="0"/>
          <w:caps w:val="0"/>
          <w:sz w:val="24"/>
          <w:szCs w:val="24"/>
        </w:rPr>
        <w:t xml:space="preserve">v dňoch </w:t>
      </w:r>
      <w:r w:rsidR="00B15465" w:rsidRPr="0087527F">
        <w:rPr>
          <w:b w:val="0"/>
          <w:caps w:val="0"/>
          <w:sz w:val="24"/>
          <w:szCs w:val="24"/>
        </w:rPr>
        <w:t>1. január</w:t>
      </w:r>
      <w:r w:rsidR="00503AE1" w:rsidRPr="0087527F">
        <w:rPr>
          <w:b w:val="0"/>
          <w:caps w:val="0"/>
          <w:sz w:val="24"/>
          <w:szCs w:val="24"/>
        </w:rPr>
        <w:t>a</w:t>
      </w:r>
      <w:r w:rsidR="00B15465" w:rsidRPr="0087527F">
        <w:rPr>
          <w:b w:val="0"/>
          <w:caps w:val="0"/>
          <w:sz w:val="24"/>
          <w:szCs w:val="24"/>
        </w:rPr>
        <w:t xml:space="preserve">, </w:t>
      </w:r>
      <w:r w:rsidR="00F85539">
        <w:rPr>
          <w:b w:val="0"/>
          <w:caps w:val="0"/>
          <w:sz w:val="24"/>
          <w:szCs w:val="24"/>
        </w:rPr>
        <w:t>vo</w:t>
      </w:r>
      <w:r w:rsidR="00F85539" w:rsidRPr="0087527F">
        <w:rPr>
          <w:b w:val="0"/>
          <w:caps w:val="0"/>
          <w:sz w:val="24"/>
          <w:szCs w:val="24"/>
        </w:rPr>
        <w:t xml:space="preserve"> </w:t>
      </w:r>
      <w:r w:rsidR="00B15465" w:rsidRPr="0087527F">
        <w:rPr>
          <w:b w:val="0"/>
          <w:caps w:val="0"/>
          <w:sz w:val="24"/>
          <w:szCs w:val="24"/>
        </w:rPr>
        <w:t xml:space="preserve">Veľkonočnú nedeľu, 24. </w:t>
      </w:r>
      <w:r>
        <w:rPr>
          <w:b w:val="0"/>
          <w:caps w:val="0"/>
          <w:sz w:val="24"/>
          <w:szCs w:val="24"/>
        </w:rPr>
        <w:t>december po 12:00</w:t>
      </w:r>
      <w:r w:rsidR="00B15465" w:rsidRPr="0087527F">
        <w:rPr>
          <w:b w:val="0"/>
          <w:caps w:val="0"/>
          <w:sz w:val="24"/>
          <w:szCs w:val="24"/>
        </w:rPr>
        <w:t xml:space="preserve"> hodine a 25. decembra</w:t>
      </w:r>
      <w:r w:rsidR="00AF3273">
        <w:rPr>
          <w:b w:val="0"/>
          <w:caps w:val="0"/>
          <w:sz w:val="24"/>
          <w:szCs w:val="24"/>
        </w:rPr>
        <w:t xml:space="preserve"> ani v</w:t>
      </w:r>
      <w:r w:rsidR="00897AB3">
        <w:rPr>
          <w:b w:val="0"/>
          <w:caps w:val="0"/>
          <w:sz w:val="24"/>
          <w:szCs w:val="24"/>
        </w:rPr>
        <w:t> ostatné dni štátnych sviatkov a</w:t>
      </w:r>
      <w:r w:rsidR="00AF3273">
        <w:rPr>
          <w:b w:val="0"/>
          <w:caps w:val="0"/>
          <w:sz w:val="24"/>
          <w:szCs w:val="24"/>
        </w:rPr>
        <w:t xml:space="preserve"> v </w:t>
      </w:r>
      <w:r w:rsidR="00897AB3">
        <w:rPr>
          <w:b w:val="0"/>
          <w:caps w:val="0"/>
          <w:sz w:val="24"/>
          <w:szCs w:val="24"/>
        </w:rPr>
        <w:t>niektorých d</w:t>
      </w:r>
      <w:r w:rsidR="00AF3273">
        <w:rPr>
          <w:b w:val="0"/>
          <w:caps w:val="0"/>
          <w:sz w:val="24"/>
          <w:szCs w:val="24"/>
        </w:rPr>
        <w:t>ňoch</w:t>
      </w:r>
      <w:r w:rsidR="00897AB3">
        <w:rPr>
          <w:b w:val="0"/>
          <w:caps w:val="0"/>
          <w:sz w:val="24"/>
          <w:szCs w:val="24"/>
        </w:rPr>
        <w:t xml:space="preserve"> pracovného pokoja. </w:t>
      </w:r>
      <w:r w:rsidR="008701BF" w:rsidRPr="0087527F">
        <w:rPr>
          <w:b w:val="0"/>
          <w:caps w:val="0"/>
          <w:sz w:val="24"/>
          <w:szCs w:val="24"/>
        </w:rPr>
        <w:t>Uveden</w:t>
      </w:r>
      <w:r w:rsidR="00897AB3">
        <w:rPr>
          <w:b w:val="0"/>
          <w:caps w:val="0"/>
          <w:sz w:val="24"/>
          <w:szCs w:val="24"/>
        </w:rPr>
        <w:t>é</w:t>
      </w:r>
      <w:r w:rsidR="00B15465" w:rsidRPr="0087527F">
        <w:rPr>
          <w:b w:val="0"/>
          <w:caps w:val="0"/>
          <w:sz w:val="24"/>
          <w:szCs w:val="24"/>
        </w:rPr>
        <w:t xml:space="preserve"> zmen</w:t>
      </w:r>
      <w:r w:rsidR="00897AB3">
        <w:rPr>
          <w:b w:val="0"/>
          <w:caps w:val="0"/>
          <w:sz w:val="24"/>
          <w:szCs w:val="24"/>
        </w:rPr>
        <w:t>y</w:t>
      </w:r>
      <w:r w:rsidR="00B15465" w:rsidRPr="0087527F">
        <w:rPr>
          <w:b w:val="0"/>
          <w:caps w:val="0"/>
          <w:sz w:val="24"/>
          <w:szCs w:val="24"/>
        </w:rPr>
        <w:t xml:space="preserve"> verejnosť prijala pozitívne. V </w:t>
      </w:r>
      <w:r w:rsidR="00B15465" w:rsidRPr="0087527F">
        <w:rPr>
          <w:b w:val="0"/>
          <w:caps w:val="0"/>
          <w:sz w:val="24"/>
          <w:szCs w:val="24"/>
        </w:rPr>
        <w:t xml:space="preserve">čase </w:t>
      </w:r>
      <w:proofErr w:type="spellStart"/>
      <w:r w:rsidR="00AF3273">
        <w:rPr>
          <w:b w:val="0"/>
          <w:caps w:val="0"/>
          <w:sz w:val="24"/>
          <w:szCs w:val="24"/>
        </w:rPr>
        <w:t>pandemickej</w:t>
      </w:r>
      <w:proofErr w:type="spellEnd"/>
      <w:r w:rsidR="00AF3273">
        <w:rPr>
          <w:b w:val="0"/>
          <w:caps w:val="0"/>
          <w:sz w:val="24"/>
          <w:szCs w:val="24"/>
        </w:rPr>
        <w:t xml:space="preserve"> krízy </w:t>
      </w:r>
      <w:r w:rsidR="00007B56" w:rsidRPr="0087527F">
        <w:rPr>
          <w:b w:val="0"/>
          <w:caps w:val="0"/>
          <w:sz w:val="24"/>
          <w:szCs w:val="24"/>
        </w:rPr>
        <w:t xml:space="preserve">však </w:t>
      </w:r>
      <w:r w:rsidR="00B15465" w:rsidRPr="0087527F">
        <w:rPr>
          <w:b w:val="0"/>
          <w:caps w:val="0"/>
          <w:sz w:val="24"/>
          <w:szCs w:val="24"/>
        </w:rPr>
        <w:t>v spoločnosti rezonuje debata o</w:t>
      </w:r>
      <w:r w:rsidR="00AF3273">
        <w:rPr>
          <w:b w:val="0"/>
          <w:caps w:val="0"/>
          <w:sz w:val="24"/>
          <w:szCs w:val="24"/>
        </w:rPr>
        <w:t> skutočných hodnotách a cene zdravia nielen telesného, ale aj duševného a jeho dopad na imunitný  systém zamestnancov. Je preto absolútne prirodzené a žiadúce, aby sa rov</w:t>
      </w:r>
      <w:r w:rsidR="00B15465" w:rsidRPr="0087527F">
        <w:rPr>
          <w:b w:val="0"/>
          <w:caps w:val="0"/>
          <w:sz w:val="24"/>
          <w:szCs w:val="24"/>
        </w:rPr>
        <w:t>naká výnimka</w:t>
      </w:r>
      <w:r w:rsidR="00897AB3">
        <w:rPr>
          <w:b w:val="0"/>
          <w:caps w:val="0"/>
          <w:sz w:val="24"/>
          <w:szCs w:val="24"/>
        </w:rPr>
        <w:t xml:space="preserve"> </w:t>
      </w:r>
      <w:r w:rsidR="00AF3273">
        <w:rPr>
          <w:b w:val="0"/>
          <w:caps w:val="0"/>
          <w:sz w:val="24"/>
          <w:szCs w:val="24"/>
        </w:rPr>
        <w:t xml:space="preserve">vzťahovala </w:t>
      </w:r>
      <w:r w:rsidR="00897AB3">
        <w:rPr>
          <w:b w:val="0"/>
          <w:caps w:val="0"/>
          <w:sz w:val="24"/>
          <w:szCs w:val="24"/>
        </w:rPr>
        <w:t>aj na nedele</w:t>
      </w:r>
      <w:r w:rsidR="00B15465" w:rsidRPr="0087527F">
        <w:rPr>
          <w:b w:val="0"/>
          <w:caps w:val="0"/>
          <w:sz w:val="24"/>
          <w:szCs w:val="24"/>
        </w:rPr>
        <w:t>.</w:t>
      </w:r>
    </w:p>
    <w:p w:rsidR="004721C6" w:rsidRPr="0087527F" w:rsidRDefault="004721C6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</w:p>
    <w:p w:rsidR="004721C6" w:rsidRDefault="00B15465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ab/>
      </w:r>
      <w:r w:rsidRPr="0087527F">
        <w:rPr>
          <w:b w:val="0"/>
          <w:caps w:val="0"/>
          <w:sz w:val="24"/>
          <w:szCs w:val="24"/>
        </w:rPr>
        <w:tab/>
        <w:t>Uvedená požiadavka vyplýva z toho, že mnohí z</w:t>
      </w:r>
      <w:r w:rsidR="009E4C6B" w:rsidRPr="0087527F">
        <w:rPr>
          <w:b w:val="0"/>
          <w:caps w:val="0"/>
          <w:sz w:val="24"/>
          <w:szCs w:val="24"/>
        </w:rPr>
        <w:t xml:space="preserve">amestnanci vykonávajúci prácu v predajniach sa počas </w:t>
      </w:r>
      <w:r w:rsidR="00897AB3">
        <w:rPr>
          <w:b w:val="0"/>
          <w:caps w:val="0"/>
          <w:sz w:val="24"/>
          <w:szCs w:val="24"/>
        </w:rPr>
        <w:t xml:space="preserve">nedele </w:t>
      </w:r>
      <w:r w:rsidR="009E4C6B" w:rsidRPr="0087527F">
        <w:rPr>
          <w:b w:val="0"/>
          <w:caps w:val="0"/>
          <w:sz w:val="24"/>
          <w:szCs w:val="24"/>
        </w:rPr>
        <w:t xml:space="preserve">nemôžu riadne venovať svojim rodinám, pretože v čase, keď sú ich deti a ostatní rodinní príslušníci doma, títo zamestnanci pracujú. Ochranu manželstva, rodičovstva, rodiny a osobitne detí a mladistvých garantuje Ústava SR. Práca, ktorou je počas sviatkov </w:t>
      </w:r>
      <w:r w:rsidR="004A29C8" w:rsidRPr="0087527F">
        <w:rPr>
          <w:b w:val="0"/>
          <w:caps w:val="0"/>
          <w:sz w:val="24"/>
          <w:szCs w:val="24"/>
        </w:rPr>
        <w:t xml:space="preserve">maloobchodný </w:t>
      </w:r>
      <w:r w:rsidR="009E4C6B" w:rsidRPr="0087527F">
        <w:rPr>
          <w:b w:val="0"/>
          <w:caps w:val="0"/>
          <w:sz w:val="24"/>
          <w:szCs w:val="24"/>
        </w:rPr>
        <w:t>predaj, nie je dôležitejšia ako rodina, ako deti, ktorým sa rodičia nemôžu venovať</w:t>
      </w:r>
      <w:r w:rsidR="00897AB3">
        <w:rPr>
          <w:b w:val="0"/>
          <w:caps w:val="0"/>
          <w:sz w:val="24"/>
          <w:szCs w:val="24"/>
        </w:rPr>
        <w:t xml:space="preserve">. </w:t>
      </w:r>
      <w:r w:rsidR="00AF3273">
        <w:rPr>
          <w:b w:val="0"/>
          <w:caps w:val="0"/>
          <w:sz w:val="24"/>
          <w:szCs w:val="24"/>
        </w:rPr>
        <w:t xml:space="preserve">Rovnako pri súčasnom kolabujúcom zdravotnom systéme a kritickom nedostatku zdravotníckeho personálu nemôže práca  byť na úkor plného zdravia. </w:t>
      </w:r>
    </w:p>
    <w:p w:rsidR="00897AB3" w:rsidRPr="0087527F" w:rsidRDefault="00897AB3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</w:p>
    <w:p w:rsidR="00897AB3" w:rsidRDefault="004721C6" w:rsidP="00897AB3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ab/>
      </w:r>
      <w:r w:rsidRPr="0087527F">
        <w:rPr>
          <w:b w:val="0"/>
          <w:caps w:val="0"/>
          <w:sz w:val="24"/>
          <w:szCs w:val="24"/>
        </w:rPr>
        <w:tab/>
      </w:r>
      <w:r w:rsidR="00F55A21" w:rsidRPr="0087527F">
        <w:rPr>
          <w:b w:val="0"/>
          <w:caps w:val="0"/>
          <w:sz w:val="24"/>
          <w:szCs w:val="24"/>
        </w:rPr>
        <w:t xml:space="preserve">Keďže štát má v zmysle medzinárodných dokumentov a v zhode so zásadou zosúlaďovania rodinného a pracovného života presadzovanou v pracovnom práve EÚ a v právnych úpravách jednotlivých členských krajín EÚ vytvárať predpoklady pre spravodlivé a primerané pracovné podmienky, navrhuje sa zákaz </w:t>
      </w:r>
      <w:r w:rsidR="005A3709" w:rsidRPr="0087527F">
        <w:rPr>
          <w:b w:val="0"/>
          <w:caps w:val="0"/>
          <w:sz w:val="24"/>
          <w:szCs w:val="24"/>
        </w:rPr>
        <w:t>maloobchodného predaja</w:t>
      </w:r>
      <w:r w:rsidR="00F55A21" w:rsidRPr="0087527F">
        <w:rPr>
          <w:b w:val="0"/>
          <w:caps w:val="0"/>
          <w:sz w:val="24"/>
          <w:szCs w:val="24"/>
        </w:rPr>
        <w:t xml:space="preserve"> </w:t>
      </w:r>
      <w:r w:rsidR="00B15465">
        <w:rPr>
          <w:b w:val="0"/>
          <w:caps w:val="0"/>
          <w:sz w:val="24"/>
          <w:szCs w:val="24"/>
        </w:rPr>
        <w:t xml:space="preserve">aj počas nedieľ. Aj v niektorých </w:t>
      </w:r>
      <w:r w:rsidR="00B15465" w:rsidRPr="0087527F">
        <w:rPr>
          <w:b w:val="0"/>
          <w:caps w:val="0"/>
          <w:sz w:val="24"/>
          <w:szCs w:val="24"/>
        </w:rPr>
        <w:t xml:space="preserve">pôvodných členských krajinách EÚ sa dodržuje zákaz práce v </w:t>
      </w:r>
      <w:r w:rsidR="00D05633">
        <w:rPr>
          <w:b w:val="0"/>
          <w:caps w:val="0"/>
          <w:sz w:val="24"/>
          <w:szCs w:val="24"/>
        </w:rPr>
        <w:t xml:space="preserve">nedeľu. </w:t>
      </w:r>
    </w:p>
    <w:p w:rsidR="00897AB3" w:rsidRPr="0087527F" w:rsidRDefault="00B15465" w:rsidP="00897AB3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ab/>
      </w:r>
      <w:r w:rsidRPr="0087527F">
        <w:rPr>
          <w:b w:val="0"/>
          <w:caps w:val="0"/>
          <w:sz w:val="24"/>
          <w:szCs w:val="24"/>
        </w:rPr>
        <w:tab/>
      </w:r>
    </w:p>
    <w:p w:rsidR="00231177" w:rsidRPr="0087527F" w:rsidRDefault="00CA0DAD" w:rsidP="00897AB3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ab/>
      </w:r>
      <w:r w:rsidRPr="0087527F">
        <w:rPr>
          <w:b w:val="0"/>
          <w:caps w:val="0"/>
          <w:sz w:val="24"/>
          <w:szCs w:val="24"/>
        </w:rPr>
        <w:tab/>
      </w:r>
      <w:r w:rsidR="00897AB3">
        <w:rPr>
          <w:b w:val="0"/>
          <w:caps w:val="0"/>
          <w:sz w:val="24"/>
          <w:szCs w:val="24"/>
        </w:rPr>
        <w:t xml:space="preserve">Tento zákaz bude platiť </w:t>
      </w:r>
      <w:r w:rsidR="00F55A21" w:rsidRPr="0087527F">
        <w:rPr>
          <w:b w:val="0"/>
          <w:caps w:val="0"/>
          <w:sz w:val="24"/>
          <w:szCs w:val="24"/>
        </w:rPr>
        <w:t xml:space="preserve">s výnimkou taxatívne uvedených </w:t>
      </w:r>
      <w:r w:rsidR="006665DA" w:rsidRPr="0087527F">
        <w:rPr>
          <w:b w:val="0"/>
          <w:caps w:val="0"/>
          <w:sz w:val="24"/>
          <w:szCs w:val="24"/>
        </w:rPr>
        <w:t>prípadov maloobchodného predaja podľa  prílohy č. 1a</w:t>
      </w:r>
      <w:r w:rsidR="00936F92" w:rsidRPr="0087527F">
        <w:rPr>
          <w:b w:val="0"/>
          <w:caps w:val="0"/>
          <w:sz w:val="24"/>
          <w:szCs w:val="24"/>
        </w:rPr>
        <w:t>, ktor</w:t>
      </w:r>
      <w:r w:rsidR="006665DA" w:rsidRPr="0087527F">
        <w:rPr>
          <w:b w:val="0"/>
          <w:caps w:val="0"/>
          <w:sz w:val="24"/>
          <w:szCs w:val="24"/>
        </w:rPr>
        <w:t>ý</w:t>
      </w:r>
      <w:r w:rsidR="00936F92" w:rsidRPr="0087527F">
        <w:rPr>
          <w:b w:val="0"/>
          <w:caps w:val="0"/>
          <w:sz w:val="24"/>
          <w:szCs w:val="24"/>
        </w:rPr>
        <w:t xml:space="preserve"> </w:t>
      </w:r>
      <w:r w:rsidR="006665DA" w:rsidRPr="0087527F">
        <w:rPr>
          <w:b w:val="0"/>
          <w:caps w:val="0"/>
          <w:sz w:val="24"/>
          <w:szCs w:val="24"/>
        </w:rPr>
        <w:t>je</w:t>
      </w:r>
      <w:r w:rsidR="00936F92" w:rsidRPr="0087527F">
        <w:rPr>
          <w:b w:val="0"/>
          <w:caps w:val="0"/>
          <w:sz w:val="24"/>
          <w:szCs w:val="24"/>
        </w:rPr>
        <w:t xml:space="preserve"> nevyhnutn</w:t>
      </w:r>
      <w:r w:rsidR="00D51D9A">
        <w:rPr>
          <w:b w:val="0"/>
          <w:caps w:val="0"/>
          <w:sz w:val="24"/>
          <w:szCs w:val="24"/>
        </w:rPr>
        <w:t>ý</w:t>
      </w:r>
      <w:r w:rsidR="00936F92" w:rsidRPr="0087527F">
        <w:rPr>
          <w:b w:val="0"/>
          <w:caps w:val="0"/>
          <w:sz w:val="24"/>
          <w:szCs w:val="24"/>
        </w:rPr>
        <w:t xml:space="preserve"> na zabezpečenie potrieb obyvateľstva</w:t>
      </w:r>
      <w:r w:rsidR="00897AB3">
        <w:rPr>
          <w:b w:val="0"/>
          <w:caps w:val="0"/>
          <w:sz w:val="24"/>
          <w:szCs w:val="24"/>
        </w:rPr>
        <w:t xml:space="preserve">. </w:t>
      </w:r>
    </w:p>
    <w:p w:rsidR="00897AB3" w:rsidRDefault="00897AB3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</w:p>
    <w:p w:rsidR="004721C6" w:rsidRPr="0087527F" w:rsidRDefault="00897AB3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ab/>
      </w:r>
      <w:r>
        <w:rPr>
          <w:b w:val="0"/>
          <w:caps w:val="0"/>
          <w:sz w:val="24"/>
          <w:szCs w:val="24"/>
        </w:rPr>
        <w:tab/>
      </w:r>
      <w:r w:rsidR="00AF3273">
        <w:rPr>
          <w:b w:val="0"/>
          <w:caps w:val="0"/>
          <w:sz w:val="24"/>
          <w:szCs w:val="24"/>
        </w:rPr>
        <w:t>Aktuálna s</w:t>
      </w:r>
      <w:r>
        <w:rPr>
          <w:b w:val="0"/>
          <w:caps w:val="0"/>
          <w:sz w:val="24"/>
          <w:szCs w:val="24"/>
        </w:rPr>
        <w:t>kúsenosť s doterajším obmedzením maloobchodného predaja počas štátnych sviatko</w:t>
      </w:r>
      <w:r w:rsidR="00AF3273">
        <w:rPr>
          <w:b w:val="0"/>
          <w:caps w:val="0"/>
          <w:sz w:val="24"/>
          <w:szCs w:val="24"/>
        </w:rPr>
        <w:t xml:space="preserve">v, </w:t>
      </w:r>
      <w:r>
        <w:rPr>
          <w:b w:val="0"/>
          <w:caps w:val="0"/>
          <w:sz w:val="24"/>
          <w:szCs w:val="24"/>
        </w:rPr>
        <w:t xml:space="preserve">niektorých dní pracovného pokoja </w:t>
      </w:r>
      <w:r w:rsidR="00AF3273">
        <w:rPr>
          <w:b w:val="0"/>
          <w:caps w:val="0"/>
          <w:sz w:val="24"/>
          <w:szCs w:val="24"/>
        </w:rPr>
        <w:t xml:space="preserve">i dočasne povinných voľných sanitárnych nedieľ v minulej vlne pandémie </w:t>
      </w:r>
      <w:r>
        <w:rPr>
          <w:b w:val="0"/>
          <w:caps w:val="0"/>
          <w:sz w:val="24"/>
          <w:szCs w:val="24"/>
        </w:rPr>
        <w:t>ukázala, že tak zamestnanci, ako aj spotrebitelia trávia takto vytvorený voľný čas v kruhu svojich rodín, v prírode, v zariadeniach cestovného ruchu, na kultúrnych podujatiach a pod. T</w:t>
      </w:r>
      <w:r w:rsidR="00231177" w:rsidRPr="0087527F">
        <w:rPr>
          <w:b w:val="0"/>
          <w:caps w:val="0"/>
          <w:sz w:val="24"/>
          <w:szCs w:val="24"/>
        </w:rPr>
        <w:t xml:space="preserve">áto skutočnosť sa </w:t>
      </w:r>
      <w:r>
        <w:rPr>
          <w:b w:val="0"/>
          <w:caps w:val="0"/>
          <w:sz w:val="24"/>
          <w:szCs w:val="24"/>
        </w:rPr>
        <w:t xml:space="preserve">veľmi pozitívne prejavuje najmä </w:t>
      </w:r>
      <w:r w:rsidR="00231177" w:rsidRPr="0087527F">
        <w:rPr>
          <w:b w:val="0"/>
          <w:caps w:val="0"/>
          <w:sz w:val="24"/>
          <w:szCs w:val="24"/>
        </w:rPr>
        <w:t xml:space="preserve">v rozvoji </w:t>
      </w:r>
      <w:r>
        <w:rPr>
          <w:b w:val="0"/>
          <w:caps w:val="0"/>
          <w:sz w:val="24"/>
          <w:szCs w:val="24"/>
        </w:rPr>
        <w:t xml:space="preserve">cestovného ruchu. </w:t>
      </w:r>
    </w:p>
    <w:p w:rsidR="00740730" w:rsidRPr="0087527F" w:rsidRDefault="00740730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</w:p>
    <w:p w:rsidR="0087527F" w:rsidRDefault="00B15465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ab/>
      </w:r>
      <w:r>
        <w:rPr>
          <w:b w:val="0"/>
          <w:caps w:val="0"/>
          <w:sz w:val="24"/>
          <w:szCs w:val="24"/>
        </w:rPr>
        <w:tab/>
        <w:t>Návrh</w:t>
      </w:r>
      <w:r w:rsidRPr="0087527F">
        <w:rPr>
          <w:b w:val="0"/>
          <w:caps w:val="0"/>
          <w:sz w:val="24"/>
          <w:szCs w:val="24"/>
        </w:rPr>
        <w:t xml:space="preserve"> zákona </w:t>
      </w:r>
      <w:r>
        <w:rPr>
          <w:b w:val="0"/>
          <w:caps w:val="0"/>
          <w:sz w:val="24"/>
          <w:szCs w:val="24"/>
        </w:rPr>
        <w:t xml:space="preserve">je v súlade </w:t>
      </w:r>
      <w:r w:rsidRPr="0087527F">
        <w:rPr>
          <w:b w:val="0"/>
          <w:caps w:val="0"/>
          <w:sz w:val="24"/>
          <w:szCs w:val="24"/>
        </w:rPr>
        <w:t>s</w:t>
      </w:r>
      <w:r>
        <w:rPr>
          <w:b w:val="0"/>
          <w:caps w:val="0"/>
          <w:sz w:val="24"/>
          <w:szCs w:val="24"/>
        </w:rPr>
        <w:t> Ú</w:t>
      </w:r>
      <w:r w:rsidRPr="0087527F">
        <w:rPr>
          <w:b w:val="0"/>
          <w:caps w:val="0"/>
          <w:sz w:val="24"/>
          <w:szCs w:val="24"/>
        </w:rPr>
        <w:t>stavou</w:t>
      </w:r>
      <w:r>
        <w:rPr>
          <w:b w:val="0"/>
          <w:caps w:val="0"/>
          <w:sz w:val="24"/>
          <w:szCs w:val="24"/>
        </w:rPr>
        <w:t xml:space="preserve"> Slovenskej r</w:t>
      </w:r>
      <w:r>
        <w:rPr>
          <w:b w:val="0"/>
          <w:caps w:val="0"/>
          <w:sz w:val="24"/>
          <w:szCs w:val="24"/>
        </w:rPr>
        <w:t>epubliky</w:t>
      </w:r>
      <w:r w:rsidRPr="0087527F">
        <w:rPr>
          <w:b w:val="0"/>
          <w:caps w:val="0"/>
          <w:sz w:val="24"/>
          <w:szCs w:val="24"/>
        </w:rPr>
        <w:t>, s inými zákonmi</w:t>
      </w:r>
      <w:r>
        <w:rPr>
          <w:b w:val="0"/>
          <w:caps w:val="0"/>
          <w:sz w:val="24"/>
          <w:szCs w:val="24"/>
        </w:rPr>
        <w:t>,</w:t>
      </w:r>
      <w:r w:rsidRPr="0087527F">
        <w:rPr>
          <w:b w:val="0"/>
          <w:caps w:val="0"/>
          <w:sz w:val="24"/>
          <w:szCs w:val="24"/>
        </w:rPr>
        <w:t xml:space="preserve"> medzinárodnými zmluvami a s právom Európskej</w:t>
      </w:r>
      <w:r>
        <w:rPr>
          <w:b w:val="0"/>
          <w:caps w:val="0"/>
          <w:sz w:val="24"/>
          <w:szCs w:val="24"/>
        </w:rPr>
        <w:t xml:space="preserve"> únie.</w:t>
      </w:r>
      <w:r w:rsidR="00BF5DB1">
        <w:rPr>
          <w:b w:val="0"/>
          <w:caps w:val="0"/>
          <w:sz w:val="24"/>
          <w:szCs w:val="24"/>
        </w:rPr>
        <w:t xml:space="preserve"> </w:t>
      </w:r>
    </w:p>
    <w:p w:rsidR="00897AB3" w:rsidRPr="0087527F" w:rsidRDefault="00897AB3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</w:p>
    <w:p w:rsidR="00740730" w:rsidRPr="0087527F" w:rsidRDefault="00B15465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ab/>
      </w:r>
      <w:r w:rsidRPr="0087527F">
        <w:rPr>
          <w:b w:val="0"/>
          <w:caps w:val="0"/>
          <w:sz w:val="24"/>
          <w:szCs w:val="24"/>
        </w:rPr>
        <w:tab/>
      </w:r>
      <w:r w:rsidRPr="00D51D9A">
        <w:rPr>
          <w:b w:val="0"/>
          <w:caps w:val="0"/>
          <w:sz w:val="24"/>
          <w:szCs w:val="24"/>
        </w:rPr>
        <w:t xml:space="preserve">Návrh </w:t>
      </w:r>
      <w:r w:rsidR="00011647" w:rsidRPr="00D51D9A">
        <w:rPr>
          <w:b w:val="0"/>
          <w:caps w:val="0"/>
          <w:sz w:val="24"/>
          <w:szCs w:val="24"/>
        </w:rPr>
        <w:t xml:space="preserve">zákona </w:t>
      </w:r>
      <w:r w:rsidRPr="00D51D9A">
        <w:rPr>
          <w:b w:val="0"/>
          <w:caps w:val="0"/>
          <w:sz w:val="24"/>
          <w:szCs w:val="24"/>
        </w:rPr>
        <w:t>nebude mať vplyv na rozpočet verejnej správy</w:t>
      </w:r>
      <w:r w:rsidR="00CC34B2">
        <w:rPr>
          <w:b w:val="0"/>
          <w:caps w:val="0"/>
          <w:sz w:val="24"/>
          <w:szCs w:val="24"/>
        </w:rPr>
        <w:t>, čo svojím stanoviskom potvrdil aj generálny riaditeľ Sekcie rozpočtovej politiky Ministerstva financií SR.</w:t>
      </w:r>
      <w:r w:rsidRPr="00D51D9A">
        <w:rPr>
          <w:b w:val="0"/>
          <w:caps w:val="0"/>
          <w:sz w:val="24"/>
          <w:szCs w:val="24"/>
        </w:rPr>
        <w:t xml:space="preserve"> Návrh </w:t>
      </w:r>
      <w:r w:rsidR="00011647" w:rsidRPr="00D51D9A">
        <w:rPr>
          <w:b w:val="0"/>
          <w:caps w:val="0"/>
          <w:sz w:val="24"/>
          <w:szCs w:val="24"/>
        </w:rPr>
        <w:t xml:space="preserve">zákona </w:t>
      </w:r>
      <w:r w:rsidRPr="00D51D9A">
        <w:rPr>
          <w:b w:val="0"/>
          <w:caps w:val="0"/>
          <w:sz w:val="24"/>
          <w:szCs w:val="24"/>
        </w:rPr>
        <w:t xml:space="preserve">bude mať pozitívne sociálne vplyvy na zamestnancov a umožní im lepšie zosúladiť pracovný život </w:t>
      </w:r>
      <w:r w:rsidRPr="00D51D9A">
        <w:rPr>
          <w:b w:val="0"/>
          <w:caps w:val="0"/>
          <w:sz w:val="24"/>
          <w:szCs w:val="24"/>
        </w:rPr>
        <w:t>s rodinným životom. Návrh zákona môže mať vplyv na tých zamestnávateľov, ktorí rozvrhujú pracovné zmeny tak, že sa práca pri maloobchodnom predaji vykonáva aj v</w:t>
      </w:r>
      <w:r w:rsidR="00897AB3">
        <w:rPr>
          <w:b w:val="0"/>
          <w:caps w:val="0"/>
          <w:sz w:val="24"/>
          <w:szCs w:val="24"/>
        </w:rPr>
        <w:t> nedeľu.</w:t>
      </w:r>
      <w:r w:rsidR="00AF3273">
        <w:rPr>
          <w:b w:val="0"/>
          <w:caps w:val="0"/>
          <w:sz w:val="24"/>
          <w:szCs w:val="24"/>
        </w:rPr>
        <w:t xml:space="preserve"> V súčasnosti, keď už sú zamestnávatelia povinní vyplácať zamestnancom príplatky za prácu počas víkendov sa pre mnohých už aj tak stala nedeľná práca ekonomicky neefektívnou.</w:t>
      </w:r>
    </w:p>
    <w:p w:rsidR="00F55A21" w:rsidRPr="0087527F" w:rsidRDefault="004721C6" w:rsidP="002A2722">
      <w:pPr>
        <w:pStyle w:val="slovanzoznam"/>
        <w:widowControl/>
        <w:numPr>
          <w:ilvl w:val="0"/>
          <w:numId w:val="0"/>
        </w:numPr>
        <w:tabs>
          <w:tab w:val="left" w:pos="2355"/>
        </w:tabs>
        <w:jc w:val="both"/>
        <w:rPr>
          <w:caps w:val="0"/>
          <w:sz w:val="24"/>
          <w:szCs w:val="24"/>
        </w:rPr>
      </w:pPr>
      <w:r w:rsidRPr="0087527F">
        <w:rPr>
          <w:caps w:val="0"/>
          <w:sz w:val="24"/>
          <w:szCs w:val="24"/>
        </w:rPr>
        <w:lastRenderedPageBreak/>
        <w:tab/>
      </w:r>
      <w:r w:rsidR="00B15465" w:rsidRPr="0087527F">
        <w:rPr>
          <w:caps w:val="0"/>
          <w:sz w:val="24"/>
          <w:szCs w:val="24"/>
        </w:rPr>
        <w:t>Osobitná časť</w:t>
      </w:r>
    </w:p>
    <w:p w:rsidR="00F55A21" w:rsidRPr="0087527F" w:rsidRDefault="00F55A21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caps w:val="0"/>
          <w:sz w:val="24"/>
          <w:szCs w:val="24"/>
        </w:rPr>
      </w:pPr>
    </w:p>
    <w:p w:rsidR="00F55A21" w:rsidRPr="0087527F" w:rsidRDefault="005A3709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outlineLvl w:val="0"/>
        <w:rPr>
          <w:caps w:val="0"/>
          <w:sz w:val="24"/>
          <w:szCs w:val="24"/>
        </w:rPr>
      </w:pPr>
      <w:r w:rsidRPr="0087527F">
        <w:rPr>
          <w:caps w:val="0"/>
          <w:sz w:val="24"/>
          <w:szCs w:val="24"/>
        </w:rPr>
        <w:t>K č</w:t>
      </w:r>
      <w:r w:rsidR="00B15465" w:rsidRPr="0087527F">
        <w:rPr>
          <w:caps w:val="0"/>
          <w:sz w:val="24"/>
          <w:szCs w:val="24"/>
        </w:rPr>
        <w:t>l. I</w:t>
      </w:r>
    </w:p>
    <w:p w:rsidR="00F55A21" w:rsidRPr="0087527F" w:rsidRDefault="00F55A21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rPr>
          <w:caps w:val="0"/>
          <w:sz w:val="24"/>
          <w:szCs w:val="24"/>
        </w:rPr>
      </w:pPr>
    </w:p>
    <w:p w:rsidR="00F55A21" w:rsidRDefault="00B15465" w:rsidP="00F55A21">
      <w:pPr>
        <w:widowControl/>
        <w:ind w:firstLine="720"/>
        <w:jc w:val="both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 xml:space="preserve">V záujme ochrany zamestnancov </w:t>
      </w:r>
      <w:r w:rsidR="00AF3273">
        <w:rPr>
          <w:b w:val="0"/>
          <w:caps w:val="0"/>
          <w:sz w:val="24"/>
          <w:szCs w:val="24"/>
        </w:rPr>
        <w:t xml:space="preserve">a ochrany ich zdravia </w:t>
      </w:r>
      <w:r w:rsidRPr="0087527F">
        <w:rPr>
          <w:b w:val="0"/>
          <w:caps w:val="0"/>
          <w:sz w:val="24"/>
          <w:szCs w:val="24"/>
        </w:rPr>
        <w:t>sa v súlade s</w:t>
      </w:r>
      <w:r w:rsidR="008709A8">
        <w:rPr>
          <w:b w:val="0"/>
          <w:caps w:val="0"/>
          <w:sz w:val="24"/>
          <w:szCs w:val="24"/>
        </w:rPr>
        <w:t> </w:t>
      </w:r>
      <w:r w:rsidRPr="0087527F">
        <w:rPr>
          <w:b w:val="0"/>
          <w:caps w:val="0"/>
          <w:sz w:val="24"/>
          <w:szCs w:val="24"/>
        </w:rPr>
        <w:t>kultúrn</w:t>
      </w:r>
      <w:r w:rsidR="008709A8">
        <w:rPr>
          <w:b w:val="0"/>
          <w:caps w:val="0"/>
          <w:sz w:val="24"/>
          <w:szCs w:val="24"/>
        </w:rPr>
        <w:t>o-sociálnymi</w:t>
      </w:r>
      <w:r w:rsidRPr="0087527F">
        <w:rPr>
          <w:b w:val="0"/>
          <w:caps w:val="0"/>
          <w:sz w:val="24"/>
          <w:szCs w:val="24"/>
        </w:rPr>
        <w:t xml:space="preserve"> </w:t>
      </w:r>
      <w:r w:rsidRPr="0087527F">
        <w:rPr>
          <w:b w:val="0"/>
          <w:caps w:val="0"/>
          <w:sz w:val="24"/>
          <w:szCs w:val="24"/>
        </w:rPr>
        <w:t>tradíciami Slovenskej republiky ustanovuj</w:t>
      </w:r>
      <w:r w:rsidR="00897AB3">
        <w:rPr>
          <w:b w:val="0"/>
          <w:caps w:val="0"/>
          <w:sz w:val="24"/>
          <w:szCs w:val="24"/>
        </w:rPr>
        <w:t xml:space="preserve">e nedeľa ako ďalší deň, </w:t>
      </w:r>
      <w:r w:rsidRPr="0087527F">
        <w:rPr>
          <w:b w:val="0"/>
          <w:caps w:val="0"/>
          <w:sz w:val="24"/>
          <w:szCs w:val="24"/>
        </w:rPr>
        <w:t>počas ktor</w:t>
      </w:r>
      <w:r w:rsidR="00897AB3">
        <w:rPr>
          <w:b w:val="0"/>
          <w:caps w:val="0"/>
          <w:sz w:val="24"/>
          <w:szCs w:val="24"/>
        </w:rPr>
        <w:t xml:space="preserve">ého </w:t>
      </w:r>
      <w:r w:rsidRPr="0087527F">
        <w:rPr>
          <w:b w:val="0"/>
          <w:caps w:val="0"/>
          <w:sz w:val="24"/>
          <w:szCs w:val="24"/>
        </w:rPr>
        <w:t xml:space="preserve">nie je možné nariadiť a ani dohodnúť so zamestnancom prácu, ktorou je predaj tovaru konečnému spotrebiteľovi vrátane s ním súvisiacich prác. </w:t>
      </w:r>
      <w:r w:rsidR="00CC34B2">
        <w:rPr>
          <w:b w:val="0"/>
          <w:caps w:val="0"/>
          <w:sz w:val="24"/>
          <w:szCs w:val="24"/>
        </w:rPr>
        <w:t xml:space="preserve"> Prílohou dôvodovej správy je stanovisko dotknutého Odborového zväzu pracovníkov obchodu a cestovného ruchu so sídlom v Bratislave. </w:t>
      </w:r>
    </w:p>
    <w:p w:rsidR="00CC34B2" w:rsidRPr="002A2722" w:rsidRDefault="00CC34B2" w:rsidP="002A2722">
      <w:pPr>
        <w:pStyle w:val="slovanzoznam"/>
        <w:numPr>
          <w:ilvl w:val="0"/>
          <w:numId w:val="0"/>
        </w:numPr>
        <w:ind w:left="360"/>
        <w:jc w:val="both"/>
      </w:pPr>
    </w:p>
    <w:p w:rsidR="00CC34B2" w:rsidRPr="002A2722" w:rsidRDefault="00CC34B2" w:rsidP="002A2722">
      <w:pPr>
        <w:pStyle w:val="slovanzoznam"/>
        <w:numPr>
          <w:ilvl w:val="0"/>
          <w:numId w:val="0"/>
        </w:numPr>
        <w:ind w:left="360"/>
        <w:jc w:val="both"/>
      </w:pPr>
    </w:p>
    <w:p w:rsidR="00F55A21" w:rsidRPr="0087527F" w:rsidRDefault="00F55A21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outlineLvl w:val="0"/>
        <w:rPr>
          <w:caps w:val="0"/>
          <w:sz w:val="24"/>
          <w:szCs w:val="24"/>
        </w:rPr>
      </w:pPr>
    </w:p>
    <w:p w:rsidR="00F55A21" w:rsidRPr="0087527F" w:rsidRDefault="00B15465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outlineLvl w:val="0"/>
        <w:rPr>
          <w:caps w:val="0"/>
          <w:sz w:val="24"/>
          <w:szCs w:val="24"/>
        </w:rPr>
      </w:pPr>
      <w:r w:rsidRPr="0087527F">
        <w:rPr>
          <w:caps w:val="0"/>
          <w:sz w:val="24"/>
          <w:szCs w:val="24"/>
        </w:rPr>
        <w:t>K </w:t>
      </w:r>
      <w:r w:rsidR="005A3709" w:rsidRPr="0087527F">
        <w:rPr>
          <w:caps w:val="0"/>
          <w:sz w:val="24"/>
          <w:szCs w:val="24"/>
        </w:rPr>
        <w:t>č</w:t>
      </w:r>
      <w:r w:rsidRPr="0087527F">
        <w:rPr>
          <w:caps w:val="0"/>
          <w:sz w:val="24"/>
          <w:szCs w:val="24"/>
        </w:rPr>
        <w:t>l. II</w:t>
      </w:r>
    </w:p>
    <w:p w:rsidR="00F55A21" w:rsidRPr="0087527F" w:rsidRDefault="00F55A21" w:rsidP="00F55A21">
      <w:pPr>
        <w:pStyle w:val="slovanzoznam"/>
        <w:widowControl/>
        <w:numPr>
          <w:ilvl w:val="0"/>
          <w:numId w:val="0"/>
        </w:numPr>
        <w:tabs>
          <w:tab w:val="left" w:pos="360"/>
        </w:tabs>
        <w:jc w:val="both"/>
        <w:outlineLvl w:val="0"/>
        <w:rPr>
          <w:caps w:val="0"/>
          <w:sz w:val="24"/>
          <w:szCs w:val="24"/>
        </w:rPr>
      </w:pPr>
    </w:p>
    <w:p w:rsidR="00EF0453" w:rsidRDefault="00885045" w:rsidP="002A2722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87527F">
        <w:rPr>
          <w:b w:val="0"/>
          <w:caps w:val="0"/>
          <w:sz w:val="24"/>
          <w:szCs w:val="24"/>
        </w:rPr>
        <w:t xml:space="preserve">Navrhuje sa účinnosť </w:t>
      </w:r>
      <w:r w:rsidR="00B15465" w:rsidRPr="0087527F">
        <w:rPr>
          <w:b w:val="0"/>
          <w:caps w:val="0"/>
          <w:sz w:val="24"/>
          <w:szCs w:val="24"/>
        </w:rPr>
        <w:t xml:space="preserve">zákona dňom </w:t>
      </w:r>
      <w:r w:rsidR="00D83978">
        <w:rPr>
          <w:b w:val="0"/>
          <w:caps w:val="0"/>
          <w:sz w:val="24"/>
          <w:szCs w:val="24"/>
        </w:rPr>
        <w:t>vyhlásenia</w:t>
      </w:r>
      <w:r w:rsidR="00B15465">
        <w:rPr>
          <w:b w:val="0"/>
          <w:caps w:val="0"/>
          <w:sz w:val="24"/>
          <w:szCs w:val="24"/>
        </w:rPr>
        <w:t>.</w:t>
      </w:r>
    </w:p>
    <w:p w:rsidR="00EF0453" w:rsidRDefault="00EF0453" w:rsidP="002A2722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Default="00EF0453" w:rsidP="002A2722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ind w:firstLine="360"/>
        <w:jc w:val="both"/>
        <w:outlineLvl w:val="0"/>
        <w:rPr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  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>DOLOŽKA  ZLUČITEĽNOSTI</w:t>
      </w:r>
    </w:p>
    <w:p w:rsidR="00EF0453" w:rsidRPr="00C91260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  <w:r w:rsidRPr="00C91260">
        <w:rPr>
          <w:caps w:val="0"/>
          <w:sz w:val="24"/>
          <w:szCs w:val="24"/>
        </w:rPr>
        <w:t>návrhu zákona s právom Európskej únie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numPr>
          <w:ilvl w:val="0"/>
          <w:numId w:val="6"/>
        </w:numPr>
        <w:jc w:val="both"/>
        <w:outlineLvl w:val="0"/>
        <w:rPr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>Navrhovateľ zákona:</w:t>
      </w:r>
    </w:p>
    <w:p w:rsidR="00EF0453" w:rsidRDefault="00EF0453" w:rsidP="002A2722">
      <w:pPr>
        <w:widowControl/>
        <w:ind w:left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Poslanci Národnej rady Slovenskej republiky Martin Čepček, Ján Podmanický a Filip Kuffa.</w:t>
      </w:r>
    </w:p>
    <w:p w:rsidR="00C91260" w:rsidRPr="002A2722" w:rsidRDefault="00C91260" w:rsidP="002A2722">
      <w:pPr>
        <w:pStyle w:val="slovanzoznam"/>
      </w:pPr>
    </w:p>
    <w:p w:rsidR="00EF0453" w:rsidRPr="00EF0453" w:rsidRDefault="00EF0453" w:rsidP="00EF0453">
      <w:pPr>
        <w:widowControl/>
        <w:numPr>
          <w:ilvl w:val="0"/>
          <w:numId w:val="6"/>
        </w:numPr>
        <w:jc w:val="both"/>
        <w:outlineLvl w:val="0"/>
        <w:rPr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>Názov návrhu zákona:</w:t>
      </w:r>
    </w:p>
    <w:p w:rsidR="00EF0453" w:rsidRPr="00EF0453" w:rsidRDefault="00EF0453" w:rsidP="002A2722">
      <w:pPr>
        <w:widowControl/>
        <w:ind w:left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Návrh zákona, ktorým sa mení zákon č. 311/2001 Z. z. Zákonník práce v znení neskorších predpisov</w:t>
      </w:r>
    </w:p>
    <w:p w:rsidR="00EF0453" w:rsidRPr="00EF0453" w:rsidRDefault="00EF0453" w:rsidP="002A2722">
      <w:pPr>
        <w:widowControl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numPr>
          <w:ilvl w:val="0"/>
          <w:numId w:val="6"/>
        </w:numPr>
        <w:jc w:val="both"/>
        <w:outlineLvl w:val="0"/>
        <w:rPr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>Predmet návrhu zákona je upravený v práve Európskej únie: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a)   v primárnom práve: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numPr>
          <w:ilvl w:val="0"/>
          <w:numId w:val="8"/>
        </w:numPr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bCs/>
          <w:caps w:val="0"/>
          <w:sz w:val="24"/>
          <w:szCs w:val="24"/>
        </w:rPr>
        <w:t>v čl. 153 Zmluvy o fungovaní Európskej únie, podľa ktorých Únia podporuje a dopĺňa činnosti členských štátov v oblasti pracovných podmienok, sociálneho zabezpečenia a sociálnej ochrany pracovníkov,</w:t>
      </w:r>
    </w:p>
    <w:p w:rsidR="00EF0453" w:rsidRPr="00EF0453" w:rsidRDefault="00EF0453" w:rsidP="00EF0453">
      <w:pPr>
        <w:widowControl/>
        <w:numPr>
          <w:ilvl w:val="0"/>
          <w:numId w:val="8"/>
        </w:numPr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bCs/>
          <w:caps w:val="0"/>
          <w:sz w:val="24"/>
          <w:szCs w:val="24"/>
        </w:rPr>
        <w:t>v čl. 31 a 33 Charty základných práv Európskej únie;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2A2722">
      <w:pPr>
        <w:widowControl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b)   v sekundárnom práve: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ab/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ab/>
      </w:r>
      <w:r w:rsidRPr="00EF0453">
        <w:rPr>
          <w:b w:val="0"/>
          <w:caps w:val="0"/>
          <w:sz w:val="24"/>
          <w:szCs w:val="24"/>
        </w:rPr>
        <w:t>Nie je upravené.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c)</w:t>
      </w:r>
      <w:r w:rsidRPr="00EF0453">
        <w:rPr>
          <w:b w:val="0"/>
          <w:caps w:val="0"/>
          <w:sz w:val="24"/>
          <w:szCs w:val="24"/>
        </w:rPr>
        <w:tab/>
        <w:t>v judikatúre Súdneho dvora Európskej únie: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ab/>
      </w:r>
    </w:p>
    <w:p w:rsid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ab/>
        <w:t xml:space="preserve">Nie je obsiahnuté. </w:t>
      </w:r>
    </w:p>
    <w:p w:rsidR="00B15465" w:rsidRPr="00B15465" w:rsidRDefault="00B15465" w:rsidP="00B15465">
      <w:pPr>
        <w:pStyle w:val="slovanzoznam"/>
        <w:numPr>
          <w:ilvl w:val="0"/>
          <w:numId w:val="0"/>
        </w:numPr>
        <w:ind w:left="360"/>
        <w:jc w:val="both"/>
      </w:pPr>
      <w:bookmarkStart w:id="0" w:name="_GoBack"/>
    </w:p>
    <w:bookmarkEnd w:id="0"/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numPr>
          <w:ilvl w:val="0"/>
          <w:numId w:val="6"/>
        </w:numPr>
        <w:jc w:val="both"/>
        <w:outlineLvl w:val="0"/>
        <w:rPr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>Záväzky Slovenskej republiky vo vzťahu k  Európskej únii:</w:t>
      </w:r>
    </w:p>
    <w:p w:rsidR="00EF0453" w:rsidRPr="00EF0453" w:rsidRDefault="00EF0453" w:rsidP="00EF0453">
      <w:pPr>
        <w:widowControl/>
        <w:numPr>
          <w:ilvl w:val="0"/>
          <w:numId w:val="7"/>
        </w:numPr>
        <w:tabs>
          <w:tab w:val="num" w:pos="1134"/>
        </w:tabs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uviesť lehotu na prebranie príslušného právneho aktu Európskej únie, príp. aj osobitnú lehotu účinnosti jeho ustanovení: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Návrhom zákona sa nepreberá nový právny akt Európskej únie.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 xml:space="preserve"> </w:t>
      </w:r>
    </w:p>
    <w:p w:rsidR="00EF0453" w:rsidRPr="00EF0453" w:rsidRDefault="00EF0453" w:rsidP="00EF0453">
      <w:pPr>
        <w:widowControl/>
        <w:numPr>
          <w:ilvl w:val="0"/>
          <w:numId w:val="7"/>
        </w:numPr>
        <w:tabs>
          <w:tab w:val="num" w:pos="1134"/>
        </w:tabs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uviesť informáciu o začatí postupu Európskej komisie alebo o konaní Súdneho dvora Európskej únie proti Slovenskej republike podľa čl. 258 a 260 Zmluvy o fungovaní Európskej únie v jej platnom znení, spolu s uvedením konkrétnych vytýkaných nedostatkov a požiadaviek na zabezpečenie nápravy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EF0453" w:rsidRDefault="00EF0453" w:rsidP="002A2722">
      <w:pPr>
        <w:widowControl/>
        <w:ind w:left="72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Proti Slovenskej republike nezačalo žiaden postup Európskej komisie alebo konanie Súdneho dvora Európskej únie podľa čl. 258 a 260 Zmluvy o fungovaní Európskej únie.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numPr>
          <w:ilvl w:val="0"/>
          <w:numId w:val="7"/>
        </w:numPr>
        <w:tabs>
          <w:tab w:val="num" w:pos="1134"/>
        </w:tabs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 xml:space="preserve">uviesť informáciu o právnych predpisoch, v ktorých sú uvádzané právne akty Európskej únie už prebrané, spolu s uvedením rozsahu ich prebrania príp. potreby prijatia ďalších úprav 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Návrhom zákona sa nepreberá nový právny akt Európskej únie.</w:t>
      </w:r>
    </w:p>
    <w:p w:rsidR="00EF0453" w:rsidRPr="00EF0453" w:rsidRDefault="00EF0453" w:rsidP="00EF0453">
      <w:pPr>
        <w:widowControl/>
        <w:ind w:firstLine="360"/>
        <w:jc w:val="both"/>
        <w:outlineLvl w:val="0"/>
        <w:rPr>
          <w:b w:val="0"/>
          <w:caps w:val="0"/>
          <w:sz w:val="24"/>
          <w:szCs w:val="24"/>
        </w:rPr>
      </w:pPr>
    </w:p>
    <w:p w:rsidR="00EF0453" w:rsidRPr="00EF0453" w:rsidRDefault="00EF0453" w:rsidP="00EF0453">
      <w:pPr>
        <w:widowControl/>
        <w:numPr>
          <w:ilvl w:val="0"/>
          <w:numId w:val="6"/>
        </w:numPr>
        <w:jc w:val="both"/>
        <w:outlineLvl w:val="0"/>
        <w:rPr>
          <w:caps w:val="0"/>
          <w:sz w:val="24"/>
          <w:szCs w:val="24"/>
        </w:rPr>
      </w:pPr>
      <w:r w:rsidRPr="00EF0453">
        <w:rPr>
          <w:caps w:val="0"/>
          <w:sz w:val="24"/>
          <w:szCs w:val="24"/>
        </w:rPr>
        <w:t>Návrh zákona je zlučiteľný s právom Európskej únie: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b w:val="0"/>
          <w:caps w:val="0"/>
          <w:sz w:val="24"/>
          <w:szCs w:val="24"/>
        </w:rPr>
      </w:pPr>
      <w:r w:rsidRPr="00EF0453">
        <w:rPr>
          <w:b w:val="0"/>
          <w:caps w:val="0"/>
          <w:sz w:val="24"/>
          <w:szCs w:val="24"/>
        </w:rPr>
        <w:t>a) úplne</w:t>
      </w:r>
    </w:p>
    <w:p w:rsidR="00EF0453" w:rsidRPr="00EF0453" w:rsidRDefault="00EF0453" w:rsidP="002A2722">
      <w:pPr>
        <w:widowControl/>
        <w:ind w:left="720"/>
        <w:jc w:val="both"/>
        <w:outlineLvl w:val="0"/>
        <w:rPr>
          <w:caps w:val="0"/>
          <w:sz w:val="24"/>
          <w:szCs w:val="24"/>
        </w:rPr>
      </w:pPr>
    </w:p>
    <w:p w:rsidR="00EF0453" w:rsidRPr="002A2722" w:rsidRDefault="00CC34B2" w:rsidP="002A2722">
      <w:pPr>
        <w:widowControl/>
        <w:ind w:firstLine="360"/>
        <w:jc w:val="both"/>
        <w:outlineLvl w:val="0"/>
      </w:pPr>
      <w:r>
        <w:rPr>
          <w:b w:val="0"/>
          <w:caps w:val="0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6174740" cy="825754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dela_maloobchod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25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453" w:rsidRPr="002A2722" w:rsidSect="0046054B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7126B4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 w15:restartNumberingAfterBreak="0">
    <w:nsid w:val="0FD22844"/>
    <w:multiLevelType w:val="hybridMultilevel"/>
    <w:tmpl w:val="676C1878"/>
    <w:lvl w:ilvl="0" w:tplc="07746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9D4C0448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i w:val="0"/>
        <w:strike w:val="0"/>
        <w:dstrike w:val="0"/>
        <w:sz w:val="24"/>
        <w:rtl w:val="0"/>
        <w:cs w:val="0"/>
      </w:rPr>
    </w:lvl>
    <w:lvl w:ilvl="2" w:tplc="9BBABC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D1A8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1ACE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49241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7CE1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F840E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7B90CC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05B1B2D"/>
    <w:multiLevelType w:val="hybridMultilevel"/>
    <w:tmpl w:val="8688B48A"/>
    <w:lvl w:ilvl="0" w:tplc="F0A6B6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 w:tplc="4142DE48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 w:tplc="FC328DC0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 w:tplc="A1E8B004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 w:tplc="3FAE81E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 w:tplc="6D12C4BC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 w:tplc="0576FA5E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 w:tplc="70B2E2DE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 w:tplc="DF542090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791D22FB"/>
    <w:multiLevelType w:val="hybridMultilevel"/>
    <w:tmpl w:val="B77CB25E"/>
    <w:lvl w:ilvl="0" w:tplc="D05CD3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2E8065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D88F8D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AC95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603B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9F852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06313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0C3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1A2DC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7E12"/>
    <w:rsid w:val="00007B56"/>
    <w:rsid w:val="00011647"/>
    <w:rsid w:val="000B3585"/>
    <w:rsid w:val="000C001A"/>
    <w:rsid w:val="001363CB"/>
    <w:rsid w:val="001505F8"/>
    <w:rsid w:val="002107B0"/>
    <w:rsid w:val="00231177"/>
    <w:rsid w:val="00255998"/>
    <w:rsid w:val="002A2722"/>
    <w:rsid w:val="003640F1"/>
    <w:rsid w:val="003C7E12"/>
    <w:rsid w:val="003F2054"/>
    <w:rsid w:val="00423B2F"/>
    <w:rsid w:val="0046054B"/>
    <w:rsid w:val="004721C6"/>
    <w:rsid w:val="004A29C8"/>
    <w:rsid w:val="00503AE1"/>
    <w:rsid w:val="005A3709"/>
    <w:rsid w:val="005B5534"/>
    <w:rsid w:val="005D2F14"/>
    <w:rsid w:val="006010D2"/>
    <w:rsid w:val="006114F3"/>
    <w:rsid w:val="006665DA"/>
    <w:rsid w:val="006806A6"/>
    <w:rsid w:val="007171E6"/>
    <w:rsid w:val="00740730"/>
    <w:rsid w:val="00800448"/>
    <w:rsid w:val="008701BF"/>
    <w:rsid w:val="008709A8"/>
    <w:rsid w:val="0087527F"/>
    <w:rsid w:val="00885045"/>
    <w:rsid w:val="00897AB3"/>
    <w:rsid w:val="008D50B5"/>
    <w:rsid w:val="008D6E4C"/>
    <w:rsid w:val="00936F92"/>
    <w:rsid w:val="009765BA"/>
    <w:rsid w:val="00982489"/>
    <w:rsid w:val="009E4C6B"/>
    <w:rsid w:val="00AB3B15"/>
    <w:rsid w:val="00AF3273"/>
    <w:rsid w:val="00AF3C5D"/>
    <w:rsid w:val="00B15465"/>
    <w:rsid w:val="00B61456"/>
    <w:rsid w:val="00BA6BE0"/>
    <w:rsid w:val="00BC6F8F"/>
    <w:rsid w:val="00BD7D5C"/>
    <w:rsid w:val="00BE77C2"/>
    <w:rsid w:val="00BF5DB1"/>
    <w:rsid w:val="00C91260"/>
    <w:rsid w:val="00C96CDC"/>
    <w:rsid w:val="00CA0DAD"/>
    <w:rsid w:val="00CB7F04"/>
    <w:rsid w:val="00CC34B2"/>
    <w:rsid w:val="00CE6C1A"/>
    <w:rsid w:val="00D05633"/>
    <w:rsid w:val="00D51D9A"/>
    <w:rsid w:val="00D63394"/>
    <w:rsid w:val="00D83978"/>
    <w:rsid w:val="00E42FA6"/>
    <w:rsid w:val="00E8184D"/>
    <w:rsid w:val="00EB1F5E"/>
    <w:rsid w:val="00EE1D59"/>
    <w:rsid w:val="00EF0453"/>
    <w:rsid w:val="00F01124"/>
    <w:rsid w:val="00F24823"/>
    <w:rsid w:val="00F55A21"/>
    <w:rsid w:val="00F61EA0"/>
    <w:rsid w:val="00F85539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651DF"/>
  <w15:docId w15:val="{A6D6256A-424D-448F-84BF-79FEAC15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slovanzoznam"/>
    <w:autoRedefine/>
    <w:qFormat/>
    <w:rsid w:val="00F55A21"/>
    <w:pPr>
      <w:widowControl w:val="0"/>
      <w:autoSpaceDE w:val="0"/>
      <w:autoSpaceDN w:val="0"/>
      <w:adjustRightInd w:val="0"/>
      <w:jc w:val="center"/>
    </w:pPr>
    <w:rPr>
      <w:b/>
      <w:caps/>
      <w:sz w:val="32"/>
      <w:szCs w:val="32"/>
      <w:lang w:val="sk-SK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rsid w:val="00F55A21"/>
    <w:pPr>
      <w:numPr>
        <w:numId w:val="2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9E4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6054B"/>
    <w:rPr>
      <w:rFonts w:ascii="Tahoma" w:hAnsi="Tahoma" w:cs="Tahoma"/>
      <w:b/>
      <w:caps/>
      <w:sz w:val="16"/>
      <w:szCs w:val="16"/>
      <w:rtl w:val="0"/>
      <w:cs w:val="0"/>
      <w:lang w:val="sk-SK" w:eastAsia="x-none"/>
    </w:rPr>
  </w:style>
  <w:style w:type="character" w:styleId="Odkaznakomentr">
    <w:name w:val="annotation reference"/>
    <w:basedOn w:val="Predvolenpsmoodseku"/>
    <w:uiPriority w:val="99"/>
    <w:rsid w:val="00BC6F8F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BC6F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C6F8F"/>
    <w:rPr>
      <w:rFonts w:cs="Times New Roman"/>
      <w:b/>
      <w:caps/>
      <w:sz w:val="20"/>
      <w:szCs w:val="20"/>
      <w:rtl w:val="0"/>
      <w:cs w:val="0"/>
      <w:lang w:val="sk-SK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C6F8F"/>
    <w:rPr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C6F8F"/>
    <w:rPr>
      <w:rFonts w:cs="Times New Roman"/>
      <w:b/>
      <w:bCs/>
      <w:caps/>
      <w:sz w:val="20"/>
      <w:szCs w:val="20"/>
      <w:rtl w:val="0"/>
      <w:cs w:val="0"/>
      <w:lang w:val="sk-S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C6F3-F957-4830-8A3D-CEE02124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  SPRÁVA</vt:lpstr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  SPRÁVA</dc:title>
  <dc:creator>Your User Name;var</dc:creator>
  <cp:lastModifiedBy>Čepček, Martin (asistent)</cp:lastModifiedBy>
  <cp:revision>3</cp:revision>
  <cp:lastPrinted>2020-05-15T12:13:00Z</cp:lastPrinted>
  <dcterms:created xsi:type="dcterms:W3CDTF">2021-08-31T13:22:00Z</dcterms:created>
  <dcterms:modified xsi:type="dcterms:W3CDTF">2021-08-31T13:23:00Z</dcterms:modified>
</cp:coreProperties>
</file>