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E2" w:rsidRDefault="002C5CE2" w:rsidP="002C5CE2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DOLOŽKA ZLUČITEĽNOSTI</w:t>
      </w:r>
    </w:p>
    <w:p w:rsidR="002C5CE2" w:rsidRDefault="002C5CE2" w:rsidP="002C5CE2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právneho predpisu s právom Európskej únie</w:t>
      </w:r>
    </w:p>
    <w:p w:rsidR="002C5CE2" w:rsidRDefault="002C5CE2" w:rsidP="002C5CE2">
      <w:pPr>
        <w:spacing w:line="276" w:lineRule="auto"/>
        <w:jc w:val="center"/>
        <w:rPr>
          <w:b/>
          <w:color w:val="000000" w:themeColor="text1"/>
        </w:rPr>
      </w:pPr>
    </w:p>
    <w:p w:rsidR="00444BF6" w:rsidRPr="00444BF6" w:rsidRDefault="002C5CE2" w:rsidP="009F71F4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</w:rPr>
      </w:pPr>
      <w:r w:rsidRPr="00444BF6">
        <w:rPr>
          <w:b/>
          <w:color w:val="000000" w:themeColor="text1"/>
        </w:rPr>
        <w:t xml:space="preserve">Predkladateľ právneho predpisu: </w:t>
      </w:r>
    </w:p>
    <w:p w:rsidR="002C5CE2" w:rsidRPr="00444BF6" w:rsidRDefault="002C5CE2" w:rsidP="00444BF6">
      <w:pPr>
        <w:pStyle w:val="Odsekzoznamu"/>
        <w:spacing w:line="276" w:lineRule="auto"/>
        <w:ind w:left="284"/>
        <w:jc w:val="both"/>
        <w:rPr>
          <w:color w:val="000000" w:themeColor="text1"/>
        </w:rPr>
      </w:pPr>
      <w:r w:rsidRPr="00444BF6">
        <w:rPr>
          <w:color w:val="000000" w:themeColor="text1"/>
        </w:rPr>
        <w:t xml:space="preserve">Poslanec Národnej rady Slovenskej republiky </w:t>
      </w:r>
      <w:r w:rsidR="0027109F" w:rsidRPr="00444BF6">
        <w:rPr>
          <w:color w:val="000000" w:themeColor="text1"/>
        </w:rPr>
        <w:t xml:space="preserve">Jaroslav Karahuta. </w:t>
      </w:r>
      <w:r w:rsidRPr="00444BF6">
        <w:rPr>
          <w:color w:val="000000" w:themeColor="text1"/>
        </w:rPr>
        <w:t xml:space="preserve"> </w:t>
      </w:r>
    </w:p>
    <w:p w:rsidR="002C5CE2" w:rsidRDefault="002C5CE2" w:rsidP="002C5CE2">
      <w:pPr>
        <w:spacing w:line="276" w:lineRule="auto"/>
        <w:jc w:val="both"/>
        <w:rPr>
          <w:color w:val="000000" w:themeColor="text1"/>
        </w:rPr>
      </w:pPr>
    </w:p>
    <w:p w:rsidR="00444BF6" w:rsidRPr="00444BF6" w:rsidRDefault="002C5CE2" w:rsidP="00444BF6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</w:rPr>
      </w:pPr>
      <w:r w:rsidRPr="00444BF6">
        <w:rPr>
          <w:b/>
          <w:color w:val="000000" w:themeColor="text1"/>
        </w:rPr>
        <w:t>Názov návrhu právneho predpisu</w:t>
      </w:r>
      <w:r w:rsidRPr="00444BF6">
        <w:rPr>
          <w:color w:val="000000" w:themeColor="text1"/>
        </w:rPr>
        <w:t xml:space="preserve">: </w:t>
      </w:r>
      <w:r w:rsidR="006764C2" w:rsidRPr="00444BF6">
        <w:rPr>
          <w:color w:val="000000" w:themeColor="text1"/>
        </w:rPr>
        <w:t xml:space="preserve"> </w:t>
      </w:r>
    </w:p>
    <w:p w:rsidR="002C5CE2" w:rsidRPr="00444BF6" w:rsidRDefault="0027109F" w:rsidP="00444BF6">
      <w:pPr>
        <w:pStyle w:val="Odsekzoznamu"/>
        <w:spacing w:line="276" w:lineRule="auto"/>
        <w:ind w:left="284"/>
        <w:jc w:val="both"/>
        <w:rPr>
          <w:color w:val="000000" w:themeColor="text1"/>
        </w:rPr>
      </w:pPr>
      <w:r w:rsidRPr="00444BF6">
        <w:rPr>
          <w:color w:val="000000" w:themeColor="text1"/>
        </w:rPr>
        <w:t>N</w:t>
      </w:r>
      <w:r w:rsidR="002C5CE2" w:rsidRPr="00444BF6">
        <w:rPr>
          <w:color w:val="000000" w:themeColor="text1"/>
        </w:rPr>
        <w:t>ávrh zákona, ktorým sa dopĺňa zákon č. 39/2007 Z. z. o veterinárnej starostlivosti v znení neskorších predpisov</w:t>
      </w:r>
    </w:p>
    <w:p w:rsidR="002C5CE2" w:rsidRDefault="002C5CE2" w:rsidP="002C5CE2">
      <w:pPr>
        <w:jc w:val="both"/>
        <w:rPr>
          <w:color w:val="000000" w:themeColor="text1"/>
        </w:rPr>
      </w:pPr>
    </w:p>
    <w:p w:rsidR="002C5CE2" w:rsidRDefault="002C5CE2" w:rsidP="002C5CE2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3.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Problematika návrhu právneho predpisu je upravená:</w:t>
      </w:r>
    </w:p>
    <w:p w:rsidR="002C5CE2" w:rsidRDefault="002C5CE2" w:rsidP="002C5CE2">
      <w:pPr>
        <w:ind w:left="709" w:hanging="349"/>
        <w:rPr>
          <w:color w:val="000000" w:themeColor="text1"/>
        </w:rPr>
      </w:pPr>
    </w:p>
    <w:p w:rsidR="002C5CE2" w:rsidRPr="0027109F" w:rsidRDefault="002C5CE2" w:rsidP="002C5CE2">
      <w:pPr>
        <w:ind w:left="709" w:hanging="349"/>
        <w:rPr>
          <w:i/>
          <w:color w:val="000000" w:themeColor="text1"/>
        </w:rPr>
      </w:pPr>
      <w:r w:rsidRPr="0027109F">
        <w:rPr>
          <w:i/>
          <w:color w:val="000000" w:themeColor="text1"/>
        </w:rPr>
        <w:t>a)</w:t>
      </w:r>
      <w:r w:rsidRPr="0027109F">
        <w:rPr>
          <w:i/>
          <w:color w:val="000000" w:themeColor="text1"/>
        </w:rPr>
        <w:tab/>
        <w:t>v primárnom práve</w:t>
      </w:r>
      <w:r w:rsidRPr="0027109F">
        <w:rPr>
          <w:i/>
          <w:color w:val="000000" w:themeColor="text1"/>
        </w:rPr>
        <w:tab/>
      </w:r>
    </w:p>
    <w:p w:rsidR="002C5CE2" w:rsidRDefault="002C5CE2" w:rsidP="002C5CE2">
      <w:pPr>
        <w:ind w:left="709" w:hanging="349"/>
        <w:rPr>
          <w:i/>
          <w:color w:val="000000" w:themeColor="text1"/>
        </w:rPr>
      </w:pPr>
      <w:r>
        <w:rPr>
          <w:color w:val="000000" w:themeColor="text1"/>
        </w:rPr>
        <w:t xml:space="preserve">Zmluva o fungovaní Európskej únie </w:t>
      </w:r>
    </w:p>
    <w:p w:rsidR="002C5CE2" w:rsidRDefault="002C5CE2" w:rsidP="002C5CE2">
      <w:pPr>
        <w:ind w:left="851"/>
        <w:jc w:val="both"/>
        <w:rPr>
          <w:color w:val="000000" w:themeColor="text1"/>
        </w:rPr>
      </w:pPr>
    </w:p>
    <w:p w:rsidR="002C5CE2" w:rsidRPr="0027109F" w:rsidRDefault="002C5CE2" w:rsidP="002C5CE2">
      <w:pPr>
        <w:ind w:firstLine="360"/>
        <w:rPr>
          <w:i/>
          <w:color w:val="000000" w:themeColor="text1"/>
        </w:rPr>
      </w:pPr>
      <w:r w:rsidRPr="0027109F">
        <w:rPr>
          <w:i/>
          <w:color w:val="000000" w:themeColor="text1"/>
        </w:rPr>
        <w:t>b) sekundárnom práve</w:t>
      </w:r>
    </w:p>
    <w:p w:rsidR="002C5CE2" w:rsidRDefault="002C5CE2" w:rsidP="002C5CE2">
      <w:pPr>
        <w:suppressAutoHyphens/>
        <w:ind w:left="360"/>
        <w:jc w:val="both"/>
        <w:rPr>
          <w:color w:val="000000" w:themeColor="text1"/>
        </w:rPr>
      </w:pPr>
      <w:r>
        <w:t>čl. 10 ods. 3 a ods. 4 písm. b) Nariadenie Európskeho parlamentu a rady (ES) č. 853/2004 z 29. apríla 2004, ktorým sa ustanovujú osobitné hygienické predpisy pre potraviny živočíšneho pôvodu</w:t>
      </w:r>
    </w:p>
    <w:tbl>
      <w:tblPr>
        <w:tblW w:w="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8658"/>
      </w:tblGrid>
      <w:tr w:rsidR="002C5CE2" w:rsidTr="002C5CE2">
        <w:tc>
          <w:tcPr>
            <w:tcW w:w="8658" w:type="dxa"/>
          </w:tcPr>
          <w:p w:rsidR="002C5CE2" w:rsidRDefault="002C5CE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</w:tbl>
    <w:p w:rsidR="002C5CE2" w:rsidRDefault="002C5CE2" w:rsidP="002C5CE2">
      <w:pPr>
        <w:ind w:left="709" w:hanging="349"/>
        <w:rPr>
          <w:color w:val="000000" w:themeColor="text1"/>
        </w:rPr>
      </w:pPr>
      <w:r>
        <w:rPr>
          <w:color w:val="000000" w:themeColor="text1"/>
        </w:rPr>
        <w:t>c)</w:t>
      </w:r>
      <w:r>
        <w:rPr>
          <w:color w:val="000000" w:themeColor="text1"/>
        </w:rPr>
        <w:tab/>
        <w:t>nie je obsiahnutá v judikatúre Súdneho dvora Európskej únie.</w:t>
      </w:r>
    </w:p>
    <w:p w:rsidR="002C5CE2" w:rsidRDefault="002C5CE2" w:rsidP="002C5CE2">
      <w:pPr>
        <w:pStyle w:val="odsek"/>
        <w:keepNext w:val="0"/>
        <w:widowControl w:val="0"/>
        <w:ind w:firstLine="0"/>
        <w:rPr>
          <w:color w:val="000000" w:themeColor="text1"/>
        </w:rPr>
      </w:pPr>
    </w:p>
    <w:p w:rsidR="002C5CE2" w:rsidRDefault="002C5CE2" w:rsidP="002C5CE2">
      <w:pPr>
        <w:pStyle w:val="odsek"/>
        <w:keepNext w:val="0"/>
        <w:widowControl w:val="0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4. Záväzky Slovenskej republiky vo vzťahu k Európskej únii:</w:t>
      </w:r>
    </w:p>
    <w:p w:rsidR="002C5CE2" w:rsidRDefault="002C5CE2" w:rsidP="002C5CE2">
      <w:pPr>
        <w:pStyle w:val="odsek"/>
        <w:keepNext w:val="0"/>
        <w:widowControl w:val="0"/>
        <w:ind w:firstLine="0"/>
        <w:rPr>
          <w:b/>
          <w:color w:val="000000" w:themeColor="text1"/>
        </w:rPr>
      </w:pPr>
    </w:p>
    <w:p w:rsidR="002C5CE2" w:rsidRPr="0027109F" w:rsidRDefault="002C5CE2" w:rsidP="002C5CE2">
      <w:pPr>
        <w:pStyle w:val="Normlnywebov"/>
        <w:numPr>
          <w:ilvl w:val="0"/>
          <w:numId w:val="1"/>
        </w:numPr>
        <w:rPr>
          <w:i/>
          <w:color w:val="000000" w:themeColor="text1"/>
        </w:rPr>
      </w:pPr>
      <w:r w:rsidRPr="0027109F">
        <w:rPr>
          <w:i/>
          <w:color w:val="000000" w:themeColor="text1"/>
        </w:rPr>
        <w:t>lehota na prebranie príslušného právneho aktu Európskej únie, príp. osobitná lehota účinnosti jeho ustanovení,</w:t>
      </w:r>
    </w:p>
    <w:p w:rsidR="002C5CE2" w:rsidRDefault="002C5CE2" w:rsidP="002C5CE2">
      <w:pPr>
        <w:ind w:left="709"/>
        <w:jc w:val="both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>bez lehoty</w:t>
      </w:r>
    </w:p>
    <w:p w:rsidR="0027109F" w:rsidRDefault="0027109F" w:rsidP="002C5CE2">
      <w:pPr>
        <w:ind w:left="709"/>
        <w:jc w:val="both"/>
        <w:rPr>
          <w:rFonts w:asciiTheme="minorHAnsi" w:hAnsiTheme="minorHAnsi" w:cs="Times"/>
          <w:color w:val="000000" w:themeColor="text1"/>
        </w:rPr>
      </w:pPr>
    </w:p>
    <w:p w:rsidR="002C5CE2" w:rsidRPr="0027109F" w:rsidRDefault="002C5CE2" w:rsidP="002C5CE2">
      <w:pPr>
        <w:pStyle w:val="Normlnywebov"/>
        <w:numPr>
          <w:ilvl w:val="0"/>
          <w:numId w:val="1"/>
        </w:numPr>
        <w:rPr>
          <w:rFonts w:asciiTheme="minorHAnsi" w:hAnsiTheme="minorHAnsi"/>
          <w:i/>
          <w:color w:val="000000" w:themeColor="text1"/>
        </w:rPr>
      </w:pPr>
      <w:r w:rsidRPr="0027109F">
        <w:rPr>
          <w:i/>
          <w:color w:val="000000" w:themeColor="text1"/>
        </w:rPr>
        <w:t>informácia o konaní začatom v rámci</w:t>
      </w:r>
    </w:p>
    <w:p w:rsidR="002C5CE2" w:rsidRDefault="002C5CE2" w:rsidP="002C5CE2">
      <w:pPr>
        <w:pStyle w:val="Normlnywebov"/>
        <w:ind w:left="720"/>
        <w:rPr>
          <w:color w:val="000000" w:themeColor="text1"/>
        </w:rPr>
      </w:pPr>
      <w:r>
        <w:rPr>
          <w:color w:val="000000" w:themeColor="text1"/>
        </w:rPr>
        <w:t>bezpredmetné</w:t>
      </w:r>
    </w:p>
    <w:p w:rsidR="0027109F" w:rsidRDefault="0027109F" w:rsidP="002C5CE2">
      <w:pPr>
        <w:pStyle w:val="Normlnywebov"/>
        <w:ind w:left="720"/>
        <w:rPr>
          <w:rFonts w:asciiTheme="minorHAnsi" w:hAnsiTheme="minorHAnsi"/>
          <w:color w:val="000000" w:themeColor="text1"/>
        </w:rPr>
      </w:pPr>
    </w:p>
    <w:p w:rsidR="002C5CE2" w:rsidRDefault="002C5CE2" w:rsidP="002C5CE2">
      <w:pPr>
        <w:pStyle w:val="Normlnywebov"/>
        <w:numPr>
          <w:ilvl w:val="0"/>
          <w:numId w:val="1"/>
        </w:numPr>
        <w:spacing w:after="120"/>
        <w:rPr>
          <w:i/>
          <w:color w:val="000000" w:themeColor="text1"/>
        </w:rPr>
      </w:pPr>
      <w:r w:rsidRPr="0027109F">
        <w:rPr>
          <w:i/>
          <w:color w:val="000000" w:themeColor="text1"/>
        </w:rPr>
        <w:t xml:space="preserve">informácia o právnych predpisoch, v ktorých sú uvádzané právne akty Európskej únie už prebrané, spolu s uvedením rozsahu ich prebrania, príp. potreby prijatia ďalších úprav </w:t>
      </w:r>
    </w:p>
    <w:p w:rsidR="00B8671C" w:rsidRDefault="00B8671C" w:rsidP="00B8671C">
      <w:pPr>
        <w:pStyle w:val="Normlnywebov"/>
        <w:spacing w:after="120"/>
        <w:ind w:left="720"/>
        <w:rPr>
          <w:color w:val="000000" w:themeColor="text1"/>
        </w:rPr>
      </w:pPr>
      <w:r w:rsidRPr="00B8671C">
        <w:rPr>
          <w:color w:val="000000" w:themeColor="text1"/>
        </w:rPr>
        <w:t>bezpredmetné</w:t>
      </w:r>
    </w:p>
    <w:p w:rsidR="00A91EB6" w:rsidRPr="00B8671C" w:rsidRDefault="00A91EB6" w:rsidP="00B8671C">
      <w:pPr>
        <w:pStyle w:val="Normlnywebov"/>
        <w:spacing w:after="120"/>
        <w:ind w:left="720"/>
        <w:rPr>
          <w:color w:val="000000" w:themeColor="text1"/>
        </w:rPr>
      </w:pPr>
    </w:p>
    <w:p w:rsidR="002C5CE2" w:rsidRDefault="002C5CE2" w:rsidP="002C5CE2">
      <w:pPr>
        <w:spacing w:after="120"/>
        <w:ind w:left="357" w:hanging="357"/>
        <w:rPr>
          <w:b/>
          <w:color w:val="000000" w:themeColor="text1"/>
        </w:rPr>
      </w:pPr>
      <w:r>
        <w:rPr>
          <w:b/>
          <w:color w:val="000000" w:themeColor="text1"/>
        </w:rPr>
        <w:t>5.</w:t>
      </w:r>
      <w:r>
        <w:rPr>
          <w:b/>
          <w:color w:val="000000" w:themeColor="text1"/>
        </w:rPr>
        <w:tab/>
        <w:t>Návrh nariadenia vlády je zlučiteľný s právom Európskej únie:</w:t>
      </w:r>
    </w:p>
    <w:p w:rsidR="002C5CE2" w:rsidRDefault="002C5CE2" w:rsidP="002C5CE2">
      <w:pPr>
        <w:pStyle w:val="odsek"/>
        <w:keepNext w:val="0"/>
        <w:widowControl w:val="0"/>
        <w:spacing w:line="276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color w:val="000000" w:themeColor="text1"/>
        </w:rPr>
        <w:t>úplne</w:t>
      </w:r>
    </w:p>
    <w:p w:rsidR="0027109F" w:rsidRDefault="0027109F" w:rsidP="002C5CE2">
      <w:pPr>
        <w:pStyle w:val="Normlnywebov"/>
        <w:widowControl/>
        <w:spacing w:before="120" w:after="0" w:line="276" w:lineRule="auto"/>
        <w:ind w:left="0"/>
        <w:jc w:val="center"/>
        <w:rPr>
          <w:b/>
          <w:bCs/>
          <w:caps/>
          <w:color w:val="000000" w:themeColor="text1"/>
          <w:spacing w:val="30"/>
          <w:lang w:eastAsia="sk-SK" w:bidi="si-LK"/>
        </w:rPr>
      </w:pPr>
    </w:p>
    <w:p w:rsidR="0027109F" w:rsidRDefault="0027109F" w:rsidP="002C5CE2">
      <w:pPr>
        <w:pStyle w:val="Normlnywebov"/>
        <w:widowControl/>
        <w:spacing w:before="120" w:after="0" w:line="276" w:lineRule="auto"/>
        <w:ind w:left="0"/>
        <w:jc w:val="center"/>
        <w:rPr>
          <w:b/>
          <w:bCs/>
          <w:caps/>
          <w:color w:val="000000" w:themeColor="text1"/>
          <w:spacing w:val="30"/>
          <w:lang w:eastAsia="sk-SK" w:bidi="si-LK"/>
        </w:rPr>
      </w:pPr>
    </w:p>
    <w:p w:rsidR="0027109F" w:rsidRDefault="0027109F" w:rsidP="002C5CE2">
      <w:pPr>
        <w:pStyle w:val="Normlnywebov"/>
        <w:widowControl/>
        <w:spacing w:before="120" w:after="0" w:line="276" w:lineRule="auto"/>
        <w:ind w:left="0"/>
        <w:jc w:val="center"/>
        <w:rPr>
          <w:b/>
          <w:bCs/>
          <w:caps/>
          <w:color w:val="000000" w:themeColor="text1"/>
          <w:spacing w:val="30"/>
          <w:lang w:eastAsia="sk-SK" w:bidi="si-LK"/>
        </w:rPr>
      </w:pPr>
    </w:p>
    <w:p w:rsidR="0027109F" w:rsidRDefault="0027109F" w:rsidP="002C5CE2">
      <w:pPr>
        <w:pStyle w:val="Normlnywebov"/>
        <w:widowControl/>
        <w:spacing w:before="120" w:after="0" w:line="276" w:lineRule="auto"/>
        <w:ind w:left="0"/>
        <w:jc w:val="center"/>
        <w:rPr>
          <w:b/>
          <w:bCs/>
          <w:caps/>
          <w:color w:val="000000" w:themeColor="text1"/>
          <w:spacing w:val="30"/>
          <w:lang w:eastAsia="sk-SK" w:bidi="si-LK"/>
        </w:rPr>
      </w:pPr>
    </w:p>
    <w:p w:rsidR="0027109F" w:rsidRDefault="0027109F" w:rsidP="002C5CE2">
      <w:pPr>
        <w:pStyle w:val="Normlnywebov"/>
        <w:widowControl/>
        <w:spacing w:before="120" w:after="0" w:line="276" w:lineRule="auto"/>
        <w:ind w:left="0"/>
        <w:jc w:val="center"/>
        <w:rPr>
          <w:b/>
          <w:bCs/>
          <w:caps/>
          <w:color w:val="000000" w:themeColor="text1"/>
          <w:spacing w:val="30"/>
          <w:lang w:eastAsia="sk-SK" w:bidi="si-LK"/>
        </w:rPr>
      </w:pPr>
    </w:p>
    <w:p w:rsidR="002C5CE2" w:rsidRDefault="002C5CE2" w:rsidP="002C5CE2">
      <w:pPr>
        <w:pStyle w:val="Normlnywebov"/>
        <w:widowControl/>
        <w:spacing w:before="120" w:after="0" w:line="276" w:lineRule="auto"/>
        <w:ind w:left="0"/>
        <w:jc w:val="center"/>
        <w:rPr>
          <w:color w:val="000000" w:themeColor="text1"/>
          <w:lang w:eastAsia="sk-SK" w:bidi="si-LK"/>
        </w:rPr>
      </w:pPr>
      <w:r>
        <w:rPr>
          <w:b/>
          <w:bCs/>
          <w:caps/>
          <w:color w:val="000000" w:themeColor="text1"/>
          <w:spacing w:val="30"/>
          <w:lang w:eastAsia="sk-SK" w:bidi="si-LK"/>
        </w:rPr>
        <w:lastRenderedPageBreak/>
        <w:t>Doložka</w:t>
      </w:r>
    </w:p>
    <w:p w:rsidR="002C5CE2" w:rsidRDefault="002C5CE2" w:rsidP="002C5CE2">
      <w:pPr>
        <w:pStyle w:val="Normlnywebov"/>
        <w:widowControl/>
        <w:spacing w:before="120" w:after="0" w:line="276" w:lineRule="auto"/>
        <w:ind w:left="0"/>
        <w:jc w:val="center"/>
        <w:rPr>
          <w:color w:val="000000" w:themeColor="text1"/>
          <w:lang w:eastAsia="sk-SK" w:bidi="si-LK"/>
        </w:rPr>
      </w:pPr>
      <w:r>
        <w:rPr>
          <w:b/>
          <w:bCs/>
          <w:color w:val="000000" w:themeColor="text1"/>
          <w:lang w:eastAsia="sk-SK" w:bidi="si-LK"/>
        </w:rPr>
        <w:t>vybraných vplyvov</w:t>
      </w:r>
    </w:p>
    <w:p w:rsidR="002C5CE2" w:rsidRDefault="002C5CE2" w:rsidP="002C5CE2">
      <w:pPr>
        <w:pStyle w:val="Normlnywebov"/>
        <w:widowControl/>
        <w:spacing w:before="120" w:after="0" w:line="276" w:lineRule="auto"/>
        <w:ind w:left="0"/>
        <w:rPr>
          <w:color w:val="000000" w:themeColor="text1"/>
          <w:lang w:eastAsia="sk-SK" w:bidi="si-LK"/>
        </w:rPr>
      </w:pPr>
      <w:r>
        <w:rPr>
          <w:color w:val="000000" w:themeColor="text1"/>
          <w:lang w:eastAsia="sk-SK" w:bidi="si-LK"/>
        </w:rPr>
        <w:t> </w:t>
      </w:r>
    </w:p>
    <w:p w:rsidR="00444BF6" w:rsidRDefault="002C5CE2" w:rsidP="002C5CE2">
      <w:pPr>
        <w:autoSpaceDE w:val="0"/>
        <w:autoSpaceDN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A.1. Názov materiálu: </w:t>
      </w:r>
    </w:p>
    <w:p w:rsidR="002C5CE2" w:rsidRDefault="002C5CE2" w:rsidP="002C5CE2">
      <w:pPr>
        <w:autoSpaceDE w:val="0"/>
        <w:autoSpaceDN w:val="0"/>
        <w:jc w:val="both"/>
        <w:rPr>
          <w:color w:val="000000" w:themeColor="text1"/>
        </w:rPr>
      </w:pPr>
      <w:r>
        <w:rPr>
          <w:bCs/>
          <w:color w:val="000000" w:themeColor="text1"/>
        </w:rPr>
        <w:t>Návrh zákona,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ktorým sa dopĺňa zákon č. 39/2007 Z. z. o veterinárnej starostlivosti v znení neskorších predpisov.</w:t>
      </w:r>
    </w:p>
    <w:p w:rsidR="00444BF6" w:rsidRDefault="002C5CE2" w:rsidP="002C5CE2">
      <w:pPr>
        <w:pStyle w:val="Normlnywebov"/>
        <w:widowControl/>
        <w:spacing w:before="120" w:after="0" w:line="276" w:lineRule="auto"/>
        <w:ind w:left="0"/>
        <w:rPr>
          <w:color w:val="000000" w:themeColor="text1"/>
          <w:lang w:eastAsia="sk-SK" w:bidi="si-LK"/>
        </w:rPr>
      </w:pPr>
      <w:r>
        <w:rPr>
          <w:b/>
          <w:bCs/>
          <w:color w:val="000000" w:themeColor="text1"/>
          <w:lang w:eastAsia="sk-SK" w:bidi="si-LK"/>
        </w:rPr>
        <w:t>Termín začatia a ukončenia PPK:</w:t>
      </w:r>
      <w:r>
        <w:rPr>
          <w:color w:val="000000" w:themeColor="text1"/>
          <w:lang w:eastAsia="sk-SK" w:bidi="si-LK"/>
        </w:rPr>
        <w:t xml:space="preserve"> </w:t>
      </w:r>
    </w:p>
    <w:p w:rsidR="002C5CE2" w:rsidRDefault="002C5CE2" w:rsidP="002C5CE2">
      <w:pPr>
        <w:pStyle w:val="Normlnywebov"/>
        <w:widowControl/>
        <w:spacing w:before="120" w:after="0" w:line="276" w:lineRule="auto"/>
        <w:ind w:left="0"/>
        <w:rPr>
          <w:color w:val="000000" w:themeColor="text1"/>
          <w:lang w:eastAsia="sk-SK" w:bidi="si-LK"/>
        </w:rPr>
      </w:pPr>
      <w:r>
        <w:rPr>
          <w:iCs/>
          <w:color w:val="000000" w:themeColor="text1"/>
          <w:lang w:eastAsia="sk-SK" w:bidi="si-LK"/>
        </w:rPr>
        <w:t>bezpredmetné</w:t>
      </w:r>
    </w:p>
    <w:p w:rsidR="002C5CE2" w:rsidRDefault="002C5CE2" w:rsidP="002C5CE2">
      <w:pPr>
        <w:pStyle w:val="Normlnywebov"/>
        <w:widowControl/>
        <w:spacing w:before="120" w:after="0" w:line="276" w:lineRule="auto"/>
        <w:ind w:left="0"/>
        <w:rPr>
          <w:color w:val="000000" w:themeColor="text1"/>
          <w:lang w:eastAsia="sk-SK" w:bidi="si-LK"/>
        </w:rPr>
      </w:pPr>
      <w:bookmarkStart w:id="0" w:name="_GoBack"/>
      <w:bookmarkEnd w:id="0"/>
      <w:r>
        <w:rPr>
          <w:b/>
          <w:bCs/>
          <w:color w:val="000000" w:themeColor="text1"/>
          <w:lang w:eastAsia="sk-SK" w:bidi="si-LK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1196"/>
        <w:gridCol w:w="1189"/>
        <w:gridCol w:w="1198"/>
      </w:tblGrid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Negatívne </w:t>
            </w: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Pr="0027109F" w:rsidRDefault="0027109F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FF0000"/>
                <w:lang w:eastAsia="en-US" w:bidi="si-LK"/>
              </w:rPr>
            </w:pPr>
            <w:r w:rsidRPr="00A13F1C">
              <w:rPr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</w:t>
            </w: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rPr>
                <w:color w:val="000000" w:themeColor="text1"/>
                <w:lang w:eastAsia="en-US" w:bidi="si-LK"/>
              </w:rPr>
            </w:pP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– vplyvy na hospodárenie obyvateľstva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</w:t>
            </w: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 xml:space="preserve">– sociálnu </w:t>
            </w:r>
            <w:proofErr w:type="spellStart"/>
            <w:r>
              <w:rPr>
                <w:color w:val="000000" w:themeColor="text1"/>
                <w:lang w:eastAsia="en-US" w:bidi="si-LK"/>
              </w:rPr>
              <w:t>exklúziu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</w:t>
            </w: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</w:t>
            </w: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</w:t>
            </w: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 </w:t>
            </w: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 xml:space="preserve">6. </w:t>
            </w:r>
            <w:r>
              <w:rPr>
                <w:rStyle w:val="awspan1"/>
                <w:color w:val="000000" w:themeColor="text1"/>
                <w:lang w:eastAsia="en-US" w:bidi="si-LK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</w:tr>
      <w:tr w:rsidR="002C5CE2" w:rsidTr="002C5CE2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 xml:space="preserve">7. </w:t>
            </w:r>
            <w:r>
              <w:rPr>
                <w:rStyle w:val="awspan1"/>
                <w:color w:val="000000" w:themeColor="text1"/>
                <w:lang w:eastAsia="en-US" w:bidi="si-LK"/>
              </w:rPr>
              <w:t>Vplyvy na manželstvo, rodičovstvo a 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  <w:r>
              <w:rPr>
                <w:color w:val="000000" w:themeColor="text1"/>
                <w:lang w:eastAsia="en-US" w:bidi="si-L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CE2" w:rsidRDefault="002C5CE2">
            <w:pPr>
              <w:pStyle w:val="Normlnywebov"/>
              <w:widowControl/>
              <w:spacing w:before="120" w:after="0" w:line="276" w:lineRule="auto"/>
              <w:ind w:left="0"/>
              <w:jc w:val="center"/>
              <w:rPr>
                <w:color w:val="000000" w:themeColor="text1"/>
                <w:lang w:eastAsia="en-US" w:bidi="si-LK"/>
              </w:rPr>
            </w:pPr>
          </w:p>
        </w:tc>
      </w:tr>
    </w:tbl>
    <w:p w:rsidR="002C5CE2" w:rsidRDefault="002C5CE2" w:rsidP="002C5CE2">
      <w:pPr>
        <w:pStyle w:val="Normlnywebov"/>
        <w:widowControl/>
        <w:spacing w:before="120" w:after="0" w:line="276" w:lineRule="auto"/>
        <w:ind w:left="0"/>
        <w:rPr>
          <w:color w:val="000000" w:themeColor="text1"/>
          <w:lang w:eastAsia="sk-SK" w:bidi="si-LK"/>
        </w:rPr>
      </w:pPr>
      <w:r>
        <w:rPr>
          <w:color w:val="000000" w:themeColor="text1"/>
          <w:lang w:eastAsia="sk-SK" w:bidi="si-LK"/>
        </w:rPr>
        <w:t> </w:t>
      </w:r>
    </w:p>
    <w:p w:rsidR="002C5CE2" w:rsidRDefault="002C5CE2" w:rsidP="002C5CE2">
      <w:pPr>
        <w:pStyle w:val="Normlnywebov"/>
        <w:widowControl/>
        <w:spacing w:before="120" w:after="0"/>
        <w:ind w:left="0"/>
        <w:rPr>
          <w:color w:val="000000" w:themeColor="text1"/>
          <w:lang w:eastAsia="sk-SK" w:bidi="si-LK"/>
        </w:rPr>
      </w:pPr>
      <w:r>
        <w:rPr>
          <w:b/>
          <w:bCs/>
          <w:color w:val="000000" w:themeColor="text1"/>
          <w:lang w:eastAsia="sk-SK" w:bidi="si-LK"/>
        </w:rPr>
        <w:t>A.3. Poznámky</w:t>
      </w:r>
    </w:p>
    <w:p w:rsidR="002C5CE2" w:rsidRDefault="002C5CE2" w:rsidP="0027109F">
      <w:pPr>
        <w:jc w:val="both"/>
        <w:rPr>
          <w:color w:val="FF0000"/>
        </w:rPr>
      </w:pPr>
      <w:r>
        <w:rPr>
          <w:iCs/>
          <w:color w:val="000000" w:themeColor="text1"/>
        </w:rPr>
        <w:t>Možno očakávať pozitívny vplyv na podnikateľské prostredie z dôvodu možnosti žiadať o schválenie malých farmárskych bitúnkov s povolenými výnimkami z legislatívnych požiadaviek Európskej únie pokiaľ ide o výrobu a rozrábanie mäsa domácich kopytníkov</w:t>
      </w:r>
      <w:r w:rsidR="00A013EC">
        <w:rPr>
          <w:iCs/>
          <w:color w:val="000000" w:themeColor="text1"/>
        </w:rPr>
        <w:t xml:space="preserve"> a farmového chovu</w:t>
      </w:r>
      <w:r>
        <w:rPr>
          <w:iCs/>
          <w:color w:val="000000" w:themeColor="text1"/>
        </w:rPr>
        <w:t>.</w:t>
      </w:r>
    </w:p>
    <w:p w:rsidR="002C5CE2" w:rsidRDefault="002C5CE2" w:rsidP="002C5CE2">
      <w:pPr>
        <w:pStyle w:val="Normlnywebov"/>
        <w:widowControl/>
        <w:spacing w:before="120" w:after="0"/>
        <w:ind w:left="0"/>
        <w:contextualSpacing/>
        <w:rPr>
          <w:iCs/>
          <w:color w:val="FF0000"/>
          <w:lang w:eastAsia="sk-SK" w:bidi="si-LK"/>
        </w:rPr>
      </w:pPr>
    </w:p>
    <w:p w:rsidR="002C5CE2" w:rsidRDefault="002C5CE2" w:rsidP="002C5CE2">
      <w:pPr>
        <w:pStyle w:val="Normlnywebov"/>
        <w:widowControl/>
        <w:spacing w:before="120" w:after="0"/>
        <w:ind w:left="0"/>
        <w:contextualSpacing/>
        <w:rPr>
          <w:color w:val="000000" w:themeColor="text1"/>
          <w:lang w:eastAsia="sk-SK" w:bidi="si-LK"/>
        </w:rPr>
      </w:pPr>
      <w:r>
        <w:rPr>
          <w:b/>
          <w:bCs/>
          <w:color w:val="000000" w:themeColor="text1"/>
          <w:lang w:eastAsia="sk-SK" w:bidi="si-LK"/>
        </w:rPr>
        <w:t>A.4. Alternatívne riešenia</w:t>
      </w:r>
    </w:p>
    <w:p w:rsidR="002C5CE2" w:rsidRDefault="002C5CE2" w:rsidP="002C5CE2">
      <w:pPr>
        <w:pStyle w:val="Normlnywebov"/>
        <w:widowControl/>
        <w:spacing w:before="120" w:after="0"/>
        <w:ind w:left="0"/>
        <w:contextualSpacing/>
        <w:rPr>
          <w:iCs/>
          <w:color w:val="000000" w:themeColor="text1"/>
          <w:lang w:eastAsia="sk-SK" w:bidi="si-LK"/>
        </w:rPr>
      </w:pPr>
      <w:r>
        <w:rPr>
          <w:iCs/>
          <w:color w:val="000000" w:themeColor="text1"/>
          <w:lang w:eastAsia="sk-SK" w:bidi="si-LK"/>
        </w:rPr>
        <w:t>Bezpredmetné</w:t>
      </w:r>
    </w:p>
    <w:p w:rsidR="002C5CE2" w:rsidRDefault="002C5CE2" w:rsidP="002C5CE2">
      <w:pPr>
        <w:pStyle w:val="Normlnywebov"/>
        <w:widowControl/>
        <w:spacing w:before="120" w:after="0"/>
        <w:ind w:left="0"/>
        <w:contextualSpacing/>
        <w:rPr>
          <w:color w:val="000000" w:themeColor="text1"/>
          <w:lang w:eastAsia="sk-SK" w:bidi="si-LK"/>
        </w:rPr>
      </w:pPr>
    </w:p>
    <w:p w:rsidR="002C5CE2" w:rsidRPr="00A13F1C" w:rsidRDefault="002C5CE2" w:rsidP="002C5CE2">
      <w:pPr>
        <w:pStyle w:val="Normlnywebov"/>
        <w:widowControl/>
        <w:spacing w:before="120" w:after="0"/>
        <w:ind w:left="0"/>
        <w:contextualSpacing/>
        <w:rPr>
          <w:b/>
          <w:bCs/>
          <w:lang w:eastAsia="sk-SK" w:bidi="si-LK"/>
        </w:rPr>
      </w:pPr>
      <w:r w:rsidRPr="00A13F1C">
        <w:rPr>
          <w:b/>
          <w:bCs/>
          <w:lang w:eastAsia="sk-SK" w:bidi="si-LK"/>
        </w:rPr>
        <w:t>A.5. Stanovisko gestorov</w:t>
      </w:r>
    </w:p>
    <w:p w:rsidR="0027109F" w:rsidRPr="00A13F1C" w:rsidRDefault="0027109F" w:rsidP="0027109F">
      <w:pPr>
        <w:jc w:val="both"/>
      </w:pPr>
      <w:r w:rsidRPr="00A13F1C">
        <w:t>Návrh zákona bol zaslaný na vyjadrenie Ministerstvu financií SR a stanovisko tohto ministerstva tvorí súčasť predkladaného materiálu.</w:t>
      </w:r>
    </w:p>
    <w:p w:rsidR="00B05AF0" w:rsidRPr="00A13F1C" w:rsidRDefault="00444BF6"/>
    <w:sectPr w:rsidR="00B05AF0" w:rsidRPr="00A13F1C" w:rsidSect="006764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186A"/>
    <w:multiLevelType w:val="hybridMultilevel"/>
    <w:tmpl w:val="6A84CED8"/>
    <w:lvl w:ilvl="0" w:tplc="AD66A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115FB"/>
    <w:multiLevelType w:val="hybridMultilevel"/>
    <w:tmpl w:val="E0BE58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E2"/>
    <w:rsid w:val="000D371C"/>
    <w:rsid w:val="0027109F"/>
    <w:rsid w:val="002C5CE2"/>
    <w:rsid w:val="00444BF6"/>
    <w:rsid w:val="004F14ED"/>
    <w:rsid w:val="00643414"/>
    <w:rsid w:val="006764C2"/>
    <w:rsid w:val="006C1549"/>
    <w:rsid w:val="00A01113"/>
    <w:rsid w:val="00A013EC"/>
    <w:rsid w:val="00A13F1C"/>
    <w:rsid w:val="00A91EB6"/>
    <w:rsid w:val="00B8671C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8647"/>
  <w15:chartTrackingRefBased/>
  <w15:docId w15:val="{52B264A1-CBD0-4CFD-A26C-4D16553E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5CE2"/>
    <w:pPr>
      <w:spacing w:line="240" w:lineRule="auto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34"/>
    <w:semiHidden/>
    <w:unhideWhenUsed/>
    <w:qFormat/>
    <w:rsid w:val="002C5CE2"/>
    <w:pPr>
      <w:widowControl w:val="0"/>
      <w:suppressAutoHyphens/>
      <w:autoSpaceDE w:val="0"/>
      <w:spacing w:before="60" w:after="60"/>
      <w:ind w:left="708"/>
      <w:jc w:val="both"/>
    </w:pPr>
    <w:rPr>
      <w:lang w:eastAsia="zh-CN"/>
    </w:rPr>
  </w:style>
  <w:style w:type="paragraph" w:customStyle="1" w:styleId="odsek">
    <w:name w:val="odsek"/>
    <w:basedOn w:val="Normlny"/>
    <w:uiPriority w:val="99"/>
    <w:qFormat/>
    <w:rsid w:val="002C5CE2"/>
    <w:pPr>
      <w:keepNext/>
      <w:ind w:firstLine="709"/>
      <w:jc w:val="both"/>
    </w:pPr>
  </w:style>
  <w:style w:type="character" w:customStyle="1" w:styleId="awspan1">
    <w:name w:val="awspan1"/>
    <w:basedOn w:val="Predvolenpsmoodseku"/>
    <w:rsid w:val="002C5CE2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4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Karahuta, Jaroslav</cp:lastModifiedBy>
  <cp:revision>5</cp:revision>
  <dcterms:created xsi:type="dcterms:W3CDTF">2021-08-30T14:58:00Z</dcterms:created>
  <dcterms:modified xsi:type="dcterms:W3CDTF">2021-08-31T07:05:00Z</dcterms:modified>
</cp:coreProperties>
</file>