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B6017" w14:textId="77777777" w:rsidR="002C4CC2" w:rsidRPr="00DA7E48" w:rsidRDefault="00E22710" w:rsidP="00E10F72">
      <w:pPr>
        <w:pStyle w:val="Nzov"/>
        <w:rPr>
          <w:rFonts w:ascii="Times New Roman" w:hAnsi="Times New Roman" w:cs="Times New Roman"/>
        </w:rPr>
      </w:pPr>
      <w:r w:rsidRPr="00DA7E48">
        <w:rPr>
          <w:rFonts w:ascii="Times New Roman" w:hAnsi="Times New Roman" w:cs="Times New Roman"/>
        </w:rPr>
        <w:t>Dôvodová</w:t>
      </w:r>
      <w:r w:rsidR="002C4CC2" w:rsidRPr="00DA7E48">
        <w:rPr>
          <w:rFonts w:ascii="Times New Roman" w:hAnsi="Times New Roman" w:cs="Times New Roman"/>
        </w:rPr>
        <w:t xml:space="preserve"> správa</w:t>
      </w:r>
    </w:p>
    <w:p w14:paraId="71E59C86" w14:textId="77777777" w:rsidR="005459C2" w:rsidRPr="00DA7E48" w:rsidRDefault="005459C2" w:rsidP="00E10F72">
      <w:pPr>
        <w:pStyle w:val="Nzov"/>
        <w:rPr>
          <w:rFonts w:ascii="Times New Roman" w:hAnsi="Times New Roman" w:cs="Times New Roman"/>
        </w:rPr>
      </w:pPr>
    </w:p>
    <w:p w14:paraId="57E22C58" w14:textId="77777777" w:rsidR="00A93BD1" w:rsidRPr="00DA7E48" w:rsidRDefault="00A93BD1" w:rsidP="00514FEE">
      <w:pPr>
        <w:spacing w:after="120"/>
        <w:jc w:val="both"/>
        <w:rPr>
          <w:b/>
          <w:bCs/>
          <w:u w:val="single"/>
        </w:rPr>
      </w:pPr>
      <w:r w:rsidRPr="00DA7E48">
        <w:rPr>
          <w:b/>
          <w:bCs/>
          <w:u w:val="single"/>
        </w:rPr>
        <w:t>Všeobecná časť:</w:t>
      </w:r>
    </w:p>
    <w:p w14:paraId="6994A9A9" w14:textId="0CBB41B1" w:rsidR="002631A8" w:rsidRPr="00DA7E48" w:rsidRDefault="002631A8" w:rsidP="00514FEE">
      <w:pPr>
        <w:ind w:firstLine="708"/>
        <w:jc w:val="both"/>
      </w:pPr>
      <w:r w:rsidRPr="00DA7E48">
        <w:t>Ministerstvo dopravy a výstavby Slovenskej republiky (ďalej len „MDV SR“) v spolupráci s Ministerstvom práce</w:t>
      </w:r>
      <w:r w:rsidR="00F80E4E" w:rsidRPr="00DA7E48">
        <w:t>,</w:t>
      </w:r>
      <w:r w:rsidRPr="00DA7E48">
        <w:t xml:space="preserve"> sociálnych vecí a rodiny (ďalej len „MPSVR SR“) vypracovalo návrh zákona, ktorým sa mení a dopĺňa zákon č. 462/2007 Z. z. o organizácii pracovného času v doprave a o zmene a doplnení zákona č. </w:t>
      </w:r>
      <w:hyperlink r:id="rId8" w:history="1">
        <w:r w:rsidRPr="00DA7E48">
          <w:t>125/2006 Z. z.</w:t>
        </w:r>
      </w:hyperlink>
      <w:r w:rsidRPr="00DA7E48">
        <w:t xml:space="preserve"> o inšpekcii práce a o zmene a doplnení zákona č. </w:t>
      </w:r>
      <w:hyperlink r:id="rId9" w:history="1">
        <w:r w:rsidRPr="00DA7E48">
          <w:t>82/2005 Z. z.</w:t>
        </w:r>
      </w:hyperlink>
      <w:r w:rsidRPr="00DA7E48">
        <w:t xml:space="preserve"> o nelegálnej práci a nelegálnom zamestnávaní a o zmene a doplnení niektorých zákonov v znení zákona č. </w:t>
      </w:r>
      <w:hyperlink r:id="rId10" w:history="1">
        <w:r w:rsidRPr="00DA7E48">
          <w:t>309/2007 Z. z.</w:t>
        </w:r>
      </w:hyperlink>
      <w:r w:rsidRPr="00DA7E48">
        <w:t xml:space="preserve"> v znení neskorších predpisov a ktorým sa menia a dopĺňajú niektoré zákony (ďalej len „návrh zákona“) na základe bodu B.6 uznesenia vlády SR č. 634/2020. </w:t>
      </w:r>
    </w:p>
    <w:p w14:paraId="1ACC0B94" w14:textId="1581FE46" w:rsidR="00A31D4A" w:rsidRPr="00DA7E48" w:rsidRDefault="00A31D4A" w:rsidP="00514FEE">
      <w:pPr>
        <w:jc w:val="both"/>
      </w:pPr>
      <w:r w:rsidRPr="00DA7E48">
        <w:t xml:space="preserve"> </w:t>
      </w:r>
    </w:p>
    <w:p w14:paraId="602E2140" w14:textId="60BABCFB" w:rsidR="00E94973" w:rsidRPr="00DA7E48" w:rsidRDefault="00C82F12" w:rsidP="00514FEE">
      <w:pPr>
        <w:jc w:val="both"/>
      </w:pPr>
      <w:r w:rsidRPr="00DA7E48">
        <w:tab/>
      </w:r>
      <w:r w:rsidR="007D36D9" w:rsidRPr="00DA7E48">
        <w:t>Primárnym cieľom</w:t>
      </w:r>
      <w:r w:rsidR="006D20C8" w:rsidRPr="00DA7E48">
        <w:t xml:space="preserve"> </w:t>
      </w:r>
      <w:r w:rsidR="00685FCD" w:rsidRPr="00DA7E48">
        <w:t>návrhu zákona</w:t>
      </w:r>
      <w:r w:rsidR="008B1C89" w:rsidRPr="00DA7E48">
        <w:t xml:space="preserve"> </w:t>
      </w:r>
      <w:r w:rsidR="007D36D9" w:rsidRPr="00DA7E48">
        <w:t xml:space="preserve">je transpozícia smernice Európskeho parlamentu a Rady (EÚ) 2020/1057 z 15. júla 2020, ktorou sa stanovujú špecifické pravidlá vo vzťahu k smernici 96/71/ES a smernici 2014/67/EÚ pre vysielanie vodičov v odvetví cestnej dopravy a ktorou sa mení smernica 2006/22/ES, pokiaľ ide o požiadavky týkajúce sa dodržiavania predpisov, a nariadenie (EÚ) č. 1024/2012 (ďalej len „smernica Európskeho parlamentu a Rady (EÚ) 2020/1057“). </w:t>
      </w:r>
      <w:r w:rsidR="00F11930" w:rsidRPr="00DA7E48">
        <w:t xml:space="preserve">Zároveň </w:t>
      </w:r>
      <w:r w:rsidR="002D0FD7" w:rsidRPr="00DA7E48">
        <w:t>sa predmetným návrhom</w:t>
      </w:r>
      <w:r w:rsidR="00F11930" w:rsidRPr="00DA7E48">
        <w:t xml:space="preserve"> zabezpečí vykonanie</w:t>
      </w:r>
      <w:r w:rsidR="00DA12FD" w:rsidRPr="00DA7E48">
        <w:t xml:space="preserve"> </w:t>
      </w:r>
      <w:r w:rsidR="00F11930" w:rsidRPr="00DA7E48">
        <w:t>Nariadenia Európskeho parlamentu a Rady (EÚ) 2020/1054 z 15. júla 2020, ktorým sa mení nariadenie (ES) č. 561/2006, pokiaľ ide o minimálne požiadavky na maximálne denné a týždenné časy jazdy, minimálne prestávky a doby denného a týždenného odpočinku, a nariadenie (EÚ) č. 165/2014, pokiaľ ide o určovanie polohy prostredníctvom tachografov.</w:t>
      </w:r>
    </w:p>
    <w:p w14:paraId="265746EA" w14:textId="77777777" w:rsidR="00C82F12" w:rsidRPr="00DA7E48" w:rsidRDefault="00C82F12" w:rsidP="00514FEE">
      <w:pPr>
        <w:jc w:val="both"/>
      </w:pPr>
    </w:p>
    <w:p w14:paraId="64BE8431" w14:textId="11194A19" w:rsidR="00E94973" w:rsidRPr="00DA7E48" w:rsidRDefault="00B81C3C" w:rsidP="00514FEE">
      <w:pPr>
        <w:ind w:firstLine="708"/>
        <w:jc w:val="both"/>
      </w:pPr>
      <w:r w:rsidRPr="00DA7E48">
        <w:t>Aktuálne</w:t>
      </w:r>
      <w:r w:rsidR="00E94973" w:rsidRPr="00DA7E48">
        <w:t xml:space="preserve"> je oblasť vysielania pracovníkov upravená v smernici 96/71/ES a pravidlá  týkajúce sa administratívnych požiadaviek vysielania sú uvedené v smernici 2014/67/EÚ</w:t>
      </w:r>
      <w:r w:rsidR="00E7649C" w:rsidRPr="00DA7E48">
        <w:t xml:space="preserve"> a v smernici 201/957/EÚ</w:t>
      </w:r>
      <w:r w:rsidR="00E94973" w:rsidRPr="00DA7E48">
        <w:t>.</w:t>
      </w:r>
      <w:r w:rsidR="002F267E" w:rsidRPr="00DA7E48">
        <w:t xml:space="preserve"> </w:t>
      </w:r>
      <w:r w:rsidR="00E94973" w:rsidRPr="00DA7E48">
        <w:t xml:space="preserve">Tieto pravidlá nie sú vhodné pre oblasť cestnej dopravy, ktorá sa vyznačuje vysokou mierou mobility. Mnohé členské štáty zaviedli vnútroštátne opatrenia na uplatňovanie a dodržiavanie ustanovení o vysielaní pracovníkov v odvetví cestnej dopravy, ktoré viedli k právnej neistote, vysokej administratívnej záťaži čo výrazným spôsobom znižuje konkurencieschopnosť prevádzkovateľov cestnej dopravy z iných členských  štátov Európskej únie. Na základe týchto poznatkov boli </w:t>
      </w:r>
      <w:r w:rsidRPr="00DA7E48">
        <w:t xml:space="preserve">preto </w:t>
      </w:r>
      <w:r w:rsidR="00E94973" w:rsidRPr="00DA7E48">
        <w:t xml:space="preserve">prijaté špecifické pravidlá týkajúce sa vysielania vodičov </w:t>
      </w:r>
      <w:r w:rsidR="00D751D5" w:rsidRPr="00DA7E48">
        <w:t xml:space="preserve">ustanovené </w:t>
      </w:r>
      <w:r w:rsidR="00E94973" w:rsidRPr="00DA7E48">
        <w:t>v článku 1 smernice Európskeho parlamentu a Rady (EÚ) 2020/1057.</w:t>
      </w:r>
    </w:p>
    <w:p w14:paraId="3B68D432" w14:textId="77777777" w:rsidR="00C82F12" w:rsidRPr="00DA7E48" w:rsidRDefault="00955028" w:rsidP="00514FEE">
      <w:pPr>
        <w:jc w:val="both"/>
      </w:pPr>
      <w:r w:rsidRPr="00DA7E48">
        <w:t> </w:t>
      </w:r>
    </w:p>
    <w:p w14:paraId="0BEDC8FC" w14:textId="462B251B" w:rsidR="00E73705" w:rsidRPr="00DA7E48" w:rsidRDefault="00955028" w:rsidP="00514FEE">
      <w:pPr>
        <w:ind w:firstLine="708"/>
        <w:jc w:val="both"/>
      </w:pPr>
      <w:r w:rsidRPr="00DA7E48">
        <w:t xml:space="preserve">V </w:t>
      </w:r>
      <w:r w:rsidR="002C4CC2" w:rsidRPr="00DA7E48">
        <w:t>súčasnosti platný zákon</w:t>
      </w:r>
      <w:r w:rsidR="00E4258B" w:rsidRPr="00DA7E48">
        <w:t xml:space="preserve"> </w:t>
      </w:r>
      <w:r w:rsidR="00B4794E" w:rsidRPr="00DA7E48">
        <w:t xml:space="preserve">č. 462/2007 Z. z. o organizácii pracovného času v doprave </w:t>
      </w:r>
      <w:r w:rsidR="00A1314F" w:rsidRPr="00DA7E48">
        <w:t xml:space="preserve"> </w:t>
      </w:r>
      <w:r w:rsidR="00B4794E" w:rsidRPr="00DA7E48">
        <w:t xml:space="preserve">a o zmene a doplnení zákona č. </w:t>
      </w:r>
      <w:hyperlink r:id="rId11" w:history="1">
        <w:r w:rsidR="00B4794E" w:rsidRPr="00DA7E48">
          <w:t>125/2006 Z. z.</w:t>
        </w:r>
      </w:hyperlink>
      <w:r w:rsidR="00B4794E" w:rsidRPr="00DA7E48">
        <w:t xml:space="preserve"> o inšpekcii práce a o zmene a doplnení zákona č. </w:t>
      </w:r>
      <w:hyperlink r:id="rId12" w:history="1">
        <w:r w:rsidR="00B4794E" w:rsidRPr="00DA7E48">
          <w:t>82/2005 Z. z.</w:t>
        </w:r>
      </w:hyperlink>
      <w:r w:rsidR="00B4794E" w:rsidRPr="00DA7E48">
        <w:t xml:space="preserve"> o nelegálnej práci a nelegálnom zamestnávaní a o zmene a doplnení niektorých zákonov v znení zákona č. </w:t>
      </w:r>
      <w:hyperlink r:id="rId13" w:history="1">
        <w:r w:rsidR="00B4794E" w:rsidRPr="00DA7E48">
          <w:t>309/2007 Z. z.</w:t>
        </w:r>
      </w:hyperlink>
      <w:r w:rsidR="00B4794E" w:rsidRPr="00DA7E48">
        <w:t xml:space="preserve"> v znení neskorších predpisov </w:t>
      </w:r>
      <w:r w:rsidR="000D2771" w:rsidRPr="00DA7E48">
        <w:t xml:space="preserve">(ďalej len „zákon o organizácii pracovného času v doprave“) </w:t>
      </w:r>
      <w:r w:rsidR="002C4CC2" w:rsidRPr="00DA7E48">
        <w:t xml:space="preserve">ustanovuje </w:t>
      </w:r>
      <w:r w:rsidR="00E73705" w:rsidRPr="00DA7E48">
        <w:t>minimálne požiadavky na organizáciu pracovného času v</w:t>
      </w:r>
      <w:r w:rsidR="00552C61" w:rsidRPr="00DA7E48">
        <w:t> </w:t>
      </w:r>
      <w:r w:rsidR="00E73705" w:rsidRPr="00DA7E48">
        <w:t>doprave</w:t>
      </w:r>
      <w:r w:rsidR="00552C61" w:rsidRPr="00DA7E48">
        <w:t>.</w:t>
      </w:r>
      <w:r w:rsidR="00514FEE" w:rsidRPr="00DA7E48">
        <w:t xml:space="preserve"> </w:t>
      </w:r>
      <w:r w:rsidR="000F46C2" w:rsidRPr="00DA7E48">
        <w:t>U</w:t>
      </w:r>
      <w:r w:rsidR="001A736F" w:rsidRPr="00DA7E48">
        <w:t xml:space="preserve">pravuje </w:t>
      </w:r>
      <w:r w:rsidR="00520760" w:rsidRPr="00DA7E48">
        <w:t xml:space="preserve">pravidlá týkajúce sa vykonávania cestných kontrol a kontrol dopravných podnikov ako aj </w:t>
      </w:r>
      <w:r w:rsidR="00A27689" w:rsidRPr="00DA7E48">
        <w:t>pôsobnosť orgánov štátnej správy v uvedených oblastiach.</w:t>
      </w:r>
      <w:r w:rsidR="00514FEE" w:rsidRPr="00DA7E48">
        <w:t xml:space="preserve"> </w:t>
      </w:r>
      <w:r w:rsidR="00552C61" w:rsidRPr="00DA7E48">
        <w:t>S</w:t>
      </w:r>
      <w:r w:rsidR="00F03A3D" w:rsidRPr="00DA7E48">
        <w:t>ubsidi</w:t>
      </w:r>
      <w:r w:rsidR="00880EBE" w:rsidRPr="00DA7E48">
        <w:t>á</w:t>
      </w:r>
      <w:r w:rsidR="00F03A3D" w:rsidRPr="00DA7E48">
        <w:t>rne</w:t>
      </w:r>
      <w:r w:rsidR="00E73705" w:rsidRPr="00DA7E48">
        <w:t xml:space="preserve"> sa na pracovnoprávne vzťahy zamestnancov v doprave </w:t>
      </w:r>
      <w:r w:rsidR="00142050" w:rsidRPr="00DA7E48">
        <w:t>vz</w:t>
      </w:r>
      <w:r w:rsidR="00880EBE" w:rsidRPr="00DA7E48">
        <w:t>ť</w:t>
      </w:r>
      <w:r w:rsidR="00142050" w:rsidRPr="00DA7E48">
        <w:t xml:space="preserve">ahuje </w:t>
      </w:r>
      <w:r w:rsidR="00E73705" w:rsidRPr="00DA7E48">
        <w:t>Zákonník práce.</w:t>
      </w:r>
    </w:p>
    <w:p w14:paraId="23EDADEE" w14:textId="77777777" w:rsidR="00696397" w:rsidRPr="00DA7E48" w:rsidRDefault="00696397" w:rsidP="00514FEE">
      <w:pPr>
        <w:jc w:val="both"/>
      </w:pPr>
    </w:p>
    <w:p w14:paraId="20B75ACE" w14:textId="57A36DAC" w:rsidR="00161B07" w:rsidRPr="00DA7E48" w:rsidRDefault="00CD596E" w:rsidP="00514FEE">
      <w:pPr>
        <w:ind w:firstLine="708"/>
        <w:jc w:val="both"/>
      </w:pPr>
      <w:r w:rsidRPr="00DA7E48">
        <w:t>Návrh zákona</w:t>
      </w:r>
      <w:r w:rsidR="00161B07" w:rsidRPr="00DA7E48">
        <w:t xml:space="preserve"> s účinnosťou od 2. februára 2022 zjednotí pravidlá vysielania vodičov v odvetví cestnej dopravy v rámci Európskej únie. Určí, že medzinárodná doprava v tranzite cez územie členského štátu nepredstavuje vysielanie a zároveň určí, ktoré dopravné činnosti majú výnimku z </w:t>
      </w:r>
      <w:r w:rsidR="007F7CE3" w:rsidRPr="00DA7E48">
        <w:t>pravidiel týkaj</w:t>
      </w:r>
      <w:r w:rsidR="00EF1410" w:rsidRPr="00DA7E48">
        <w:t>úcich sa</w:t>
      </w:r>
      <w:r w:rsidR="007F7CE3" w:rsidRPr="00DA7E48">
        <w:t xml:space="preserve"> </w:t>
      </w:r>
      <w:r w:rsidR="00161B07" w:rsidRPr="00DA7E48">
        <w:t>vysielania</w:t>
      </w:r>
      <w:r w:rsidR="006A390A" w:rsidRPr="00DA7E48">
        <w:t>,</w:t>
      </w:r>
      <w:r w:rsidR="00161B07" w:rsidRPr="00DA7E48">
        <w:t xml:space="preserve"> a to najmä v súvislosti s bilaterálnymi prepravami medzi členskými štátmi Európskej únie. </w:t>
      </w:r>
      <w:proofErr w:type="spellStart"/>
      <w:r w:rsidR="00161B07" w:rsidRPr="00DA7E48">
        <w:t>Kabotážna</w:t>
      </w:r>
      <w:proofErr w:type="spellEnd"/>
      <w:r w:rsidR="00161B07" w:rsidRPr="00DA7E48">
        <w:t xml:space="preserve"> preprava bude považovaná za vysielanie. Informácie a doklady k vysielaniu sa budú vymieňať prostredníctvom informačného systému </w:t>
      </w:r>
      <w:r w:rsidR="00161B07" w:rsidRPr="00DA7E48">
        <w:lastRenderedPageBreak/>
        <w:t>o vnútornom trhu, ktorý je už v súčasnosti využívaný na spoluprácu medzi členskými štátmi Európskej únie a Európskou komisiou.</w:t>
      </w:r>
    </w:p>
    <w:p w14:paraId="3A2EEF36" w14:textId="5CD850FD" w:rsidR="00595AFB" w:rsidRPr="00DA7E48" w:rsidRDefault="00F95A05" w:rsidP="00514FEE">
      <w:pPr>
        <w:jc w:val="both"/>
      </w:pPr>
      <w:r w:rsidRPr="00DA7E48">
        <w:tab/>
      </w:r>
      <w:r w:rsidR="00612535" w:rsidRPr="00DA7E48">
        <w:t>P</w:t>
      </w:r>
      <w:r w:rsidR="00595AFB" w:rsidRPr="00DA7E48">
        <w:t>redkladaný návrh zákona</w:t>
      </w:r>
      <w:r w:rsidR="00612535" w:rsidRPr="00DA7E48">
        <w:t xml:space="preserve"> sa týka pracovných podmienok</w:t>
      </w:r>
      <w:r w:rsidR="00496D6D" w:rsidRPr="00DA7E48">
        <w:t xml:space="preserve"> v oblasti organizácie pracovného času</w:t>
      </w:r>
      <w:r w:rsidR="00612535" w:rsidRPr="00DA7E48">
        <w:t>, t. j</w:t>
      </w:r>
      <w:r w:rsidR="00595AFB" w:rsidRPr="00DA7E48">
        <w:t>. dôležitých záujmov zamestnancov a</w:t>
      </w:r>
      <w:r w:rsidR="00612535" w:rsidRPr="00DA7E48">
        <w:t> </w:t>
      </w:r>
      <w:r w:rsidR="00595AFB" w:rsidRPr="00DA7E48">
        <w:t>zamestnávateľov</w:t>
      </w:r>
      <w:r w:rsidR="00612535" w:rsidRPr="00DA7E48">
        <w:t xml:space="preserve"> a</w:t>
      </w:r>
      <w:r w:rsidR="00496D6D" w:rsidRPr="00DA7E48">
        <w:t xml:space="preserve"> preto </w:t>
      </w:r>
      <w:r w:rsidR="00595AFB" w:rsidRPr="00DA7E48">
        <w:t>b</w:t>
      </w:r>
      <w:r w:rsidR="00F00B57" w:rsidRPr="00DA7E48">
        <w:t>ude</w:t>
      </w:r>
      <w:r w:rsidR="00595AFB" w:rsidRPr="00DA7E48">
        <w:t xml:space="preserve"> prerokovaný v Hospodárskej a sociálnej rade Slovenskej republiky.</w:t>
      </w:r>
    </w:p>
    <w:p w14:paraId="507489FF" w14:textId="77777777" w:rsidR="00C82F12" w:rsidRPr="00DA7E48" w:rsidRDefault="00C82F12" w:rsidP="00514FEE">
      <w:pPr>
        <w:jc w:val="both"/>
      </w:pPr>
    </w:p>
    <w:p w14:paraId="359BCCB3" w14:textId="06550CB7" w:rsidR="002C4CC2" w:rsidRPr="00DA7E48" w:rsidRDefault="00D340B3" w:rsidP="00514FEE">
      <w:pPr>
        <w:ind w:firstLine="708"/>
        <w:jc w:val="both"/>
      </w:pPr>
      <w:r w:rsidRPr="00DA7E48">
        <w:t>Podrobnosti týkajúce sa v</w:t>
      </w:r>
      <w:r w:rsidR="00E73705" w:rsidRPr="00DA7E48">
        <w:t>plyv</w:t>
      </w:r>
      <w:r w:rsidRPr="00DA7E48">
        <w:t>u</w:t>
      </w:r>
      <w:r w:rsidR="002C4CC2" w:rsidRPr="00DA7E48">
        <w:t xml:space="preserve"> na rozpočet</w:t>
      </w:r>
      <w:r w:rsidR="00E73705" w:rsidRPr="00DA7E48">
        <w:t xml:space="preserve"> verejnej správy, podnikateľské prostredie, sociáln</w:t>
      </w:r>
      <w:r w:rsidRPr="00DA7E48">
        <w:t>y</w:t>
      </w:r>
      <w:r w:rsidR="00E73705" w:rsidRPr="00DA7E48">
        <w:t xml:space="preserve"> vplyv, životné prostredie</w:t>
      </w:r>
      <w:r w:rsidR="00AB6E77" w:rsidRPr="00DA7E48">
        <w:t xml:space="preserve">, </w:t>
      </w:r>
      <w:r w:rsidR="00E73705" w:rsidRPr="00DA7E48">
        <w:t>informatizáciu spoločnosti</w:t>
      </w:r>
      <w:r w:rsidR="00AB6E77" w:rsidRPr="00DA7E48">
        <w:t>, na služby verejnej správy pre občana</w:t>
      </w:r>
      <w:r w:rsidRPr="00DA7E48">
        <w:t>, na manželstvo, rodičovstvo a rodinu sú uvedené v doložke vplyvov.</w:t>
      </w:r>
    </w:p>
    <w:p w14:paraId="4FFFD72A" w14:textId="77777777" w:rsidR="00C82F12" w:rsidRPr="00DA7E48" w:rsidRDefault="00C82F12" w:rsidP="00514FEE">
      <w:pPr>
        <w:jc w:val="both"/>
      </w:pPr>
    </w:p>
    <w:p w14:paraId="57B23911" w14:textId="40A3339D" w:rsidR="001864B7" w:rsidRPr="00DA7E48" w:rsidRDefault="001864B7" w:rsidP="00514FEE">
      <w:pPr>
        <w:ind w:firstLine="708"/>
        <w:jc w:val="both"/>
      </w:pPr>
      <w:r w:rsidRPr="00DA7E48">
        <w:t>Návrh zákona je v súlade s Ústavou Slovenskej republiky, ústavnými zákonmi a nálezmi Ústavného súdu Slovenskej republiky, so zákonmi a ostatnými všeobecne záväznými právnymi predpismi, medzinárodnými zmluvami, ktorými je Slovenská republika viazaná, ako aj s právom Európskej únie.</w:t>
      </w:r>
    </w:p>
    <w:p w14:paraId="2BB8ADB6" w14:textId="71E817A5" w:rsidR="00A93BD1" w:rsidRDefault="00A93BD1" w:rsidP="00514FEE">
      <w:pPr>
        <w:ind w:firstLine="708"/>
        <w:jc w:val="both"/>
      </w:pPr>
    </w:p>
    <w:p w14:paraId="6FE014FE" w14:textId="416716D6" w:rsidR="00A91FB1" w:rsidRDefault="00A91FB1" w:rsidP="00A91FB1">
      <w:pPr>
        <w:jc w:val="both"/>
      </w:pPr>
    </w:p>
    <w:p w14:paraId="38712A8F" w14:textId="77777777" w:rsidR="00B603E5" w:rsidRPr="00B603E5" w:rsidRDefault="00B603E5" w:rsidP="00B603E5">
      <w:pPr>
        <w:jc w:val="center"/>
        <w:rPr>
          <w:b/>
          <w:bCs/>
          <w:sz w:val="28"/>
          <w:szCs w:val="28"/>
          <w:lang w:eastAsia="sk-SK"/>
        </w:rPr>
      </w:pPr>
      <w:r w:rsidRPr="00B603E5">
        <w:rPr>
          <w:b/>
          <w:bCs/>
          <w:sz w:val="28"/>
          <w:szCs w:val="28"/>
          <w:lang w:eastAsia="sk-SK"/>
        </w:rPr>
        <w:t>Doložka vybraných vplyvov</w:t>
      </w:r>
    </w:p>
    <w:p w14:paraId="687A6F43" w14:textId="77777777" w:rsidR="00B603E5" w:rsidRPr="00B603E5" w:rsidRDefault="00B603E5" w:rsidP="00B603E5">
      <w:pPr>
        <w:spacing w:after="200" w:line="276" w:lineRule="auto"/>
        <w:ind w:left="426"/>
        <w:contextualSpacing/>
        <w:rPr>
          <w:rFonts w:ascii="Calibri" w:eastAsia="Calibri" w:hAnsi="Calibri"/>
          <w:b/>
          <w:sz w:val="22"/>
          <w:szCs w:val="22"/>
          <w:lang w:eastAsia="en-US"/>
        </w:rPr>
      </w:pPr>
    </w:p>
    <w:tbl>
      <w:tblPr>
        <w:tblStyle w:val="Mriekatabuky1"/>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B603E5" w:rsidRPr="00580D63" w14:paraId="181C712F" w14:textId="77777777" w:rsidTr="00B603E5">
        <w:tc>
          <w:tcPr>
            <w:tcW w:w="9180" w:type="dxa"/>
            <w:gridSpan w:val="10"/>
            <w:tcBorders>
              <w:bottom w:val="single" w:sz="4" w:space="0" w:color="FFFFFF"/>
            </w:tcBorders>
            <w:shd w:val="clear" w:color="auto" w:fill="E2E2E2"/>
          </w:tcPr>
          <w:p w14:paraId="3C0B49D6" w14:textId="77777777" w:rsidR="00B603E5" w:rsidRPr="00580D63" w:rsidRDefault="00B603E5" w:rsidP="00B603E5">
            <w:pPr>
              <w:numPr>
                <w:ilvl w:val="0"/>
                <w:numId w:val="23"/>
              </w:numPr>
              <w:ind w:left="426"/>
              <w:contextualSpacing/>
              <w:rPr>
                <w:rFonts w:ascii="Times New Roman" w:hAnsi="Times New Roman"/>
                <w:b/>
                <w:sz w:val="22"/>
                <w:szCs w:val="22"/>
                <w:lang w:eastAsia="en-US"/>
              </w:rPr>
            </w:pPr>
            <w:r w:rsidRPr="00580D63">
              <w:rPr>
                <w:rFonts w:ascii="Times New Roman" w:hAnsi="Times New Roman"/>
                <w:b/>
                <w:sz w:val="22"/>
                <w:szCs w:val="22"/>
                <w:lang w:eastAsia="en-US"/>
              </w:rPr>
              <w:t>Základné údaje</w:t>
            </w:r>
          </w:p>
        </w:tc>
      </w:tr>
      <w:tr w:rsidR="00B603E5" w:rsidRPr="00580D63" w14:paraId="1DA541FD" w14:textId="77777777" w:rsidTr="00B603E5">
        <w:tc>
          <w:tcPr>
            <w:tcW w:w="9180" w:type="dxa"/>
            <w:gridSpan w:val="10"/>
            <w:tcBorders>
              <w:bottom w:val="single" w:sz="4" w:space="0" w:color="FFFFFF"/>
            </w:tcBorders>
            <w:shd w:val="clear" w:color="auto" w:fill="E2E2E2"/>
          </w:tcPr>
          <w:p w14:paraId="162ED4C5" w14:textId="77777777" w:rsidR="00B603E5" w:rsidRPr="00580D63" w:rsidRDefault="00B603E5" w:rsidP="00B603E5">
            <w:pPr>
              <w:spacing w:after="200" w:line="276" w:lineRule="auto"/>
              <w:ind w:left="142"/>
              <w:contextualSpacing/>
              <w:rPr>
                <w:rFonts w:ascii="Times New Roman" w:hAnsi="Times New Roman"/>
                <w:b/>
                <w:sz w:val="22"/>
                <w:szCs w:val="22"/>
                <w:lang w:eastAsia="en-US"/>
              </w:rPr>
            </w:pPr>
            <w:r w:rsidRPr="00580D63">
              <w:rPr>
                <w:rFonts w:ascii="Times New Roman" w:hAnsi="Times New Roman"/>
                <w:b/>
                <w:sz w:val="22"/>
                <w:szCs w:val="22"/>
                <w:lang w:eastAsia="en-US"/>
              </w:rPr>
              <w:t>Názov materiálu</w:t>
            </w:r>
          </w:p>
        </w:tc>
      </w:tr>
      <w:tr w:rsidR="00B603E5" w:rsidRPr="00580D63" w14:paraId="2FD5B233" w14:textId="77777777" w:rsidTr="00B603E5">
        <w:tc>
          <w:tcPr>
            <w:tcW w:w="9180" w:type="dxa"/>
            <w:gridSpan w:val="10"/>
            <w:tcBorders>
              <w:top w:val="single" w:sz="4" w:space="0" w:color="FFFFFF"/>
              <w:bottom w:val="single" w:sz="4" w:space="0" w:color="auto"/>
            </w:tcBorders>
          </w:tcPr>
          <w:p w14:paraId="67E15821" w14:textId="77777777" w:rsidR="00B603E5" w:rsidRPr="00580D63" w:rsidRDefault="00B603E5" w:rsidP="00B603E5">
            <w:pPr>
              <w:autoSpaceDE w:val="0"/>
              <w:autoSpaceDN w:val="0"/>
              <w:adjustRightInd w:val="0"/>
              <w:jc w:val="both"/>
              <w:rPr>
                <w:rFonts w:ascii="Times New Roman" w:hAnsi="Times New Roman"/>
                <w:lang w:eastAsia="en-US"/>
              </w:rPr>
            </w:pPr>
            <w:r w:rsidRPr="00580D63">
              <w:rPr>
                <w:rFonts w:ascii="Times New Roman" w:hAnsi="Times New Roman"/>
                <w:lang w:eastAsia="en-US"/>
              </w:rPr>
              <w:t>Návrh zákona, ktorým sa mení a dopĺňa zákon č. 462/2007 Z. z. o organizácii pracovného času v doprave a o zmene a doplnení zákona č. </w:t>
            </w:r>
            <w:hyperlink r:id="rId14" w:history="1">
              <w:r w:rsidRPr="00580D63">
                <w:rPr>
                  <w:rFonts w:ascii="Times New Roman" w:hAnsi="Times New Roman"/>
                  <w:lang w:eastAsia="en-US"/>
                </w:rPr>
                <w:t>125/2006 Z. z.</w:t>
              </w:r>
            </w:hyperlink>
            <w:r w:rsidRPr="00580D63">
              <w:rPr>
                <w:rFonts w:ascii="Times New Roman" w:hAnsi="Times New Roman"/>
                <w:lang w:eastAsia="en-US"/>
              </w:rPr>
              <w:t xml:space="preserve"> o inšpekcii práce a o zmene a doplnení zákona č. </w:t>
            </w:r>
            <w:hyperlink r:id="rId15" w:history="1">
              <w:r w:rsidRPr="00580D63">
                <w:rPr>
                  <w:rFonts w:ascii="Times New Roman" w:hAnsi="Times New Roman"/>
                  <w:lang w:eastAsia="en-US"/>
                </w:rPr>
                <w:t>82/2005 Z. z.</w:t>
              </w:r>
            </w:hyperlink>
            <w:r w:rsidRPr="00580D63">
              <w:rPr>
                <w:rFonts w:ascii="Times New Roman" w:hAnsi="Times New Roman"/>
                <w:lang w:eastAsia="en-US"/>
              </w:rPr>
              <w:t xml:space="preserve"> o nelegálnej práci a nelegálnom zamestnávaní a o zmene a doplnení niektorých zákonov v znení zákona č. </w:t>
            </w:r>
            <w:hyperlink r:id="rId16" w:history="1">
              <w:r w:rsidRPr="00580D63">
                <w:rPr>
                  <w:rFonts w:ascii="Times New Roman" w:hAnsi="Times New Roman"/>
                  <w:lang w:eastAsia="en-US"/>
                </w:rPr>
                <w:t>309/2007 Z. z.</w:t>
              </w:r>
            </w:hyperlink>
            <w:r w:rsidRPr="00580D63">
              <w:rPr>
                <w:rFonts w:ascii="Times New Roman" w:hAnsi="Times New Roman"/>
                <w:lang w:eastAsia="en-US"/>
              </w:rPr>
              <w:t xml:space="preserve"> v znení neskorších predpisov a ktorým sa menia a dopĺňajú niektoré zákony.</w:t>
            </w:r>
          </w:p>
          <w:p w14:paraId="4AFEE64B" w14:textId="77777777" w:rsidR="00B603E5" w:rsidRPr="00580D63" w:rsidRDefault="00B603E5" w:rsidP="00B603E5">
            <w:pPr>
              <w:rPr>
                <w:rFonts w:ascii="Times New Roman" w:hAnsi="Times New Roman"/>
                <w:sz w:val="20"/>
                <w:szCs w:val="20"/>
                <w:lang w:eastAsia="sk-SK"/>
              </w:rPr>
            </w:pPr>
          </w:p>
        </w:tc>
      </w:tr>
      <w:tr w:rsidR="00B603E5" w:rsidRPr="00580D63" w14:paraId="1B00CC04" w14:textId="77777777" w:rsidTr="00B603E5">
        <w:tc>
          <w:tcPr>
            <w:tcW w:w="9180" w:type="dxa"/>
            <w:gridSpan w:val="10"/>
            <w:tcBorders>
              <w:top w:val="single" w:sz="4" w:space="0" w:color="auto"/>
              <w:left w:val="single" w:sz="4" w:space="0" w:color="auto"/>
              <w:bottom w:val="single" w:sz="4" w:space="0" w:color="FFFFFF"/>
            </w:tcBorders>
            <w:shd w:val="clear" w:color="auto" w:fill="E2E2E2"/>
          </w:tcPr>
          <w:p w14:paraId="34221808" w14:textId="77777777" w:rsidR="00B603E5" w:rsidRPr="00580D63" w:rsidRDefault="00B603E5" w:rsidP="00B603E5">
            <w:pPr>
              <w:spacing w:after="200" w:line="276" w:lineRule="auto"/>
              <w:ind w:left="142"/>
              <w:contextualSpacing/>
              <w:rPr>
                <w:rFonts w:ascii="Times New Roman" w:hAnsi="Times New Roman"/>
                <w:b/>
                <w:sz w:val="22"/>
                <w:szCs w:val="22"/>
                <w:lang w:eastAsia="en-US"/>
              </w:rPr>
            </w:pPr>
            <w:r w:rsidRPr="00580D63">
              <w:rPr>
                <w:rFonts w:ascii="Times New Roman" w:hAnsi="Times New Roman"/>
                <w:b/>
                <w:sz w:val="22"/>
                <w:szCs w:val="22"/>
                <w:lang w:eastAsia="en-US"/>
              </w:rPr>
              <w:t>Predkladateľ (a spolupredkladateľ)</w:t>
            </w:r>
          </w:p>
        </w:tc>
      </w:tr>
      <w:tr w:rsidR="00B603E5" w:rsidRPr="00580D63" w14:paraId="151FB7C2" w14:textId="77777777" w:rsidTr="00B603E5">
        <w:tc>
          <w:tcPr>
            <w:tcW w:w="9180" w:type="dxa"/>
            <w:gridSpan w:val="10"/>
            <w:tcBorders>
              <w:top w:val="single" w:sz="4" w:space="0" w:color="FFFFFF"/>
              <w:left w:val="single" w:sz="4" w:space="0" w:color="auto"/>
              <w:bottom w:val="single" w:sz="4" w:space="0" w:color="auto"/>
            </w:tcBorders>
            <w:shd w:val="clear" w:color="auto" w:fill="FFFFFF"/>
          </w:tcPr>
          <w:p w14:paraId="089F7885" w14:textId="77777777" w:rsidR="00B603E5" w:rsidRPr="00580D63" w:rsidRDefault="00B603E5" w:rsidP="00B603E5">
            <w:pPr>
              <w:autoSpaceDE w:val="0"/>
              <w:autoSpaceDN w:val="0"/>
              <w:adjustRightInd w:val="0"/>
              <w:rPr>
                <w:rFonts w:ascii="Times New Roman" w:hAnsi="Times New Roman"/>
                <w:lang w:eastAsia="en-US"/>
              </w:rPr>
            </w:pPr>
          </w:p>
          <w:p w14:paraId="68DF293B" w14:textId="77777777" w:rsidR="00B603E5" w:rsidRPr="00580D63" w:rsidRDefault="00B603E5" w:rsidP="00B603E5">
            <w:pPr>
              <w:autoSpaceDE w:val="0"/>
              <w:autoSpaceDN w:val="0"/>
              <w:adjustRightInd w:val="0"/>
              <w:rPr>
                <w:rFonts w:ascii="Times New Roman" w:hAnsi="Times New Roman"/>
                <w:lang w:eastAsia="en-US"/>
              </w:rPr>
            </w:pPr>
            <w:r w:rsidRPr="00580D63">
              <w:rPr>
                <w:rFonts w:ascii="Times New Roman" w:hAnsi="Times New Roman"/>
                <w:lang w:eastAsia="en-US"/>
              </w:rPr>
              <w:t>Ministerstvo dopravy a výstavby Slovenskej republiky</w:t>
            </w:r>
          </w:p>
          <w:p w14:paraId="543DAEFF" w14:textId="77777777" w:rsidR="00B603E5" w:rsidRPr="00580D63" w:rsidRDefault="00B603E5" w:rsidP="00B603E5">
            <w:pPr>
              <w:autoSpaceDE w:val="0"/>
              <w:autoSpaceDN w:val="0"/>
              <w:adjustRightInd w:val="0"/>
              <w:rPr>
                <w:rFonts w:ascii="Times New Roman" w:hAnsi="Times New Roman"/>
                <w:sz w:val="16"/>
                <w:szCs w:val="16"/>
                <w:lang w:eastAsia="en-US"/>
              </w:rPr>
            </w:pPr>
            <w:r w:rsidRPr="00580D63">
              <w:rPr>
                <w:rFonts w:ascii="Times New Roman" w:hAnsi="Times New Roman"/>
                <w:lang w:eastAsia="en-US"/>
              </w:rPr>
              <w:t>Ministerstvo práce, sociálnych vecí a rodiny Slovenskej republiky</w:t>
            </w:r>
          </w:p>
          <w:p w14:paraId="5D6F626C" w14:textId="77777777" w:rsidR="00B603E5" w:rsidRPr="00580D63" w:rsidRDefault="00B603E5" w:rsidP="00B603E5">
            <w:pPr>
              <w:rPr>
                <w:rFonts w:ascii="Times New Roman" w:hAnsi="Times New Roman"/>
                <w:sz w:val="20"/>
                <w:szCs w:val="20"/>
                <w:lang w:eastAsia="sk-SK"/>
              </w:rPr>
            </w:pPr>
          </w:p>
        </w:tc>
      </w:tr>
      <w:tr w:rsidR="00B603E5" w:rsidRPr="00580D63" w14:paraId="731027EC" w14:textId="77777777" w:rsidTr="00B603E5">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7CD93DE0" w14:textId="77777777" w:rsidR="00B603E5" w:rsidRPr="00580D63" w:rsidRDefault="00B603E5" w:rsidP="00B603E5">
            <w:pPr>
              <w:spacing w:after="200" w:line="276" w:lineRule="auto"/>
              <w:ind w:left="142"/>
              <w:contextualSpacing/>
              <w:rPr>
                <w:rFonts w:ascii="Times New Roman" w:hAnsi="Times New Roman"/>
                <w:b/>
                <w:sz w:val="22"/>
                <w:szCs w:val="22"/>
                <w:lang w:eastAsia="en-US"/>
              </w:rPr>
            </w:pPr>
            <w:r w:rsidRPr="00580D63">
              <w:rPr>
                <w:rFonts w:ascii="Times New Roman" w:hAnsi="Times New Roman"/>
                <w:b/>
                <w:sz w:val="22"/>
                <w:szCs w:val="22"/>
                <w:lang w:eastAsia="en-US"/>
              </w:rPr>
              <w:t>Charakter predkladaného materiálu</w:t>
            </w:r>
          </w:p>
        </w:tc>
        <w:sdt>
          <w:sdtPr>
            <w:rPr>
              <w:sz w:val="20"/>
              <w:szCs w:val="20"/>
              <w:lang w:eastAsia="sk-SK"/>
            </w:rPr>
            <w:id w:val="-6989077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527C79E" w14:textId="77777777" w:rsidR="00B603E5" w:rsidRPr="00580D63" w:rsidRDefault="00B603E5" w:rsidP="00B603E5">
                <w:pPr>
                  <w:jc w:val="center"/>
                  <w:rPr>
                    <w:rFonts w:ascii="Times New Roman" w:hAnsi="Times New Roman"/>
                    <w:sz w:val="20"/>
                    <w:szCs w:val="20"/>
                    <w:lang w:eastAsia="sk-SK"/>
                  </w:rPr>
                </w:pPr>
                <w:r w:rsidRPr="00580D63">
                  <w:rPr>
                    <w:rFonts w:ascii="Segoe UI Symbol" w:hAnsi="Segoe UI Symbol" w:cs="Segoe UI Symbol"/>
                    <w:sz w:val="20"/>
                    <w:szCs w:val="20"/>
                    <w:lang w:eastAsia="sk-SK"/>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cPr>
          <w:p w14:paraId="5221BB02" w14:textId="77777777" w:rsidR="00B603E5" w:rsidRPr="00580D63" w:rsidRDefault="00B603E5" w:rsidP="00B603E5">
            <w:pPr>
              <w:rPr>
                <w:rFonts w:ascii="Times New Roman" w:hAnsi="Times New Roman"/>
                <w:sz w:val="20"/>
                <w:szCs w:val="20"/>
                <w:lang w:eastAsia="sk-SK"/>
              </w:rPr>
            </w:pPr>
            <w:r w:rsidRPr="00580D63">
              <w:rPr>
                <w:rFonts w:ascii="Times New Roman" w:hAnsi="Times New Roman"/>
                <w:sz w:val="20"/>
                <w:szCs w:val="20"/>
                <w:lang w:eastAsia="sk-SK"/>
              </w:rPr>
              <w:t>Materiál nelegislatívnej povahy</w:t>
            </w:r>
          </w:p>
        </w:tc>
      </w:tr>
      <w:tr w:rsidR="00B603E5" w:rsidRPr="00580D63" w14:paraId="61F7C85F" w14:textId="77777777" w:rsidTr="00B603E5">
        <w:tc>
          <w:tcPr>
            <w:tcW w:w="4212" w:type="dxa"/>
            <w:gridSpan w:val="2"/>
            <w:vMerge/>
            <w:tcBorders>
              <w:top w:val="nil"/>
              <w:left w:val="single" w:sz="4" w:space="0" w:color="auto"/>
              <w:bottom w:val="single" w:sz="4" w:space="0" w:color="FFFFFF"/>
            </w:tcBorders>
            <w:shd w:val="clear" w:color="auto" w:fill="E2E2E2"/>
          </w:tcPr>
          <w:p w14:paraId="4DD86DAA" w14:textId="77777777" w:rsidR="00B603E5" w:rsidRPr="00580D63" w:rsidRDefault="00B603E5" w:rsidP="00B603E5">
            <w:pPr>
              <w:rPr>
                <w:rFonts w:ascii="Times New Roman" w:hAnsi="Times New Roman"/>
                <w:sz w:val="20"/>
                <w:szCs w:val="20"/>
                <w:lang w:eastAsia="sk-SK"/>
              </w:rPr>
            </w:pPr>
          </w:p>
        </w:tc>
        <w:sdt>
          <w:sdtPr>
            <w:rPr>
              <w:sz w:val="20"/>
              <w:szCs w:val="20"/>
              <w:lang w:eastAsia="sk-SK"/>
            </w:rPr>
            <w:id w:val="-145588339"/>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2F3E003" w14:textId="77777777" w:rsidR="00B603E5" w:rsidRPr="00580D63" w:rsidRDefault="00B603E5" w:rsidP="00B603E5">
                <w:pPr>
                  <w:jc w:val="center"/>
                  <w:rPr>
                    <w:rFonts w:ascii="Times New Roman" w:hAnsi="Times New Roman"/>
                    <w:sz w:val="20"/>
                    <w:szCs w:val="20"/>
                    <w:lang w:eastAsia="sk-SK"/>
                  </w:rPr>
                </w:pPr>
                <w:r w:rsidRPr="00580D63">
                  <w:rPr>
                    <w:rFonts w:ascii="Segoe UI Symbol" w:hAnsi="Segoe UI Symbol" w:cs="Segoe UI Symbol"/>
                    <w:sz w:val="20"/>
                    <w:szCs w:val="20"/>
                    <w:lang w:eastAsia="sk-SK"/>
                  </w:rPr>
                  <w:t>☒</w:t>
                </w:r>
              </w:p>
            </w:tc>
          </w:sdtContent>
        </w:sdt>
        <w:tc>
          <w:tcPr>
            <w:tcW w:w="4263" w:type="dxa"/>
            <w:gridSpan w:val="6"/>
            <w:tcBorders>
              <w:top w:val="single" w:sz="4" w:space="0" w:color="auto"/>
              <w:left w:val="nil"/>
              <w:bottom w:val="single" w:sz="4" w:space="0" w:color="auto"/>
            </w:tcBorders>
            <w:shd w:val="clear" w:color="auto" w:fill="FFFFFF"/>
          </w:tcPr>
          <w:p w14:paraId="60E590FB" w14:textId="77777777" w:rsidR="00B603E5" w:rsidRPr="00580D63" w:rsidRDefault="00B603E5" w:rsidP="00B603E5">
            <w:pPr>
              <w:ind w:left="175" w:hanging="175"/>
              <w:rPr>
                <w:rFonts w:ascii="Times New Roman" w:hAnsi="Times New Roman"/>
                <w:sz w:val="20"/>
                <w:szCs w:val="20"/>
                <w:lang w:eastAsia="sk-SK"/>
              </w:rPr>
            </w:pPr>
            <w:r w:rsidRPr="00580D63">
              <w:rPr>
                <w:rFonts w:ascii="Times New Roman" w:hAnsi="Times New Roman"/>
                <w:sz w:val="20"/>
                <w:szCs w:val="20"/>
                <w:lang w:eastAsia="sk-SK"/>
              </w:rPr>
              <w:t>Materiál legislatívnej povahy</w:t>
            </w:r>
          </w:p>
        </w:tc>
      </w:tr>
      <w:tr w:rsidR="00B603E5" w:rsidRPr="00580D63" w14:paraId="2C4A473B" w14:textId="77777777" w:rsidTr="00B603E5">
        <w:tc>
          <w:tcPr>
            <w:tcW w:w="4212" w:type="dxa"/>
            <w:gridSpan w:val="2"/>
            <w:vMerge/>
            <w:tcBorders>
              <w:top w:val="nil"/>
              <w:left w:val="single" w:sz="4" w:space="0" w:color="auto"/>
              <w:bottom w:val="single" w:sz="4" w:space="0" w:color="auto"/>
            </w:tcBorders>
            <w:shd w:val="clear" w:color="auto" w:fill="E2E2E2"/>
          </w:tcPr>
          <w:p w14:paraId="79CED786" w14:textId="77777777" w:rsidR="00B603E5" w:rsidRPr="00580D63" w:rsidRDefault="00B603E5" w:rsidP="00B603E5">
            <w:pPr>
              <w:rPr>
                <w:rFonts w:ascii="Times New Roman" w:hAnsi="Times New Roman"/>
                <w:sz w:val="20"/>
                <w:szCs w:val="20"/>
                <w:lang w:eastAsia="sk-SK"/>
              </w:rPr>
            </w:pPr>
          </w:p>
        </w:tc>
        <w:sdt>
          <w:sdtPr>
            <w:rPr>
              <w:sz w:val="20"/>
              <w:szCs w:val="20"/>
              <w:lang w:eastAsia="sk-SK"/>
            </w:rPr>
            <w:id w:val="-1883475976"/>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F2F28EB" w14:textId="77777777" w:rsidR="00B603E5" w:rsidRPr="00580D63" w:rsidRDefault="00B603E5" w:rsidP="00B603E5">
                <w:pPr>
                  <w:jc w:val="center"/>
                  <w:rPr>
                    <w:rFonts w:ascii="Times New Roman" w:hAnsi="Times New Roman"/>
                    <w:sz w:val="20"/>
                    <w:szCs w:val="20"/>
                    <w:lang w:eastAsia="sk-SK"/>
                  </w:rPr>
                </w:pPr>
                <w:r w:rsidRPr="00580D63">
                  <w:rPr>
                    <w:rFonts w:ascii="Segoe UI Symbol" w:hAnsi="Segoe UI Symbol" w:cs="Segoe UI Symbol"/>
                    <w:sz w:val="20"/>
                    <w:szCs w:val="20"/>
                    <w:lang w:eastAsia="sk-SK"/>
                  </w:rPr>
                  <w:t>☒</w:t>
                </w:r>
              </w:p>
            </w:tc>
          </w:sdtContent>
        </w:sdt>
        <w:tc>
          <w:tcPr>
            <w:tcW w:w="4263" w:type="dxa"/>
            <w:gridSpan w:val="6"/>
            <w:tcBorders>
              <w:top w:val="single" w:sz="4" w:space="0" w:color="auto"/>
              <w:left w:val="nil"/>
              <w:bottom w:val="single" w:sz="4" w:space="0" w:color="auto"/>
            </w:tcBorders>
            <w:shd w:val="clear" w:color="auto" w:fill="FFFFFF"/>
          </w:tcPr>
          <w:p w14:paraId="1F416EF4" w14:textId="77777777" w:rsidR="00B603E5" w:rsidRPr="00580D63" w:rsidRDefault="00B603E5" w:rsidP="00B603E5">
            <w:pPr>
              <w:rPr>
                <w:rFonts w:ascii="Times New Roman" w:hAnsi="Times New Roman"/>
                <w:sz w:val="20"/>
                <w:szCs w:val="20"/>
                <w:lang w:eastAsia="sk-SK"/>
              </w:rPr>
            </w:pPr>
            <w:r w:rsidRPr="00580D63">
              <w:rPr>
                <w:rFonts w:ascii="Times New Roman" w:hAnsi="Times New Roman"/>
                <w:sz w:val="20"/>
                <w:szCs w:val="20"/>
                <w:lang w:eastAsia="sk-SK"/>
              </w:rPr>
              <w:t>Transpozícia práva EÚ</w:t>
            </w:r>
          </w:p>
        </w:tc>
      </w:tr>
      <w:tr w:rsidR="00B603E5" w:rsidRPr="00580D63" w14:paraId="7D0D8767" w14:textId="77777777" w:rsidTr="00B603E5">
        <w:tc>
          <w:tcPr>
            <w:tcW w:w="9180" w:type="dxa"/>
            <w:gridSpan w:val="10"/>
            <w:tcBorders>
              <w:top w:val="single" w:sz="4" w:space="0" w:color="auto"/>
              <w:left w:val="single" w:sz="4" w:space="0" w:color="auto"/>
              <w:bottom w:val="single" w:sz="4" w:space="0" w:color="FFFFFF"/>
            </w:tcBorders>
            <w:shd w:val="clear" w:color="auto" w:fill="FFFFFF"/>
          </w:tcPr>
          <w:p w14:paraId="389B6BF0" w14:textId="77777777" w:rsidR="00B603E5" w:rsidRPr="00580D63" w:rsidRDefault="00B603E5" w:rsidP="00B603E5">
            <w:pPr>
              <w:rPr>
                <w:rFonts w:ascii="Times New Roman" w:hAnsi="Times New Roman"/>
                <w:i/>
                <w:sz w:val="20"/>
                <w:szCs w:val="20"/>
                <w:lang w:eastAsia="sk-SK"/>
              </w:rPr>
            </w:pPr>
            <w:r w:rsidRPr="00580D63">
              <w:rPr>
                <w:rFonts w:ascii="Times New Roman" w:hAnsi="Times New Roman"/>
                <w:i/>
                <w:sz w:val="20"/>
                <w:szCs w:val="20"/>
                <w:lang w:eastAsia="sk-SK"/>
              </w:rPr>
              <w:t>V prípade transpozície uveďte zoznam transponovaných predpisov:</w:t>
            </w:r>
          </w:p>
          <w:p w14:paraId="3D88B74C" w14:textId="77777777" w:rsidR="00B603E5" w:rsidRPr="00580D63" w:rsidRDefault="00B603E5" w:rsidP="00B603E5">
            <w:pPr>
              <w:autoSpaceDE w:val="0"/>
              <w:autoSpaceDN w:val="0"/>
              <w:adjustRightInd w:val="0"/>
              <w:rPr>
                <w:rFonts w:ascii="Times New Roman" w:hAnsi="Times New Roman"/>
                <w:lang w:eastAsia="en-US"/>
              </w:rPr>
            </w:pPr>
          </w:p>
          <w:p w14:paraId="40ECA1AC" w14:textId="77777777" w:rsidR="00B603E5" w:rsidRPr="00580D63" w:rsidRDefault="00B603E5" w:rsidP="00B603E5">
            <w:pPr>
              <w:autoSpaceDE w:val="0"/>
              <w:autoSpaceDN w:val="0"/>
              <w:adjustRightInd w:val="0"/>
              <w:jc w:val="both"/>
              <w:rPr>
                <w:rFonts w:ascii="Times New Roman" w:hAnsi="Times New Roman"/>
                <w:lang w:eastAsia="sk-SK"/>
              </w:rPr>
            </w:pPr>
            <w:r w:rsidRPr="00580D63">
              <w:rPr>
                <w:rFonts w:ascii="Times New Roman" w:hAnsi="Times New Roman"/>
                <w:lang w:eastAsia="sk-SK"/>
              </w:rPr>
              <w:t>Smernica Európskeho parlamentu a Rady (EÚ) 2020/1057 z 15. júla 2020, ktorou sa stanovujú špecifické pravidlá vo vzťahu k smernici 96/71/ES a smernici 2014/67/EÚ pre vysielanie vodičov v odvetví cestnej dopravy a ktorou sa mení smernica 2006/22/ES, pokiaľ ide o požiadavky týkajúce sa dodržiavania predpisov, a nariadenie (EÚ) č. 1024/2012.</w:t>
            </w:r>
          </w:p>
          <w:p w14:paraId="51030CC3" w14:textId="77777777" w:rsidR="00B603E5" w:rsidRPr="00580D63" w:rsidRDefault="00B603E5" w:rsidP="00B603E5">
            <w:pPr>
              <w:autoSpaceDE w:val="0"/>
              <w:autoSpaceDN w:val="0"/>
              <w:adjustRightInd w:val="0"/>
              <w:jc w:val="both"/>
              <w:rPr>
                <w:rFonts w:ascii="Times New Roman" w:hAnsi="Times New Roman"/>
                <w:sz w:val="20"/>
                <w:szCs w:val="20"/>
                <w:lang w:eastAsia="sk-SK"/>
              </w:rPr>
            </w:pPr>
          </w:p>
        </w:tc>
      </w:tr>
      <w:tr w:rsidR="00B603E5" w:rsidRPr="00580D63" w14:paraId="67B1B7E9" w14:textId="77777777" w:rsidTr="00B603E5">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cPr>
          <w:p w14:paraId="0B107035" w14:textId="77777777" w:rsidR="00B603E5" w:rsidRPr="00580D63" w:rsidRDefault="00B603E5" w:rsidP="00B603E5">
            <w:pPr>
              <w:spacing w:after="200" w:line="276" w:lineRule="auto"/>
              <w:ind w:left="142"/>
              <w:contextualSpacing/>
              <w:rPr>
                <w:rFonts w:ascii="Times New Roman" w:hAnsi="Times New Roman"/>
                <w:b/>
                <w:sz w:val="22"/>
                <w:szCs w:val="22"/>
                <w:lang w:eastAsia="en-US"/>
              </w:rPr>
            </w:pPr>
            <w:r w:rsidRPr="00580D63">
              <w:rPr>
                <w:rFonts w:ascii="Times New Roman" w:hAnsi="Times New Roman"/>
                <w:b/>
                <w:sz w:val="22"/>
                <w:szCs w:val="22"/>
                <w:lang w:eastAsia="en-US"/>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cPr>
          <w:p w14:paraId="10AD696A" w14:textId="77777777" w:rsidR="00B603E5" w:rsidRPr="00580D63" w:rsidRDefault="00B603E5" w:rsidP="00B603E5">
            <w:pPr>
              <w:autoSpaceDE w:val="0"/>
              <w:autoSpaceDN w:val="0"/>
              <w:adjustRightInd w:val="0"/>
              <w:rPr>
                <w:rFonts w:ascii="Times New Roman" w:hAnsi="Times New Roman"/>
                <w:i/>
                <w:iCs/>
                <w:lang w:eastAsia="sk-SK"/>
              </w:rPr>
            </w:pPr>
            <w:r w:rsidRPr="00580D63">
              <w:rPr>
                <w:rFonts w:ascii="Times New Roman" w:hAnsi="Times New Roman"/>
                <w:i/>
                <w:iCs/>
                <w:lang w:eastAsia="sk-SK"/>
              </w:rPr>
              <w:t>3.máj 2021  – 14.máj.2021</w:t>
            </w:r>
          </w:p>
        </w:tc>
      </w:tr>
      <w:tr w:rsidR="00B603E5" w:rsidRPr="00580D63" w14:paraId="1D35EA36" w14:textId="77777777" w:rsidTr="00B603E5">
        <w:tc>
          <w:tcPr>
            <w:tcW w:w="5634" w:type="dxa"/>
            <w:gridSpan w:val="5"/>
            <w:tcBorders>
              <w:top w:val="single" w:sz="4" w:space="0" w:color="auto"/>
              <w:left w:val="single" w:sz="4" w:space="0" w:color="auto"/>
              <w:bottom w:val="single" w:sz="4" w:space="0" w:color="FFFFFF"/>
              <w:right w:val="single" w:sz="4" w:space="0" w:color="auto"/>
            </w:tcBorders>
            <w:shd w:val="clear" w:color="auto" w:fill="E2E2E2"/>
          </w:tcPr>
          <w:p w14:paraId="27E94C86" w14:textId="77777777" w:rsidR="00B603E5" w:rsidRPr="00580D63" w:rsidRDefault="00B603E5" w:rsidP="00B603E5">
            <w:pPr>
              <w:spacing w:after="200" w:line="276" w:lineRule="auto"/>
              <w:ind w:left="142"/>
              <w:contextualSpacing/>
              <w:rPr>
                <w:rFonts w:ascii="Times New Roman" w:hAnsi="Times New Roman"/>
                <w:b/>
                <w:sz w:val="22"/>
                <w:szCs w:val="22"/>
                <w:lang w:eastAsia="en-US"/>
              </w:rPr>
            </w:pPr>
            <w:r w:rsidRPr="00580D63">
              <w:rPr>
                <w:rFonts w:ascii="Times New Roman" w:hAnsi="Times New Roman"/>
                <w:b/>
                <w:sz w:val="22"/>
                <w:szCs w:val="22"/>
                <w:lang w:eastAsia="en-US"/>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cPr>
          <w:p w14:paraId="3C297337" w14:textId="77777777" w:rsidR="00B603E5" w:rsidRPr="00580D63" w:rsidRDefault="00B603E5" w:rsidP="00B603E5">
            <w:pPr>
              <w:autoSpaceDE w:val="0"/>
              <w:autoSpaceDN w:val="0"/>
              <w:adjustRightInd w:val="0"/>
              <w:rPr>
                <w:rFonts w:ascii="Times New Roman" w:hAnsi="Times New Roman"/>
                <w:i/>
                <w:iCs/>
                <w:lang w:eastAsia="en-US"/>
              </w:rPr>
            </w:pPr>
            <w:r w:rsidRPr="00580D63">
              <w:rPr>
                <w:rFonts w:ascii="Times New Roman" w:hAnsi="Times New Roman"/>
                <w:i/>
                <w:iCs/>
                <w:lang w:eastAsia="en-US"/>
              </w:rPr>
              <w:t>24. máj 2021 – 11. júna 2021</w:t>
            </w:r>
          </w:p>
        </w:tc>
      </w:tr>
      <w:tr w:rsidR="00B603E5" w:rsidRPr="00580D63" w14:paraId="72B44485" w14:textId="77777777" w:rsidTr="00B603E5">
        <w:tc>
          <w:tcPr>
            <w:tcW w:w="5634" w:type="dxa"/>
            <w:gridSpan w:val="5"/>
            <w:tcBorders>
              <w:top w:val="single" w:sz="4" w:space="0" w:color="auto"/>
              <w:left w:val="single" w:sz="4" w:space="0" w:color="auto"/>
              <w:bottom w:val="single" w:sz="4" w:space="0" w:color="FFFFFF"/>
              <w:right w:val="single" w:sz="4" w:space="0" w:color="auto"/>
            </w:tcBorders>
            <w:shd w:val="clear" w:color="auto" w:fill="E2E2E2"/>
          </w:tcPr>
          <w:p w14:paraId="3866DC4E" w14:textId="77777777" w:rsidR="00B603E5" w:rsidRPr="00580D63" w:rsidRDefault="00B603E5" w:rsidP="00B603E5">
            <w:pPr>
              <w:spacing w:after="200" w:line="276" w:lineRule="auto"/>
              <w:ind w:left="142"/>
              <w:contextualSpacing/>
              <w:rPr>
                <w:rFonts w:ascii="Times New Roman" w:hAnsi="Times New Roman"/>
                <w:b/>
                <w:sz w:val="22"/>
                <w:szCs w:val="22"/>
                <w:lang w:eastAsia="en-US"/>
              </w:rPr>
            </w:pPr>
            <w:r w:rsidRPr="00580D63">
              <w:rPr>
                <w:rFonts w:ascii="Times New Roman" w:hAnsi="Times New Roman"/>
                <w:b/>
                <w:sz w:val="22"/>
                <w:szCs w:val="22"/>
                <w:lang w:eastAsia="en-US"/>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cPr>
          <w:p w14:paraId="5D1E6923" w14:textId="77777777" w:rsidR="00B603E5" w:rsidRPr="00580D63" w:rsidRDefault="00B603E5" w:rsidP="00B603E5">
            <w:pPr>
              <w:autoSpaceDE w:val="0"/>
              <w:autoSpaceDN w:val="0"/>
              <w:adjustRightInd w:val="0"/>
              <w:rPr>
                <w:rFonts w:ascii="Times New Roman" w:hAnsi="Times New Roman"/>
                <w:i/>
                <w:iCs/>
                <w:lang w:eastAsia="en-US"/>
              </w:rPr>
            </w:pPr>
            <w:r w:rsidRPr="00580D63">
              <w:rPr>
                <w:rFonts w:ascii="Times New Roman" w:hAnsi="Times New Roman"/>
                <w:i/>
                <w:iCs/>
                <w:lang w:eastAsia="en-US"/>
              </w:rPr>
              <w:t>august 2021</w:t>
            </w:r>
          </w:p>
        </w:tc>
      </w:tr>
      <w:tr w:rsidR="00B603E5" w:rsidRPr="00580D63" w14:paraId="39512F46" w14:textId="77777777" w:rsidTr="00B603E5">
        <w:tc>
          <w:tcPr>
            <w:tcW w:w="9180" w:type="dxa"/>
            <w:gridSpan w:val="10"/>
            <w:tcBorders>
              <w:top w:val="single" w:sz="4" w:space="0" w:color="auto"/>
              <w:left w:val="nil"/>
              <w:bottom w:val="single" w:sz="4" w:space="0" w:color="auto"/>
              <w:right w:val="nil"/>
            </w:tcBorders>
            <w:shd w:val="clear" w:color="auto" w:fill="FFFFFF"/>
          </w:tcPr>
          <w:p w14:paraId="08B5963C" w14:textId="77777777" w:rsidR="00B603E5" w:rsidRPr="00580D63" w:rsidRDefault="00B603E5" w:rsidP="00B603E5">
            <w:pPr>
              <w:rPr>
                <w:rFonts w:ascii="Times New Roman" w:hAnsi="Times New Roman"/>
                <w:sz w:val="20"/>
                <w:szCs w:val="20"/>
                <w:lang w:eastAsia="sk-SK"/>
              </w:rPr>
            </w:pPr>
          </w:p>
        </w:tc>
      </w:tr>
      <w:tr w:rsidR="00B603E5" w:rsidRPr="00580D63" w14:paraId="69B358D5" w14:textId="77777777" w:rsidTr="00B603E5">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14:paraId="7A8F6219" w14:textId="77777777" w:rsidR="00B603E5" w:rsidRPr="00580D63" w:rsidRDefault="00B603E5" w:rsidP="00B603E5">
            <w:pPr>
              <w:numPr>
                <w:ilvl w:val="0"/>
                <w:numId w:val="23"/>
              </w:numPr>
              <w:ind w:left="426"/>
              <w:contextualSpacing/>
              <w:rPr>
                <w:rFonts w:ascii="Times New Roman" w:hAnsi="Times New Roman"/>
                <w:b/>
                <w:sz w:val="22"/>
                <w:szCs w:val="22"/>
                <w:lang w:eastAsia="en-US"/>
              </w:rPr>
            </w:pPr>
            <w:r w:rsidRPr="00580D63">
              <w:rPr>
                <w:rFonts w:ascii="Times New Roman" w:hAnsi="Times New Roman"/>
                <w:b/>
                <w:sz w:val="22"/>
                <w:szCs w:val="22"/>
                <w:lang w:eastAsia="en-US"/>
              </w:rPr>
              <w:t>Definovanie problému</w:t>
            </w:r>
          </w:p>
        </w:tc>
      </w:tr>
      <w:tr w:rsidR="00B603E5" w:rsidRPr="00580D63" w14:paraId="4CB9064E" w14:textId="77777777" w:rsidTr="00B603E5">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cPr>
          <w:p w14:paraId="2063D80B" w14:textId="77777777" w:rsidR="00B603E5" w:rsidRPr="00580D63" w:rsidRDefault="00B603E5" w:rsidP="00B603E5">
            <w:pPr>
              <w:rPr>
                <w:rFonts w:ascii="Times New Roman" w:hAnsi="Times New Roman"/>
                <w:i/>
                <w:sz w:val="20"/>
                <w:szCs w:val="20"/>
                <w:lang w:eastAsia="sk-SK"/>
              </w:rPr>
            </w:pPr>
            <w:r w:rsidRPr="00580D63">
              <w:rPr>
                <w:rFonts w:ascii="Times New Roman" w:hAnsi="Times New Roman"/>
                <w:i/>
                <w:sz w:val="20"/>
                <w:szCs w:val="20"/>
                <w:lang w:eastAsia="sk-SK"/>
              </w:rPr>
              <w:t>Uveďte základné problémy, na ktoré navrhovaná regulácia reaguje.</w:t>
            </w:r>
          </w:p>
          <w:p w14:paraId="3163F0B8" w14:textId="77777777" w:rsidR="00B603E5" w:rsidRPr="00580D63" w:rsidRDefault="00B603E5" w:rsidP="00B603E5">
            <w:pPr>
              <w:rPr>
                <w:rFonts w:ascii="Times New Roman" w:hAnsi="Times New Roman"/>
                <w:b/>
                <w:sz w:val="20"/>
                <w:szCs w:val="20"/>
                <w:lang w:eastAsia="sk-SK"/>
              </w:rPr>
            </w:pPr>
          </w:p>
          <w:p w14:paraId="62168AB3" w14:textId="6DD9F6CD" w:rsidR="00B603E5" w:rsidRPr="00580D63" w:rsidRDefault="00B603E5" w:rsidP="00B603E5">
            <w:pPr>
              <w:jc w:val="both"/>
              <w:rPr>
                <w:rFonts w:ascii="Times New Roman" w:hAnsi="Times New Roman"/>
                <w:lang w:eastAsia="sk-SK"/>
              </w:rPr>
            </w:pPr>
            <w:r w:rsidRPr="00580D63">
              <w:rPr>
                <w:rFonts w:ascii="Times New Roman" w:hAnsi="Times New Roman"/>
                <w:lang w:eastAsia="sk-SK"/>
              </w:rPr>
              <w:t xml:space="preserve">Hlavným dôvodom je transpozícia smernice Európskeho parlamentu a Rady (EÚ) 2020/1057 z 15. júla 2020, ktorou sa stanovujú špecifické pravidlá vo vzťahu k smernici 96/71/ES a </w:t>
            </w:r>
            <w:r w:rsidRPr="00580D63">
              <w:rPr>
                <w:rFonts w:ascii="Times New Roman" w:hAnsi="Times New Roman"/>
                <w:lang w:eastAsia="sk-SK"/>
              </w:rPr>
              <w:lastRenderedPageBreak/>
              <w:t xml:space="preserve">smernici 2014/67/EÚ pre vysielanie vodičov v odvetví cestnej dopravy a ktorou sa mení smernica 2006/22/ES, pokiaľ ide o požiadavky týkajúce sa dodržiavania predpisov, a nariadenie (EÚ) č. 1024/2012 (ďalej len „smernica Európskeho parlamentu a Rady (EÚ) 2020/1057“). </w:t>
            </w:r>
          </w:p>
          <w:p w14:paraId="15D3D64A" w14:textId="77777777" w:rsidR="00B603E5" w:rsidRPr="00580D63" w:rsidRDefault="00B603E5" w:rsidP="00B603E5">
            <w:pPr>
              <w:jc w:val="both"/>
              <w:rPr>
                <w:rFonts w:ascii="Times New Roman" w:hAnsi="Times New Roman"/>
                <w:lang w:eastAsia="sk-SK"/>
              </w:rPr>
            </w:pPr>
          </w:p>
          <w:p w14:paraId="7AD07F84" w14:textId="77777777" w:rsidR="00B603E5" w:rsidRPr="00580D63" w:rsidRDefault="00B603E5" w:rsidP="00B603E5">
            <w:pPr>
              <w:jc w:val="both"/>
              <w:rPr>
                <w:rFonts w:ascii="Times New Roman" w:hAnsi="Times New Roman"/>
                <w:lang w:eastAsia="sk-SK"/>
              </w:rPr>
            </w:pPr>
            <w:r w:rsidRPr="00580D63">
              <w:rPr>
                <w:rFonts w:ascii="Times New Roman" w:hAnsi="Times New Roman"/>
                <w:lang w:eastAsia="sk-SK"/>
              </w:rPr>
              <w:t xml:space="preserve">Termín na transpozíciu smernice Európskeho parlamentu a Rady (EÚ) 2020/1057 členskými štátmi je 2. február 2022 a transpozícia v Slovenskej republike bude zabezpečená zákonom, ktorým sa mení a dopĺňa </w:t>
            </w:r>
          </w:p>
          <w:p w14:paraId="2BB8D25B" w14:textId="77777777" w:rsidR="00B603E5" w:rsidRPr="00580D63" w:rsidRDefault="00B603E5" w:rsidP="00B603E5">
            <w:pPr>
              <w:jc w:val="both"/>
              <w:rPr>
                <w:rFonts w:ascii="Times New Roman" w:hAnsi="Times New Roman"/>
                <w:sz w:val="20"/>
                <w:szCs w:val="20"/>
                <w:lang w:eastAsia="sk-SK"/>
              </w:rPr>
            </w:pPr>
          </w:p>
          <w:p w14:paraId="6C6ABA02" w14:textId="77777777" w:rsidR="00B603E5" w:rsidRPr="00580D63" w:rsidRDefault="00B603E5" w:rsidP="00B603E5">
            <w:pPr>
              <w:numPr>
                <w:ilvl w:val="0"/>
                <w:numId w:val="19"/>
              </w:numPr>
              <w:spacing w:after="200" w:line="276" w:lineRule="auto"/>
              <w:contextualSpacing/>
              <w:jc w:val="both"/>
              <w:rPr>
                <w:rFonts w:ascii="Times New Roman" w:hAnsi="Times New Roman"/>
                <w:lang w:eastAsia="en-US"/>
              </w:rPr>
            </w:pPr>
            <w:r w:rsidRPr="00580D63">
              <w:rPr>
                <w:rFonts w:ascii="Times New Roman" w:hAnsi="Times New Roman"/>
                <w:lang w:eastAsia="en-US"/>
              </w:rPr>
              <w:t>zákon č. 462/2007 Z. z. o organizácii pracovného času v doprave a o zmene a doplnení zákona č. 125/2006 Z. z. o inšpekcii práce a o zmene a doplnení zákona č. 82/2005 Z. z. o nelegálnej práci a nelegálnom zamestnávaní a o zmene a doplnení niektorých zákonov v znení zákona č. 309/2007 Z. z. v znení neskorších predpisov,</w:t>
            </w:r>
          </w:p>
          <w:p w14:paraId="556ECD78" w14:textId="77777777" w:rsidR="00B603E5" w:rsidRPr="00580D63" w:rsidRDefault="00B603E5" w:rsidP="00B603E5">
            <w:pPr>
              <w:numPr>
                <w:ilvl w:val="0"/>
                <w:numId w:val="19"/>
              </w:numPr>
              <w:spacing w:after="200" w:line="276" w:lineRule="auto"/>
              <w:contextualSpacing/>
              <w:jc w:val="both"/>
              <w:rPr>
                <w:rFonts w:ascii="Times New Roman" w:hAnsi="Times New Roman"/>
                <w:lang w:eastAsia="en-US"/>
              </w:rPr>
            </w:pPr>
            <w:r w:rsidRPr="00580D63">
              <w:rPr>
                <w:rFonts w:ascii="Times New Roman" w:hAnsi="Times New Roman"/>
                <w:lang w:eastAsia="en-US"/>
              </w:rPr>
              <w:t>zákon č. 311/2001 Z. z. Zákonník práce v znení neskorších predpisov,</w:t>
            </w:r>
          </w:p>
          <w:p w14:paraId="16CD606B" w14:textId="77777777" w:rsidR="00B603E5" w:rsidRPr="00580D63" w:rsidRDefault="00B603E5" w:rsidP="00B603E5">
            <w:pPr>
              <w:numPr>
                <w:ilvl w:val="0"/>
                <w:numId w:val="19"/>
              </w:numPr>
              <w:spacing w:after="200" w:line="276" w:lineRule="auto"/>
              <w:contextualSpacing/>
              <w:jc w:val="both"/>
              <w:rPr>
                <w:rFonts w:ascii="Times New Roman" w:hAnsi="Times New Roman"/>
                <w:lang w:eastAsia="en-US"/>
              </w:rPr>
            </w:pPr>
            <w:r w:rsidRPr="00580D63">
              <w:rPr>
                <w:rFonts w:ascii="Times New Roman" w:hAnsi="Times New Roman"/>
                <w:lang w:eastAsia="en-US"/>
              </w:rPr>
              <w:t>zákon č. 351/2015 Z. z. o cezhraničnej spolupráci pri vysielaní zamestnancov na výkon prác pri poskytovaní služieb a o zmene a doplnení niektorých zákonov v znení zákona č. 307/2019 Z. z.</w:t>
            </w:r>
          </w:p>
          <w:p w14:paraId="5FF8AAF5" w14:textId="77777777" w:rsidR="00B603E5" w:rsidRPr="00580D63" w:rsidRDefault="00B603E5" w:rsidP="00B603E5">
            <w:pPr>
              <w:jc w:val="both"/>
              <w:rPr>
                <w:rFonts w:ascii="Times New Roman" w:hAnsi="Times New Roman"/>
                <w:sz w:val="20"/>
                <w:szCs w:val="20"/>
                <w:lang w:eastAsia="sk-SK"/>
              </w:rPr>
            </w:pPr>
          </w:p>
          <w:p w14:paraId="61C35AC9" w14:textId="77777777" w:rsidR="00B603E5" w:rsidRPr="00580D63" w:rsidRDefault="00B603E5" w:rsidP="00B603E5">
            <w:pPr>
              <w:jc w:val="both"/>
              <w:rPr>
                <w:rFonts w:ascii="Times New Roman" w:hAnsi="Times New Roman"/>
                <w:lang w:eastAsia="en-US"/>
              </w:rPr>
            </w:pPr>
            <w:r w:rsidRPr="00580D63">
              <w:rPr>
                <w:rFonts w:ascii="Times New Roman" w:hAnsi="Times New Roman"/>
                <w:lang w:eastAsia="en-US"/>
              </w:rPr>
              <w:t>Zároveň návrhom novely zákona č. 462/2007 Z. z. sa zabezpečí vykonanie Nariadenia Európskeho parlamentu a Rady (EÚ) 2020/1054 z 15. júla 2020, ktorým sa mení nariadenie (ES) č. 561/2006, pokiaľ ide o minimálne požiadavky na maximálne denné a týždenné časy jazdy, minimálne prestávky a doby denného a týždenného odpočinku, a nariadenie (EÚ) č. 165/2014, pokiaľ ide o určovanie polohy prostredníctvom tachografov.</w:t>
            </w:r>
          </w:p>
          <w:p w14:paraId="1E7EAC6F" w14:textId="77777777" w:rsidR="00B603E5" w:rsidRPr="00580D63" w:rsidRDefault="00B603E5" w:rsidP="00B603E5">
            <w:pPr>
              <w:jc w:val="both"/>
              <w:rPr>
                <w:rFonts w:ascii="Times New Roman" w:hAnsi="Times New Roman"/>
                <w:lang w:eastAsia="en-US"/>
              </w:rPr>
            </w:pPr>
          </w:p>
          <w:p w14:paraId="7CA9E8E0" w14:textId="77777777" w:rsidR="00B603E5" w:rsidRPr="00580D63" w:rsidRDefault="00B603E5" w:rsidP="00B603E5">
            <w:pPr>
              <w:jc w:val="both"/>
              <w:rPr>
                <w:rFonts w:ascii="Times New Roman" w:hAnsi="Times New Roman"/>
                <w:lang w:eastAsia="en-US"/>
              </w:rPr>
            </w:pPr>
            <w:r w:rsidRPr="00580D63">
              <w:rPr>
                <w:rFonts w:ascii="Times New Roman" w:hAnsi="Times New Roman"/>
                <w:lang w:eastAsia="en-US"/>
              </w:rPr>
              <w:t>Vypracovanie návrhu novely predmetných zákonov vychádza z návrhu na určenie zodpovednosti ministerstiev, ostatných ústredných orgánov štátnej správy a niektorých orgánov verejnej moci za aplikáciu a prijatie opatrení na vnútroštátnej úrovni k nariadeniam Európskej únie a rozhodnutiam Európskej únie schváleného uznesením vlády Slovenskej republiky č. 634/2020 zo dňa 7.10. 2020 ako aj z Plánu legislatívnych úloh vlády Slovenskej republiky na rok 2021.</w:t>
            </w:r>
          </w:p>
          <w:p w14:paraId="1D57CF51" w14:textId="77777777" w:rsidR="00B603E5" w:rsidRPr="00580D63" w:rsidRDefault="00B603E5" w:rsidP="00B603E5">
            <w:pPr>
              <w:autoSpaceDE w:val="0"/>
              <w:autoSpaceDN w:val="0"/>
              <w:adjustRightInd w:val="0"/>
              <w:jc w:val="both"/>
              <w:rPr>
                <w:rFonts w:ascii="Times New Roman" w:hAnsi="Times New Roman"/>
                <w:b/>
                <w:sz w:val="20"/>
                <w:szCs w:val="20"/>
                <w:lang w:eastAsia="sk-SK"/>
              </w:rPr>
            </w:pPr>
          </w:p>
        </w:tc>
      </w:tr>
      <w:tr w:rsidR="00B603E5" w:rsidRPr="00580D63" w14:paraId="6892037E" w14:textId="77777777" w:rsidTr="00DA58E5">
        <w:tc>
          <w:tcPr>
            <w:tcW w:w="9180" w:type="dxa"/>
            <w:gridSpan w:val="10"/>
            <w:tcBorders>
              <w:top w:val="single" w:sz="4" w:space="0" w:color="auto"/>
              <w:left w:val="single" w:sz="4" w:space="0" w:color="auto"/>
              <w:bottom w:val="nil"/>
              <w:right w:val="single" w:sz="4" w:space="0" w:color="auto"/>
            </w:tcBorders>
            <w:shd w:val="clear" w:color="auto" w:fill="E2E2E2"/>
          </w:tcPr>
          <w:p w14:paraId="7133BACB" w14:textId="77777777" w:rsidR="00B603E5" w:rsidRPr="00580D63" w:rsidRDefault="00B603E5" w:rsidP="00B603E5">
            <w:pPr>
              <w:numPr>
                <w:ilvl w:val="0"/>
                <w:numId w:val="23"/>
              </w:numPr>
              <w:ind w:left="426"/>
              <w:contextualSpacing/>
              <w:rPr>
                <w:rFonts w:ascii="Times New Roman" w:hAnsi="Times New Roman"/>
                <w:b/>
                <w:sz w:val="22"/>
                <w:szCs w:val="22"/>
                <w:lang w:eastAsia="en-US"/>
              </w:rPr>
            </w:pPr>
            <w:r w:rsidRPr="00580D63">
              <w:rPr>
                <w:rFonts w:ascii="Times New Roman" w:hAnsi="Times New Roman"/>
                <w:b/>
                <w:sz w:val="22"/>
                <w:szCs w:val="22"/>
                <w:lang w:eastAsia="en-US"/>
              </w:rPr>
              <w:lastRenderedPageBreak/>
              <w:t>Ciele a výsledný stav</w:t>
            </w:r>
          </w:p>
        </w:tc>
      </w:tr>
      <w:tr w:rsidR="00B603E5" w:rsidRPr="00580D63" w14:paraId="0D64BBCF" w14:textId="77777777" w:rsidTr="00B603E5">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cPr>
          <w:p w14:paraId="449CDB74" w14:textId="77777777" w:rsidR="00B603E5" w:rsidRPr="00580D63" w:rsidRDefault="00B603E5" w:rsidP="00B603E5">
            <w:pPr>
              <w:rPr>
                <w:rFonts w:ascii="Times New Roman" w:hAnsi="Times New Roman"/>
                <w:lang w:eastAsia="en-US"/>
              </w:rPr>
            </w:pPr>
            <w:r w:rsidRPr="00580D63">
              <w:rPr>
                <w:rFonts w:ascii="Times New Roman" w:hAnsi="Times New Roman"/>
                <w:lang w:eastAsia="en-US"/>
              </w:rPr>
              <w:t>Uveďte hlavné ciele navrhovaného predpisu (aký výsledný stav chcete reguláciou dosiahnuť).</w:t>
            </w:r>
          </w:p>
          <w:p w14:paraId="509BD372" w14:textId="77777777" w:rsidR="00B603E5" w:rsidRPr="00580D63" w:rsidRDefault="00B603E5" w:rsidP="00B603E5">
            <w:pPr>
              <w:rPr>
                <w:rFonts w:ascii="Times New Roman" w:hAnsi="Times New Roman"/>
                <w:lang w:eastAsia="en-US"/>
              </w:rPr>
            </w:pPr>
          </w:p>
          <w:p w14:paraId="050BA23F" w14:textId="77777777" w:rsidR="00B603E5" w:rsidRPr="00580D63" w:rsidRDefault="00B603E5" w:rsidP="00B603E5">
            <w:pPr>
              <w:jc w:val="both"/>
              <w:rPr>
                <w:rFonts w:ascii="Times New Roman" w:hAnsi="Times New Roman"/>
                <w:lang w:eastAsia="en-US"/>
              </w:rPr>
            </w:pPr>
            <w:r w:rsidRPr="00580D63">
              <w:rPr>
                <w:rFonts w:ascii="Times New Roman" w:hAnsi="Times New Roman"/>
                <w:lang w:eastAsia="en-US"/>
              </w:rPr>
              <w:t>V súčasnosti je oblasť vysielania pracovníkov upravená v smernici 96/71/ES a pravidlá  týkajúce sa administratívnych požiadaviek vysielania sú uvedené v smernici 2014/67/EÚ. Tieto pravidlá nie sú vhodné pre oblasť cestnej dopravy, ktorá sa vyznačuje vysokou mierou mobility. Mnohé členské štáty zaviedli vnútroštátne opatrenia na uplatňovanie a dodržiavanie ustanovení o vysielaní pracovníkov v odvetví cestnej dopravy, ktoré viedli k právnej neistote, vysokej administratívnej záťaži čo výrazným spôsobom znižuje konkurencieschopnosť prevádzkovateľov cestnej dopravy z iných členských štátov Európskej únie. Na základe týchto poznatkov boli prijaté špecifické pravidlá týkajúce sa vysielania vodičov ustanovených v článku 1 smernice Európskeho parlamentu a Rady (EÚ) 2020/1057.</w:t>
            </w:r>
          </w:p>
          <w:p w14:paraId="2A5BF898" w14:textId="77777777" w:rsidR="00B603E5" w:rsidRPr="00580D63" w:rsidRDefault="00B603E5" w:rsidP="00B603E5">
            <w:pPr>
              <w:jc w:val="both"/>
              <w:rPr>
                <w:rFonts w:ascii="Times New Roman" w:hAnsi="Times New Roman"/>
                <w:lang w:eastAsia="en-US"/>
              </w:rPr>
            </w:pPr>
          </w:p>
          <w:p w14:paraId="255CB16B" w14:textId="77777777" w:rsidR="00B603E5" w:rsidRPr="00580D63" w:rsidRDefault="00B603E5" w:rsidP="00B603E5">
            <w:pPr>
              <w:jc w:val="both"/>
              <w:rPr>
                <w:rFonts w:ascii="Times New Roman" w:hAnsi="Times New Roman"/>
                <w:lang w:eastAsia="en-US"/>
              </w:rPr>
            </w:pPr>
            <w:r w:rsidRPr="00580D63">
              <w:rPr>
                <w:rFonts w:ascii="Times New Roman" w:hAnsi="Times New Roman"/>
                <w:lang w:eastAsia="en-US"/>
              </w:rPr>
              <w:t xml:space="preserve">Právna úprava s účinnosťou od 2. februára 2022 zjednotí pravidlá vysielania vodičov v odvetví cestnej dopravy v rámci Európskej únie. Určí, že medzinárodná doprava v tranzite cez územie členského štátu nepredstavuje vysielanie a zároveň určí, ktoré dopravné činnosti majú výnimku z podmienok vysielania, a to najmä v súvislosti s bilaterálnymi prepravami medzi členskými štátmi Európskej únie. </w:t>
            </w:r>
            <w:proofErr w:type="spellStart"/>
            <w:r w:rsidRPr="00580D63">
              <w:rPr>
                <w:rFonts w:ascii="Times New Roman" w:hAnsi="Times New Roman"/>
                <w:lang w:eastAsia="en-US"/>
              </w:rPr>
              <w:t>Kabotážna</w:t>
            </w:r>
            <w:proofErr w:type="spellEnd"/>
            <w:r w:rsidRPr="00580D63">
              <w:rPr>
                <w:rFonts w:ascii="Times New Roman" w:hAnsi="Times New Roman"/>
                <w:lang w:eastAsia="en-US"/>
              </w:rPr>
              <w:t xml:space="preserve"> preprava bude považovaná za vysielanie. </w:t>
            </w:r>
            <w:r w:rsidRPr="00580D63">
              <w:rPr>
                <w:rFonts w:ascii="Times New Roman" w:hAnsi="Times New Roman"/>
                <w:lang w:eastAsia="en-US"/>
              </w:rPr>
              <w:lastRenderedPageBreak/>
              <w:t>Informácie a doklady k vysielaniu sa budú vymieňať prostredníctvom informačného systému o vnútornom trhu, ktorý je už v súčasnosti využívaný na spoluprácu medzi členskými štátmi Európskej únie a Európskou komisiou.</w:t>
            </w:r>
          </w:p>
          <w:p w14:paraId="700F134F" w14:textId="77777777" w:rsidR="00B603E5" w:rsidRPr="00580D63" w:rsidRDefault="00B603E5" w:rsidP="00B603E5">
            <w:pPr>
              <w:autoSpaceDE w:val="0"/>
              <w:autoSpaceDN w:val="0"/>
              <w:adjustRightInd w:val="0"/>
              <w:jc w:val="both"/>
              <w:rPr>
                <w:rFonts w:ascii="Times New Roman" w:hAnsi="Times New Roman"/>
                <w:lang w:eastAsia="en-US"/>
              </w:rPr>
            </w:pPr>
          </w:p>
        </w:tc>
      </w:tr>
      <w:tr w:rsidR="00B603E5" w:rsidRPr="00580D63" w14:paraId="5CC97D2D" w14:textId="77777777" w:rsidTr="00DA58E5">
        <w:tc>
          <w:tcPr>
            <w:tcW w:w="9180" w:type="dxa"/>
            <w:gridSpan w:val="10"/>
            <w:tcBorders>
              <w:top w:val="single" w:sz="4" w:space="0" w:color="auto"/>
              <w:left w:val="single" w:sz="4" w:space="0" w:color="auto"/>
              <w:bottom w:val="nil"/>
              <w:right w:val="single" w:sz="4" w:space="0" w:color="auto"/>
            </w:tcBorders>
            <w:shd w:val="clear" w:color="auto" w:fill="E2E2E2"/>
          </w:tcPr>
          <w:p w14:paraId="6C859C49" w14:textId="77777777" w:rsidR="00B603E5" w:rsidRPr="00580D63" w:rsidRDefault="00B603E5" w:rsidP="00B603E5">
            <w:pPr>
              <w:numPr>
                <w:ilvl w:val="0"/>
                <w:numId w:val="23"/>
              </w:numPr>
              <w:ind w:left="426"/>
              <w:contextualSpacing/>
              <w:rPr>
                <w:rFonts w:ascii="Times New Roman" w:hAnsi="Times New Roman"/>
                <w:b/>
                <w:sz w:val="22"/>
                <w:szCs w:val="22"/>
                <w:lang w:eastAsia="en-US"/>
              </w:rPr>
            </w:pPr>
            <w:r w:rsidRPr="00580D63">
              <w:rPr>
                <w:rFonts w:ascii="Times New Roman" w:hAnsi="Times New Roman"/>
                <w:b/>
                <w:sz w:val="22"/>
                <w:szCs w:val="22"/>
                <w:lang w:eastAsia="en-US"/>
              </w:rPr>
              <w:lastRenderedPageBreak/>
              <w:t>Dotknuté subjekty</w:t>
            </w:r>
          </w:p>
        </w:tc>
      </w:tr>
      <w:tr w:rsidR="00B603E5" w:rsidRPr="00580D63" w14:paraId="6AB222CA" w14:textId="77777777" w:rsidTr="00B603E5">
        <w:tc>
          <w:tcPr>
            <w:tcW w:w="9180" w:type="dxa"/>
            <w:gridSpan w:val="10"/>
            <w:tcBorders>
              <w:top w:val="nil"/>
              <w:left w:val="single" w:sz="4" w:space="0" w:color="auto"/>
              <w:bottom w:val="single" w:sz="4" w:space="0" w:color="auto"/>
              <w:right w:val="single" w:sz="4" w:space="0" w:color="auto"/>
            </w:tcBorders>
            <w:shd w:val="clear" w:color="auto" w:fill="FFFFFF"/>
          </w:tcPr>
          <w:p w14:paraId="38D40D7A" w14:textId="77777777" w:rsidR="00B603E5" w:rsidRPr="00580D63" w:rsidRDefault="00B603E5" w:rsidP="00B603E5">
            <w:pPr>
              <w:rPr>
                <w:rFonts w:ascii="Times New Roman" w:hAnsi="Times New Roman"/>
                <w:i/>
                <w:sz w:val="20"/>
                <w:szCs w:val="20"/>
                <w:lang w:eastAsia="sk-SK"/>
              </w:rPr>
            </w:pPr>
            <w:r w:rsidRPr="00580D63">
              <w:rPr>
                <w:rFonts w:ascii="Times New Roman" w:hAnsi="Times New Roman"/>
                <w:i/>
                <w:sz w:val="20"/>
                <w:szCs w:val="20"/>
                <w:lang w:eastAsia="sk-SK"/>
              </w:rPr>
              <w:t>Uveďte subjekty, ktorých sa zmeny návrhu dotknú priamo aj nepriamo:</w:t>
            </w:r>
          </w:p>
          <w:p w14:paraId="3A15CAE7" w14:textId="77777777" w:rsidR="00B603E5" w:rsidRPr="00580D63" w:rsidRDefault="00B603E5" w:rsidP="00B603E5">
            <w:pPr>
              <w:rPr>
                <w:rFonts w:ascii="Times New Roman" w:hAnsi="Times New Roman"/>
                <w:i/>
                <w:sz w:val="20"/>
                <w:szCs w:val="20"/>
                <w:lang w:eastAsia="sk-SK"/>
              </w:rPr>
            </w:pPr>
          </w:p>
          <w:p w14:paraId="7115C1A1" w14:textId="77777777" w:rsidR="00B603E5" w:rsidRPr="00580D63" w:rsidRDefault="00B603E5" w:rsidP="00B603E5">
            <w:pPr>
              <w:autoSpaceDE w:val="0"/>
              <w:autoSpaceDN w:val="0"/>
              <w:adjustRightInd w:val="0"/>
              <w:jc w:val="both"/>
              <w:rPr>
                <w:rFonts w:ascii="Times New Roman" w:hAnsi="Times New Roman"/>
                <w:i/>
                <w:sz w:val="20"/>
                <w:szCs w:val="20"/>
                <w:lang w:eastAsia="sk-SK"/>
              </w:rPr>
            </w:pPr>
            <w:r w:rsidRPr="00580D63">
              <w:rPr>
                <w:rFonts w:ascii="Times New Roman" w:hAnsi="Times New Roman"/>
                <w:lang w:eastAsia="en-US"/>
              </w:rPr>
              <w:t xml:space="preserve">Prevádzkovatelia cestnej dopravy, vodiči nákladných vozidiel a autobusov, registrované a autorizované dielne na vykonávanie inštalácie a overovanie záznamových zariadení, Národný inšpektorát práce SR, inšpektoráty práce, Ministerstvo vnútra SR, Prezídium policajného zboru.  </w:t>
            </w:r>
          </w:p>
        </w:tc>
      </w:tr>
      <w:tr w:rsidR="00B603E5" w:rsidRPr="00580D63" w14:paraId="0AA32B1A" w14:textId="77777777" w:rsidTr="00DA58E5">
        <w:tc>
          <w:tcPr>
            <w:tcW w:w="9180" w:type="dxa"/>
            <w:gridSpan w:val="10"/>
            <w:tcBorders>
              <w:top w:val="single" w:sz="4" w:space="0" w:color="auto"/>
              <w:left w:val="single" w:sz="4" w:space="0" w:color="auto"/>
              <w:bottom w:val="nil"/>
              <w:right w:val="single" w:sz="4" w:space="0" w:color="auto"/>
            </w:tcBorders>
            <w:shd w:val="clear" w:color="auto" w:fill="E2E2E2"/>
          </w:tcPr>
          <w:p w14:paraId="4EED8F66" w14:textId="77777777" w:rsidR="00B603E5" w:rsidRPr="00580D63" w:rsidRDefault="00B603E5" w:rsidP="00B603E5">
            <w:pPr>
              <w:numPr>
                <w:ilvl w:val="0"/>
                <w:numId w:val="23"/>
              </w:numPr>
              <w:ind w:left="426"/>
              <w:contextualSpacing/>
              <w:rPr>
                <w:rFonts w:ascii="Times New Roman" w:hAnsi="Times New Roman"/>
                <w:b/>
                <w:sz w:val="22"/>
                <w:szCs w:val="22"/>
                <w:lang w:eastAsia="en-US"/>
              </w:rPr>
            </w:pPr>
            <w:r w:rsidRPr="00580D63">
              <w:rPr>
                <w:rFonts w:ascii="Times New Roman" w:hAnsi="Times New Roman"/>
                <w:b/>
                <w:sz w:val="22"/>
                <w:szCs w:val="22"/>
                <w:lang w:eastAsia="en-US"/>
              </w:rPr>
              <w:t>Alternatívne riešenia</w:t>
            </w:r>
          </w:p>
        </w:tc>
      </w:tr>
      <w:tr w:rsidR="00B603E5" w:rsidRPr="00580D63" w14:paraId="0A1D5C89" w14:textId="77777777" w:rsidTr="00B603E5">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cPr>
          <w:p w14:paraId="30B93F44" w14:textId="77777777" w:rsidR="00B603E5" w:rsidRPr="00580D63" w:rsidRDefault="00B603E5" w:rsidP="00B603E5">
            <w:pPr>
              <w:rPr>
                <w:rFonts w:ascii="Times New Roman" w:hAnsi="Times New Roman"/>
                <w:i/>
                <w:sz w:val="20"/>
                <w:szCs w:val="20"/>
                <w:lang w:eastAsia="sk-SK"/>
              </w:rPr>
            </w:pPr>
            <w:r w:rsidRPr="00580D63">
              <w:rPr>
                <w:rFonts w:ascii="Times New Roman" w:hAnsi="Times New Roman"/>
                <w:i/>
                <w:sz w:val="20"/>
                <w:szCs w:val="20"/>
                <w:lang w:eastAsia="sk-SK"/>
              </w:rPr>
              <w:t>Aké alternatívne riešenia boli posudzované?</w:t>
            </w:r>
          </w:p>
          <w:p w14:paraId="4DBCDDBB" w14:textId="77777777" w:rsidR="00B603E5" w:rsidRPr="00580D63" w:rsidRDefault="00B603E5" w:rsidP="00B603E5">
            <w:pPr>
              <w:rPr>
                <w:rFonts w:ascii="Times New Roman" w:hAnsi="Times New Roman"/>
                <w:i/>
                <w:sz w:val="20"/>
                <w:szCs w:val="20"/>
                <w:lang w:eastAsia="sk-SK"/>
              </w:rPr>
            </w:pPr>
            <w:r w:rsidRPr="00580D63">
              <w:rPr>
                <w:rFonts w:ascii="Times New Roman" w:hAnsi="Times New Roman"/>
                <w:i/>
                <w:sz w:val="20"/>
                <w:szCs w:val="20"/>
                <w:lang w:eastAsia="sk-SK"/>
              </w:rPr>
              <w:t>Uveďte, aké alternatívne spôsoby na odstránenie definovaného problému boli identifikované a posudzované.</w:t>
            </w:r>
          </w:p>
          <w:p w14:paraId="61933A74" w14:textId="77777777" w:rsidR="00B603E5" w:rsidRPr="00580D63" w:rsidRDefault="00B603E5" w:rsidP="00B603E5">
            <w:pPr>
              <w:rPr>
                <w:rFonts w:ascii="Times New Roman" w:hAnsi="Times New Roman"/>
                <w:i/>
                <w:sz w:val="20"/>
                <w:szCs w:val="20"/>
                <w:lang w:eastAsia="sk-SK"/>
              </w:rPr>
            </w:pPr>
          </w:p>
          <w:p w14:paraId="68366714" w14:textId="77777777" w:rsidR="00B603E5" w:rsidRPr="00580D63" w:rsidRDefault="00B603E5" w:rsidP="00B603E5">
            <w:pPr>
              <w:jc w:val="both"/>
              <w:rPr>
                <w:rFonts w:ascii="Times New Roman" w:hAnsi="Times New Roman"/>
                <w:sz w:val="20"/>
                <w:szCs w:val="20"/>
                <w:lang w:eastAsia="sk-SK"/>
              </w:rPr>
            </w:pPr>
            <w:r w:rsidRPr="00580D63">
              <w:rPr>
                <w:rFonts w:ascii="Times New Roman" w:hAnsi="Times New Roman"/>
                <w:szCs w:val="20"/>
                <w:lang w:eastAsia="sk-SK"/>
              </w:rPr>
              <w:t>Bol posudzovaný súčasný stav, t. j. nulový variant, a nadväzne sa navrhli príslušné ustanovenia s cieľom zabezpečiť transpozíciu smernice Európskeho parlamentu a Rady (EÚ) 2020/1057, zabezpečiť vykonanie Nariadenia Európskeho parlamentu a Rady (EÚ) 2020/1054 a aj upraviť podmienky na základe aplikačnej praxe.</w:t>
            </w:r>
          </w:p>
        </w:tc>
      </w:tr>
      <w:tr w:rsidR="00B603E5" w:rsidRPr="00580D63" w14:paraId="26E6CD6E" w14:textId="77777777" w:rsidTr="00B603E5">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14:paraId="2373A753" w14:textId="77777777" w:rsidR="00B603E5" w:rsidRPr="00580D63" w:rsidRDefault="00B603E5" w:rsidP="00B603E5">
            <w:pPr>
              <w:numPr>
                <w:ilvl w:val="0"/>
                <w:numId w:val="23"/>
              </w:numPr>
              <w:ind w:left="426"/>
              <w:contextualSpacing/>
              <w:rPr>
                <w:rFonts w:ascii="Times New Roman" w:hAnsi="Times New Roman"/>
                <w:b/>
                <w:sz w:val="22"/>
                <w:szCs w:val="22"/>
                <w:lang w:eastAsia="en-US"/>
              </w:rPr>
            </w:pPr>
            <w:r w:rsidRPr="00580D63">
              <w:rPr>
                <w:rFonts w:ascii="Times New Roman" w:hAnsi="Times New Roman"/>
                <w:b/>
                <w:sz w:val="22"/>
                <w:szCs w:val="22"/>
                <w:lang w:eastAsia="en-US"/>
              </w:rPr>
              <w:t>Vykonávacie predpisy</w:t>
            </w:r>
          </w:p>
        </w:tc>
      </w:tr>
      <w:tr w:rsidR="00B603E5" w:rsidRPr="00580D63" w14:paraId="127B311C" w14:textId="77777777" w:rsidTr="00B603E5">
        <w:tc>
          <w:tcPr>
            <w:tcW w:w="6203" w:type="dxa"/>
            <w:gridSpan w:val="6"/>
            <w:tcBorders>
              <w:top w:val="single" w:sz="4" w:space="0" w:color="FFFFFF"/>
              <w:left w:val="single" w:sz="4" w:space="0" w:color="auto"/>
              <w:bottom w:val="nil"/>
              <w:right w:val="nil"/>
            </w:tcBorders>
            <w:shd w:val="clear" w:color="auto" w:fill="FFFFFF"/>
          </w:tcPr>
          <w:p w14:paraId="7F63CA3A" w14:textId="77777777" w:rsidR="00B603E5" w:rsidRPr="00580D63" w:rsidRDefault="00B603E5" w:rsidP="00B603E5">
            <w:pPr>
              <w:rPr>
                <w:rFonts w:ascii="Times New Roman" w:hAnsi="Times New Roman"/>
                <w:i/>
                <w:sz w:val="20"/>
                <w:szCs w:val="20"/>
                <w:lang w:eastAsia="sk-SK"/>
              </w:rPr>
            </w:pPr>
            <w:r w:rsidRPr="00580D63">
              <w:rPr>
                <w:rFonts w:ascii="Times New Roman" w:hAnsi="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32520809" w14:textId="77777777" w:rsidR="00B603E5" w:rsidRPr="00580D63" w:rsidRDefault="00152939" w:rsidP="00B603E5">
            <w:pPr>
              <w:jc w:val="center"/>
              <w:rPr>
                <w:rFonts w:ascii="Times New Roman" w:hAnsi="Times New Roman"/>
                <w:sz w:val="20"/>
                <w:szCs w:val="20"/>
                <w:lang w:eastAsia="sk-SK"/>
              </w:rPr>
            </w:pPr>
            <w:sdt>
              <w:sdtPr>
                <w:rPr>
                  <w:sz w:val="20"/>
                  <w:szCs w:val="20"/>
                  <w:lang w:eastAsia="sk-SK"/>
                </w:rPr>
                <w:id w:val="-1407611648"/>
                <w14:checkbox>
                  <w14:checked w14:val="0"/>
                  <w14:checkedState w14:val="2612" w14:font="MS Gothic"/>
                  <w14:uncheckedState w14:val="2610" w14:font="MS Gothic"/>
                </w14:checkbox>
              </w:sdtPr>
              <w:sdtEndPr/>
              <w:sdtContent>
                <w:r w:rsidR="00B603E5" w:rsidRPr="00580D63">
                  <w:rPr>
                    <w:rFonts w:ascii="Segoe UI Symbol" w:hAnsi="Segoe UI Symbol" w:cs="Segoe UI Symbol"/>
                    <w:sz w:val="20"/>
                    <w:szCs w:val="20"/>
                    <w:lang w:eastAsia="sk-SK"/>
                  </w:rPr>
                  <w:t>☐</w:t>
                </w:r>
              </w:sdtContent>
            </w:sdt>
            <w:r w:rsidR="00B603E5" w:rsidRPr="00580D63">
              <w:rPr>
                <w:rFonts w:ascii="Times New Roman" w:hAnsi="Times New Roman"/>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100B0994" w14:textId="77777777" w:rsidR="00B603E5" w:rsidRPr="00580D63" w:rsidRDefault="00152939" w:rsidP="00B603E5">
            <w:pPr>
              <w:jc w:val="center"/>
              <w:rPr>
                <w:rFonts w:ascii="Times New Roman" w:hAnsi="Times New Roman"/>
                <w:sz w:val="20"/>
                <w:szCs w:val="20"/>
                <w:lang w:eastAsia="sk-SK"/>
              </w:rPr>
            </w:pPr>
            <w:sdt>
              <w:sdtPr>
                <w:rPr>
                  <w:sz w:val="20"/>
                  <w:szCs w:val="20"/>
                  <w:lang w:eastAsia="sk-SK"/>
                </w:rPr>
                <w:id w:val="-1625842802"/>
                <w14:checkbox>
                  <w14:checked w14:val="1"/>
                  <w14:checkedState w14:val="2612" w14:font="MS Gothic"/>
                  <w14:uncheckedState w14:val="2610" w14:font="MS Gothic"/>
                </w14:checkbox>
              </w:sdtPr>
              <w:sdtEndPr/>
              <w:sdtContent>
                <w:r w:rsidR="00B603E5" w:rsidRPr="00580D63">
                  <w:rPr>
                    <w:rFonts w:ascii="Segoe UI Symbol" w:hAnsi="Segoe UI Symbol" w:cs="Segoe UI Symbol"/>
                    <w:sz w:val="20"/>
                    <w:szCs w:val="20"/>
                    <w:lang w:eastAsia="sk-SK"/>
                  </w:rPr>
                  <w:t>☒</w:t>
                </w:r>
              </w:sdtContent>
            </w:sdt>
            <w:r w:rsidR="00B603E5" w:rsidRPr="00580D63">
              <w:rPr>
                <w:rFonts w:ascii="Times New Roman" w:hAnsi="Times New Roman"/>
                <w:sz w:val="20"/>
                <w:szCs w:val="20"/>
                <w:lang w:eastAsia="sk-SK"/>
              </w:rPr>
              <w:t xml:space="preserve">  Nie</w:t>
            </w:r>
          </w:p>
        </w:tc>
      </w:tr>
      <w:tr w:rsidR="00B603E5" w:rsidRPr="00580D63" w14:paraId="33C8D837" w14:textId="77777777" w:rsidTr="00B603E5">
        <w:tc>
          <w:tcPr>
            <w:tcW w:w="9180" w:type="dxa"/>
            <w:gridSpan w:val="10"/>
            <w:tcBorders>
              <w:top w:val="nil"/>
              <w:left w:val="single" w:sz="4" w:space="0" w:color="auto"/>
              <w:bottom w:val="single" w:sz="4" w:space="0" w:color="auto"/>
              <w:right w:val="single" w:sz="4" w:space="0" w:color="auto"/>
            </w:tcBorders>
            <w:shd w:val="clear" w:color="auto" w:fill="FFFFFF"/>
          </w:tcPr>
          <w:p w14:paraId="1B17B772" w14:textId="77777777" w:rsidR="00B603E5" w:rsidRPr="00580D63" w:rsidRDefault="00B603E5" w:rsidP="00B603E5">
            <w:pPr>
              <w:rPr>
                <w:rFonts w:ascii="Times New Roman" w:hAnsi="Times New Roman"/>
                <w:i/>
                <w:sz w:val="20"/>
                <w:szCs w:val="20"/>
                <w:lang w:eastAsia="sk-SK"/>
              </w:rPr>
            </w:pPr>
            <w:r w:rsidRPr="00580D63">
              <w:rPr>
                <w:rFonts w:ascii="Times New Roman" w:hAnsi="Times New Roman"/>
                <w:i/>
                <w:sz w:val="20"/>
                <w:szCs w:val="20"/>
                <w:lang w:eastAsia="sk-SK"/>
              </w:rPr>
              <w:t>Ak áno, uveďte ktoré oblasti budú nimi upravené, resp. ktorých vykonávacích predpisov sa zmena dotkne:</w:t>
            </w:r>
          </w:p>
          <w:p w14:paraId="77E553B2" w14:textId="77777777" w:rsidR="00B603E5" w:rsidRPr="00580D63" w:rsidRDefault="00B603E5" w:rsidP="00B603E5">
            <w:pPr>
              <w:rPr>
                <w:rFonts w:ascii="Times New Roman" w:hAnsi="Times New Roman"/>
                <w:sz w:val="20"/>
                <w:szCs w:val="20"/>
                <w:lang w:eastAsia="sk-SK"/>
              </w:rPr>
            </w:pPr>
          </w:p>
        </w:tc>
      </w:tr>
      <w:tr w:rsidR="00B603E5" w:rsidRPr="00580D63" w14:paraId="2786A9B6" w14:textId="77777777" w:rsidTr="00B603E5">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14:paraId="3B1B75E5" w14:textId="77777777" w:rsidR="00B603E5" w:rsidRPr="00580D63" w:rsidRDefault="00B603E5" w:rsidP="00B603E5">
            <w:pPr>
              <w:numPr>
                <w:ilvl w:val="0"/>
                <w:numId w:val="23"/>
              </w:numPr>
              <w:ind w:left="426"/>
              <w:contextualSpacing/>
              <w:rPr>
                <w:rFonts w:ascii="Times New Roman" w:hAnsi="Times New Roman"/>
                <w:b/>
                <w:sz w:val="22"/>
                <w:szCs w:val="22"/>
                <w:lang w:eastAsia="en-US"/>
              </w:rPr>
            </w:pPr>
            <w:r w:rsidRPr="00580D63">
              <w:rPr>
                <w:rFonts w:ascii="Times New Roman" w:hAnsi="Times New Roman"/>
                <w:b/>
                <w:sz w:val="22"/>
                <w:szCs w:val="22"/>
                <w:lang w:eastAsia="en-US"/>
              </w:rPr>
              <w:t xml:space="preserve">Transpozícia práva EÚ </w:t>
            </w:r>
          </w:p>
        </w:tc>
      </w:tr>
      <w:tr w:rsidR="00B603E5" w:rsidRPr="00580D63" w14:paraId="0C09A49C" w14:textId="77777777" w:rsidTr="00B603E5">
        <w:trPr>
          <w:trHeight w:val="157"/>
        </w:trPr>
        <w:tc>
          <w:tcPr>
            <w:tcW w:w="9180" w:type="dxa"/>
            <w:gridSpan w:val="10"/>
            <w:tcBorders>
              <w:top w:val="nil"/>
              <w:left w:val="single" w:sz="4" w:space="0" w:color="000000"/>
              <w:bottom w:val="nil"/>
              <w:right w:val="single" w:sz="4" w:space="0" w:color="auto"/>
            </w:tcBorders>
            <w:shd w:val="clear" w:color="auto" w:fill="FFFFFF"/>
          </w:tcPr>
          <w:p w14:paraId="74296496" w14:textId="77777777" w:rsidR="00B603E5" w:rsidRPr="00580D63" w:rsidRDefault="00B603E5" w:rsidP="00B603E5">
            <w:pPr>
              <w:rPr>
                <w:rFonts w:ascii="Times New Roman" w:hAnsi="Times New Roman"/>
                <w:i/>
                <w:sz w:val="20"/>
                <w:szCs w:val="20"/>
                <w:lang w:eastAsia="sk-SK"/>
              </w:rPr>
            </w:pPr>
            <w:r w:rsidRPr="00580D63">
              <w:rPr>
                <w:rFonts w:ascii="Times New Roman" w:hAnsi="Times New Roman"/>
                <w:i/>
                <w:sz w:val="20"/>
                <w:szCs w:val="20"/>
                <w:lang w:eastAsia="sk-SK"/>
              </w:rPr>
              <w:t>Uveďte, v ktorých ustanoveniach ide národná právna úprava nad rámec minimálnych požiadaviek EÚ spolu s odôvodnením.</w:t>
            </w:r>
          </w:p>
          <w:p w14:paraId="7304B48B" w14:textId="77777777" w:rsidR="00B603E5" w:rsidRPr="00580D63" w:rsidRDefault="00B603E5" w:rsidP="00B603E5">
            <w:pPr>
              <w:rPr>
                <w:rFonts w:ascii="Times New Roman" w:hAnsi="Times New Roman"/>
                <w:i/>
                <w:sz w:val="20"/>
                <w:szCs w:val="20"/>
                <w:lang w:eastAsia="sk-SK"/>
              </w:rPr>
            </w:pPr>
          </w:p>
          <w:p w14:paraId="168F21A0" w14:textId="77777777" w:rsidR="00B603E5" w:rsidRPr="00580D63" w:rsidRDefault="00B603E5" w:rsidP="00B603E5">
            <w:pPr>
              <w:autoSpaceDE w:val="0"/>
              <w:autoSpaceDN w:val="0"/>
              <w:adjustRightInd w:val="0"/>
              <w:rPr>
                <w:rFonts w:ascii="Times New Roman" w:hAnsi="Times New Roman"/>
                <w:sz w:val="16"/>
                <w:szCs w:val="16"/>
                <w:lang w:eastAsia="en-US"/>
              </w:rPr>
            </w:pPr>
            <w:r w:rsidRPr="00580D63">
              <w:rPr>
                <w:rFonts w:ascii="Times New Roman" w:hAnsi="Times New Roman"/>
                <w:szCs w:val="20"/>
                <w:lang w:eastAsia="sk-SK"/>
              </w:rPr>
              <w:t xml:space="preserve">Navrhovaná úprava nie je nad rámec minimálnych požiadaviek ani nad rámec minimálnej transpozičnej povinnosti. V rámci predkladanej právnej úpravy nebol identifikovaný </w:t>
            </w:r>
            <w:proofErr w:type="spellStart"/>
            <w:r w:rsidRPr="00580D63">
              <w:rPr>
                <w:rFonts w:ascii="Times New Roman" w:hAnsi="Times New Roman"/>
                <w:szCs w:val="20"/>
                <w:lang w:eastAsia="sk-SK"/>
              </w:rPr>
              <w:t>gold-plating</w:t>
            </w:r>
            <w:proofErr w:type="spellEnd"/>
            <w:r w:rsidRPr="00580D63">
              <w:rPr>
                <w:rFonts w:ascii="Times New Roman" w:hAnsi="Times New Roman"/>
                <w:szCs w:val="20"/>
                <w:lang w:eastAsia="sk-SK"/>
              </w:rPr>
              <w:t>.</w:t>
            </w:r>
          </w:p>
        </w:tc>
      </w:tr>
      <w:tr w:rsidR="00B603E5" w:rsidRPr="00580D63" w14:paraId="41441A89" w14:textId="77777777" w:rsidTr="00B603E5">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cPr>
          <w:p w14:paraId="68FCB1F6" w14:textId="77777777" w:rsidR="00B603E5" w:rsidRPr="00580D63" w:rsidRDefault="00B603E5" w:rsidP="00B603E5">
            <w:pPr>
              <w:jc w:val="center"/>
              <w:rPr>
                <w:rFonts w:ascii="Times New Roman" w:hAnsi="Times New Roman"/>
                <w:sz w:val="20"/>
                <w:szCs w:val="20"/>
                <w:lang w:eastAsia="sk-SK"/>
              </w:rPr>
            </w:pPr>
          </w:p>
        </w:tc>
      </w:tr>
      <w:tr w:rsidR="00B603E5" w:rsidRPr="00580D63" w14:paraId="55D93EE7" w14:textId="77777777" w:rsidTr="00B603E5">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14:paraId="6CBAD062" w14:textId="77777777" w:rsidR="00B603E5" w:rsidRPr="00580D63" w:rsidRDefault="00B603E5" w:rsidP="00B603E5">
            <w:pPr>
              <w:numPr>
                <w:ilvl w:val="0"/>
                <w:numId w:val="23"/>
              </w:numPr>
              <w:ind w:left="426"/>
              <w:contextualSpacing/>
              <w:rPr>
                <w:rFonts w:ascii="Times New Roman" w:hAnsi="Times New Roman"/>
                <w:b/>
                <w:sz w:val="22"/>
                <w:szCs w:val="22"/>
                <w:lang w:eastAsia="en-US"/>
              </w:rPr>
            </w:pPr>
            <w:r w:rsidRPr="00580D63">
              <w:rPr>
                <w:rFonts w:ascii="Times New Roman" w:hAnsi="Times New Roman"/>
                <w:b/>
                <w:sz w:val="22"/>
                <w:szCs w:val="22"/>
                <w:lang w:eastAsia="en-US"/>
              </w:rPr>
              <w:t>Preskúmanie účelnosti**</w:t>
            </w:r>
          </w:p>
        </w:tc>
      </w:tr>
      <w:tr w:rsidR="00B603E5" w:rsidRPr="00580D63" w14:paraId="30310335" w14:textId="77777777" w:rsidTr="00B603E5">
        <w:tc>
          <w:tcPr>
            <w:tcW w:w="9180" w:type="dxa"/>
            <w:gridSpan w:val="10"/>
            <w:tcBorders>
              <w:top w:val="single" w:sz="4" w:space="0" w:color="FFFFFF"/>
              <w:left w:val="single" w:sz="4" w:space="0" w:color="auto"/>
              <w:bottom w:val="single" w:sz="4" w:space="0" w:color="auto"/>
              <w:right w:val="single" w:sz="4" w:space="0" w:color="auto"/>
            </w:tcBorders>
            <w:shd w:val="clear" w:color="auto" w:fill="FFFFFF"/>
          </w:tcPr>
          <w:p w14:paraId="0A4F1523" w14:textId="77777777" w:rsidR="00B603E5" w:rsidRPr="00580D63" w:rsidRDefault="00B603E5" w:rsidP="00B603E5">
            <w:pPr>
              <w:rPr>
                <w:rFonts w:ascii="Times New Roman" w:hAnsi="Times New Roman"/>
                <w:i/>
                <w:sz w:val="20"/>
                <w:szCs w:val="20"/>
                <w:lang w:eastAsia="sk-SK"/>
              </w:rPr>
            </w:pPr>
            <w:r w:rsidRPr="00580D63">
              <w:rPr>
                <w:rFonts w:ascii="Times New Roman" w:hAnsi="Times New Roman"/>
                <w:i/>
                <w:sz w:val="20"/>
                <w:szCs w:val="20"/>
                <w:lang w:eastAsia="sk-SK"/>
              </w:rPr>
              <w:t>Uveďte termín, kedy by malo dôjsť k preskúmaniu účinnosti a účelnosti navrhovaného predpisu.</w:t>
            </w:r>
          </w:p>
          <w:p w14:paraId="16EAA4CD" w14:textId="77777777" w:rsidR="00B603E5" w:rsidRPr="00580D63" w:rsidRDefault="00B603E5" w:rsidP="00B603E5">
            <w:pPr>
              <w:rPr>
                <w:rFonts w:ascii="Times New Roman" w:hAnsi="Times New Roman"/>
                <w:i/>
                <w:sz w:val="20"/>
                <w:szCs w:val="20"/>
                <w:lang w:eastAsia="sk-SK"/>
              </w:rPr>
            </w:pPr>
            <w:r w:rsidRPr="00580D63">
              <w:rPr>
                <w:rFonts w:ascii="Times New Roman" w:hAnsi="Times New Roman"/>
                <w:i/>
                <w:sz w:val="20"/>
                <w:szCs w:val="20"/>
                <w:lang w:eastAsia="sk-SK"/>
              </w:rPr>
              <w:t>Uveďte kritériá, na základe ktorých bude preskúmanie vykonané.</w:t>
            </w:r>
          </w:p>
          <w:p w14:paraId="42C11215" w14:textId="77777777" w:rsidR="00B603E5" w:rsidRPr="00580D63" w:rsidRDefault="00B603E5" w:rsidP="00B603E5">
            <w:pPr>
              <w:rPr>
                <w:rFonts w:ascii="Times New Roman" w:hAnsi="Times New Roman"/>
                <w:i/>
                <w:sz w:val="20"/>
                <w:szCs w:val="20"/>
                <w:lang w:eastAsia="sk-SK"/>
              </w:rPr>
            </w:pPr>
          </w:p>
          <w:p w14:paraId="03DF7FA8" w14:textId="77777777" w:rsidR="00B603E5" w:rsidRPr="00580D63" w:rsidRDefault="00B603E5" w:rsidP="00B603E5">
            <w:pPr>
              <w:rPr>
                <w:rFonts w:ascii="Times New Roman" w:hAnsi="Times New Roman"/>
                <w:i/>
                <w:sz w:val="20"/>
                <w:szCs w:val="20"/>
                <w:lang w:eastAsia="sk-SK"/>
              </w:rPr>
            </w:pPr>
            <w:r w:rsidRPr="00580D63">
              <w:rPr>
                <w:rFonts w:ascii="Times New Roman" w:hAnsi="Times New Roman"/>
                <w:i/>
                <w:sz w:val="20"/>
                <w:szCs w:val="20"/>
                <w:lang w:eastAsia="sk-SK"/>
              </w:rPr>
              <w:t>---</w:t>
            </w:r>
          </w:p>
        </w:tc>
      </w:tr>
      <w:tr w:rsidR="00B603E5" w:rsidRPr="00580D63" w14:paraId="02EDC528" w14:textId="77777777" w:rsidTr="00B603E5">
        <w:trPr>
          <w:trHeight w:val="715"/>
        </w:trPr>
        <w:tc>
          <w:tcPr>
            <w:tcW w:w="9180" w:type="dxa"/>
            <w:gridSpan w:val="10"/>
            <w:tcBorders>
              <w:top w:val="single" w:sz="4" w:space="0" w:color="auto"/>
              <w:left w:val="nil"/>
              <w:bottom w:val="nil"/>
              <w:right w:val="nil"/>
            </w:tcBorders>
            <w:shd w:val="clear" w:color="auto" w:fill="FFFFFF"/>
          </w:tcPr>
          <w:p w14:paraId="6354E46A" w14:textId="77777777" w:rsidR="00B603E5" w:rsidRPr="00580D63" w:rsidRDefault="00B603E5" w:rsidP="00B603E5">
            <w:pPr>
              <w:ind w:left="142" w:hanging="142"/>
              <w:rPr>
                <w:rFonts w:ascii="Times New Roman" w:hAnsi="Times New Roman"/>
                <w:sz w:val="20"/>
                <w:szCs w:val="20"/>
                <w:lang w:eastAsia="sk-SK"/>
              </w:rPr>
            </w:pPr>
          </w:p>
          <w:p w14:paraId="4ACBA062" w14:textId="77777777" w:rsidR="00B603E5" w:rsidRPr="00580D63" w:rsidRDefault="00B603E5" w:rsidP="00B603E5">
            <w:pPr>
              <w:ind w:left="142" w:hanging="142"/>
              <w:rPr>
                <w:rFonts w:ascii="Times New Roman" w:hAnsi="Times New Roman"/>
                <w:sz w:val="20"/>
                <w:szCs w:val="20"/>
                <w:lang w:eastAsia="sk-SK"/>
              </w:rPr>
            </w:pPr>
          </w:p>
          <w:p w14:paraId="00D49C55" w14:textId="77777777" w:rsidR="00B603E5" w:rsidRPr="00580D63" w:rsidRDefault="00B603E5" w:rsidP="00B603E5">
            <w:pPr>
              <w:ind w:left="142" w:hanging="142"/>
              <w:rPr>
                <w:rFonts w:ascii="Times New Roman" w:hAnsi="Times New Roman"/>
                <w:sz w:val="20"/>
                <w:szCs w:val="20"/>
                <w:lang w:eastAsia="sk-SK"/>
              </w:rPr>
            </w:pPr>
            <w:r w:rsidRPr="00580D63">
              <w:rPr>
                <w:rFonts w:ascii="Times New Roman" w:hAnsi="Times New Roman"/>
                <w:sz w:val="20"/>
                <w:szCs w:val="20"/>
                <w:lang w:eastAsia="sk-SK"/>
              </w:rPr>
              <w:t xml:space="preserve">* vyplniť iba v prípade, ak materiál nie je zahrnutý do Plánu práce vlády Slovenskej republiky alebo Plánu        legislatívnych úloh vlády Slovenskej republiky. </w:t>
            </w:r>
          </w:p>
          <w:p w14:paraId="777E1C5A" w14:textId="77777777" w:rsidR="00B603E5" w:rsidRPr="00580D63" w:rsidRDefault="00B603E5" w:rsidP="00B603E5">
            <w:pPr>
              <w:rPr>
                <w:rFonts w:ascii="Times New Roman" w:hAnsi="Times New Roman"/>
                <w:sz w:val="20"/>
                <w:szCs w:val="20"/>
                <w:lang w:eastAsia="sk-SK"/>
              </w:rPr>
            </w:pPr>
            <w:r w:rsidRPr="00580D63">
              <w:rPr>
                <w:rFonts w:ascii="Times New Roman" w:hAnsi="Times New Roman"/>
                <w:sz w:val="20"/>
                <w:szCs w:val="20"/>
                <w:lang w:eastAsia="sk-SK"/>
              </w:rPr>
              <w:t>** nepovinné</w:t>
            </w:r>
          </w:p>
          <w:p w14:paraId="3C12A0BB" w14:textId="3F3768BC" w:rsidR="00B603E5" w:rsidRPr="00580D63" w:rsidRDefault="00B603E5" w:rsidP="00B603E5">
            <w:pPr>
              <w:rPr>
                <w:rFonts w:ascii="Times New Roman" w:hAnsi="Times New Roman"/>
                <w:sz w:val="20"/>
                <w:szCs w:val="20"/>
                <w:lang w:eastAsia="sk-SK"/>
              </w:rPr>
            </w:pPr>
          </w:p>
          <w:p w14:paraId="4BB9DA80" w14:textId="5BBCE545" w:rsidR="00FB0432" w:rsidRPr="00580D63" w:rsidRDefault="00FB0432" w:rsidP="00B603E5">
            <w:pPr>
              <w:rPr>
                <w:rFonts w:ascii="Times New Roman" w:hAnsi="Times New Roman"/>
                <w:sz w:val="20"/>
                <w:szCs w:val="20"/>
                <w:lang w:eastAsia="sk-SK"/>
              </w:rPr>
            </w:pPr>
          </w:p>
          <w:p w14:paraId="78B4638D" w14:textId="5E8BD0BB" w:rsidR="00FB0432" w:rsidRPr="00580D63" w:rsidRDefault="00FB0432" w:rsidP="00B603E5">
            <w:pPr>
              <w:rPr>
                <w:rFonts w:ascii="Times New Roman" w:hAnsi="Times New Roman"/>
                <w:sz w:val="20"/>
                <w:szCs w:val="20"/>
                <w:lang w:eastAsia="sk-SK"/>
              </w:rPr>
            </w:pPr>
          </w:p>
          <w:p w14:paraId="34D3850E" w14:textId="38C66125" w:rsidR="00FB0432" w:rsidRPr="00580D63" w:rsidRDefault="00FB0432" w:rsidP="00B603E5">
            <w:pPr>
              <w:rPr>
                <w:rFonts w:ascii="Times New Roman" w:hAnsi="Times New Roman"/>
                <w:sz w:val="20"/>
                <w:szCs w:val="20"/>
                <w:lang w:eastAsia="sk-SK"/>
              </w:rPr>
            </w:pPr>
          </w:p>
          <w:p w14:paraId="2D89A2CE" w14:textId="77777777" w:rsidR="00FB0432" w:rsidRPr="00580D63" w:rsidRDefault="00FB0432" w:rsidP="00B603E5">
            <w:pPr>
              <w:rPr>
                <w:rFonts w:ascii="Times New Roman" w:hAnsi="Times New Roman"/>
                <w:sz w:val="20"/>
                <w:szCs w:val="20"/>
                <w:lang w:eastAsia="sk-SK"/>
              </w:rPr>
            </w:pPr>
          </w:p>
          <w:p w14:paraId="56868D76" w14:textId="77777777" w:rsidR="00B603E5" w:rsidRPr="00580D63" w:rsidRDefault="00B603E5" w:rsidP="00B603E5">
            <w:pPr>
              <w:rPr>
                <w:rFonts w:ascii="Times New Roman" w:hAnsi="Times New Roman"/>
                <w:sz w:val="20"/>
                <w:szCs w:val="20"/>
                <w:lang w:eastAsia="sk-SK"/>
              </w:rPr>
            </w:pPr>
          </w:p>
        </w:tc>
      </w:tr>
      <w:tr w:rsidR="00B603E5" w:rsidRPr="00580D63" w14:paraId="0A364BF7" w14:textId="77777777" w:rsidTr="00B603E5">
        <w:tc>
          <w:tcPr>
            <w:tcW w:w="9180" w:type="dxa"/>
            <w:gridSpan w:val="10"/>
            <w:tcBorders>
              <w:top w:val="nil"/>
              <w:left w:val="nil"/>
              <w:bottom w:val="single" w:sz="4" w:space="0" w:color="auto"/>
              <w:right w:val="nil"/>
            </w:tcBorders>
            <w:shd w:val="clear" w:color="auto" w:fill="FFFFFF"/>
          </w:tcPr>
          <w:p w14:paraId="76B14879" w14:textId="77777777" w:rsidR="00B603E5" w:rsidRPr="00580D63" w:rsidRDefault="00B603E5" w:rsidP="00B603E5">
            <w:pPr>
              <w:rPr>
                <w:rFonts w:ascii="Times New Roman" w:hAnsi="Times New Roman"/>
                <w:b/>
                <w:sz w:val="20"/>
                <w:szCs w:val="20"/>
                <w:lang w:eastAsia="sk-SK"/>
              </w:rPr>
            </w:pPr>
          </w:p>
        </w:tc>
      </w:tr>
      <w:tr w:rsidR="00B603E5" w:rsidRPr="00580D63" w14:paraId="6AD871BC" w14:textId="77777777" w:rsidTr="00B603E5">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vAlign w:val="center"/>
          </w:tcPr>
          <w:p w14:paraId="600CEC77" w14:textId="77777777" w:rsidR="00B603E5" w:rsidRPr="00580D63" w:rsidRDefault="00B603E5" w:rsidP="00B603E5">
            <w:pPr>
              <w:numPr>
                <w:ilvl w:val="0"/>
                <w:numId w:val="23"/>
              </w:numPr>
              <w:ind w:left="426"/>
              <w:contextualSpacing/>
              <w:rPr>
                <w:rFonts w:ascii="Times New Roman" w:hAnsi="Times New Roman"/>
                <w:b/>
                <w:sz w:val="22"/>
                <w:szCs w:val="22"/>
                <w:lang w:eastAsia="en-US"/>
              </w:rPr>
            </w:pPr>
            <w:r w:rsidRPr="00580D63">
              <w:rPr>
                <w:rFonts w:ascii="Times New Roman" w:hAnsi="Times New Roman"/>
                <w:b/>
                <w:sz w:val="22"/>
                <w:szCs w:val="22"/>
                <w:lang w:eastAsia="en-US"/>
              </w:rPr>
              <w:t>Vplyvy navrhovaného materiálu</w:t>
            </w:r>
          </w:p>
        </w:tc>
      </w:tr>
      <w:tr w:rsidR="00B603E5" w:rsidRPr="00580D63" w14:paraId="151FEEE9" w14:textId="77777777" w:rsidTr="00DA58E5">
        <w:tc>
          <w:tcPr>
            <w:tcW w:w="3812" w:type="dxa"/>
            <w:tcBorders>
              <w:top w:val="single" w:sz="4" w:space="0" w:color="auto"/>
              <w:left w:val="single" w:sz="4" w:space="0" w:color="auto"/>
              <w:bottom w:val="nil"/>
              <w:right w:val="single" w:sz="4" w:space="0" w:color="auto"/>
            </w:tcBorders>
            <w:shd w:val="clear" w:color="auto" w:fill="E2E2E2"/>
          </w:tcPr>
          <w:p w14:paraId="0C9037B4" w14:textId="77777777" w:rsidR="00B603E5" w:rsidRPr="00580D63" w:rsidRDefault="00B603E5" w:rsidP="00B603E5">
            <w:pPr>
              <w:rPr>
                <w:rFonts w:ascii="Times New Roman" w:hAnsi="Times New Roman"/>
                <w:b/>
                <w:sz w:val="20"/>
                <w:szCs w:val="20"/>
                <w:lang w:eastAsia="sk-SK"/>
              </w:rPr>
            </w:pPr>
            <w:r w:rsidRPr="00580D63">
              <w:rPr>
                <w:rFonts w:ascii="Times New Roman" w:hAnsi="Times New Roman"/>
                <w:b/>
                <w:sz w:val="20"/>
                <w:szCs w:val="20"/>
                <w:lang w:eastAsia="sk-SK"/>
              </w:rPr>
              <w:t>Vplyvy na rozpočet verejnej správy</w:t>
            </w:r>
          </w:p>
        </w:tc>
        <w:sdt>
          <w:sdtPr>
            <w:rPr>
              <w:b/>
              <w:sz w:val="20"/>
              <w:szCs w:val="20"/>
              <w:lang w:eastAsia="sk-SK"/>
            </w:rPr>
            <w:id w:val="1121575439"/>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3B5B85B" w14:textId="77777777" w:rsidR="00B603E5" w:rsidRPr="00580D63" w:rsidRDefault="00B603E5" w:rsidP="00B603E5">
                <w:pPr>
                  <w:jc w:val="center"/>
                  <w:rPr>
                    <w:rFonts w:ascii="Times New Roman" w:hAnsi="Times New Roman"/>
                    <w:b/>
                    <w:sz w:val="20"/>
                    <w:szCs w:val="20"/>
                    <w:lang w:eastAsia="sk-SK"/>
                  </w:rPr>
                </w:pPr>
                <w:r w:rsidRPr="00580D63">
                  <w:rPr>
                    <w:rFonts w:ascii="Segoe UI Symbol" w:hAnsi="Segoe UI Symbol" w:cs="Segoe UI Symbol"/>
                    <w:b/>
                    <w:sz w:val="20"/>
                    <w:szCs w:val="20"/>
                    <w:lang w:eastAsia="sk-SK"/>
                  </w:rPr>
                  <w:t>☒</w:t>
                </w:r>
              </w:p>
            </w:tc>
          </w:sdtContent>
        </w:sdt>
        <w:tc>
          <w:tcPr>
            <w:tcW w:w="1281" w:type="dxa"/>
            <w:gridSpan w:val="2"/>
            <w:tcBorders>
              <w:top w:val="single" w:sz="4" w:space="0" w:color="auto"/>
              <w:left w:val="nil"/>
              <w:bottom w:val="single" w:sz="4" w:space="0" w:color="auto"/>
              <w:right w:val="nil"/>
            </w:tcBorders>
          </w:tcPr>
          <w:p w14:paraId="3D6E24DE" w14:textId="77777777" w:rsidR="00B603E5" w:rsidRPr="00580D63" w:rsidRDefault="00B603E5" w:rsidP="00B603E5">
            <w:pPr>
              <w:rPr>
                <w:rFonts w:ascii="Times New Roman" w:hAnsi="Times New Roman"/>
                <w:b/>
                <w:sz w:val="20"/>
                <w:szCs w:val="20"/>
                <w:lang w:eastAsia="sk-SK"/>
              </w:rPr>
            </w:pPr>
            <w:r w:rsidRPr="00580D63">
              <w:rPr>
                <w:rFonts w:ascii="Times New Roman" w:hAnsi="Times New Roman"/>
                <w:b/>
                <w:sz w:val="20"/>
                <w:szCs w:val="20"/>
                <w:lang w:eastAsia="sk-SK"/>
              </w:rPr>
              <w:t>Pozitívne</w:t>
            </w:r>
          </w:p>
        </w:tc>
        <w:sdt>
          <w:sdtPr>
            <w:rPr>
              <w:b/>
              <w:sz w:val="20"/>
              <w:szCs w:val="20"/>
              <w:lang w:eastAsia="sk-SK"/>
            </w:rPr>
            <w:id w:val="-9164058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45894020" w14:textId="77777777" w:rsidR="00B603E5" w:rsidRPr="00580D63" w:rsidRDefault="00B603E5" w:rsidP="00B603E5">
                <w:pPr>
                  <w:jc w:val="center"/>
                  <w:rPr>
                    <w:rFonts w:ascii="Times New Roman" w:hAnsi="Times New Roman"/>
                    <w:b/>
                    <w:sz w:val="20"/>
                    <w:szCs w:val="20"/>
                    <w:lang w:eastAsia="sk-SK"/>
                  </w:rPr>
                </w:pPr>
                <w:r w:rsidRPr="00580D63">
                  <w:rPr>
                    <w:rFonts w:ascii="Segoe UI Symbol"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3D6DDF8C" w14:textId="77777777" w:rsidR="00B603E5" w:rsidRPr="00580D63" w:rsidRDefault="00B603E5" w:rsidP="00B603E5">
            <w:pPr>
              <w:rPr>
                <w:rFonts w:ascii="Times New Roman" w:hAnsi="Times New Roman"/>
                <w:b/>
                <w:sz w:val="20"/>
                <w:szCs w:val="20"/>
                <w:lang w:eastAsia="sk-SK"/>
              </w:rPr>
            </w:pPr>
            <w:r w:rsidRPr="00580D63">
              <w:rPr>
                <w:rFonts w:ascii="Times New Roman" w:hAnsi="Times New Roman"/>
                <w:b/>
                <w:sz w:val="20"/>
                <w:szCs w:val="20"/>
                <w:lang w:eastAsia="sk-SK"/>
              </w:rPr>
              <w:t>Žiadne</w:t>
            </w:r>
          </w:p>
        </w:tc>
        <w:sdt>
          <w:sdtPr>
            <w:rPr>
              <w:b/>
              <w:sz w:val="20"/>
              <w:szCs w:val="20"/>
              <w:lang w:eastAsia="sk-SK"/>
            </w:rPr>
            <w:id w:val="-85364909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B25C21F" w14:textId="77777777" w:rsidR="00B603E5" w:rsidRPr="00580D63" w:rsidRDefault="00B603E5" w:rsidP="00B603E5">
                <w:pPr>
                  <w:ind w:left="-107" w:right="-108"/>
                  <w:jc w:val="center"/>
                  <w:rPr>
                    <w:rFonts w:ascii="Times New Roman" w:hAnsi="Times New Roman"/>
                    <w:b/>
                    <w:sz w:val="20"/>
                    <w:szCs w:val="20"/>
                    <w:lang w:eastAsia="sk-SK"/>
                  </w:rPr>
                </w:pPr>
                <w:r w:rsidRPr="00580D63">
                  <w:rPr>
                    <w:rFonts w:ascii="Segoe UI Symbol"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294E4F2" w14:textId="77777777" w:rsidR="00B603E5" w:rsidRPr="00580D63" w:rsidRDefault="00B603E5" w:rsidP="00B603E5">
            <w:pPr>
              <w:ind w:left="34"/>
              <w:rPr>
                <w:rFonts w:ascii="Times New Roman" w:hAnsi="Times New Roman"/>
                <w:b/>
                <w:sz w:val="20"/>
                <w:szCs w:val="20"/>
                <w:lang w:eastAsia="sk-SK"/>
              </w:rPr>
            </w:pPr>
            <w:r w:rsidRPr="00580D63">
              <w:rPr>
                <w:rFonts w:ascii="Times New Roman" w:hAnsi="Times New Roman"/>
                <w:b/>
                <w:sz w:val="20"/>
                <w:szCs w:val="20"/>
                <w:lang w:eastAsia="sk-SK"/>
              </w:rPr>
              <w:t>Negatívne</w:t>
            </w:r>
          </w:p>
        </w:tc>
      </w:tr>
      <w:tr w:rsidR="00B603E5" w:rsidRPr="00580D63" w14:paraId="786E6A5A" w14:textId="77777777" w:rsidTr="00B603E5">
        <w:tc>
          <w:tcPr>
            <w:tcW w:w="3812" w:type="dxa"/>
            <w:tcBorders>
              <w:top w:val="nil"/>
              <w:left w:val="single" w:sz="4" w:space="0" w:color="auto"/>
              <w:bottom w:val="single" w:sz="4" w:space="0" w:color="000000"/>
              <w:right w:val="single" w:sz="4" w:space="0" w:color="auto"/>
            </w:tcBorders>
            <w:shd w:val="clear" w:color="auto" w:fill="E2E2E2"/>
          </w:tcPr>
          <w:p w14:paraId="051D0FB4" w14:textId="77777777" w:rsidR="00B603E5" w:rsidRPr="00580D63" w:rsidRDefault="00B603E5" w:rsidP="00B603E5">
            <w:pPr>
              <w:rPr>
                <w:rFonts w:ascii="Times New Roman" w:hAnsi="Times New Roman"/>
                <w:sz w:val="20"/>
                <w:szCs w:val="20"/>
                <w:lang w:eastAsia="sk-SK"/>
              </w:rPr>
            </w:pPr>
            <w:r w:rsidRPr="00580D63">
              <w:rPr>
                <w:rFonts w:ascii="Times New Roman" w:hAnsi="Times New Roman"/>
                <w:sz w:val="20"/>
                <w:szCs w:val="20"/>
                <w:lang w:eastAsia="sk-SK"/>
              </w:rPr>
              <w:t xml:space="preserve">    z toho rozpočtovo zabezpečené vplyvy</w:t>
            </w:r>
          </w:p>
        </w:tc>
        <w:sdt>
          <w:sdtPr>
            <w:rPr>
              <w:sz w:val="20"/>
              <w:szCs w:val="20"/>
              <w:lang w:eastAsia="sk-SK"/>
            </w:rPr>
            <w:id w:val="-207372912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6F02290" w14:textId="77777777" w:rsidR="00B603E5" w:rsidRPr="00580D63" w:rsidRDefault="00B603E5" w:rsidP="00B603E5">
                <w:pPr>
                  <w:jc w:val="center"/>
                  <w:rPr>
                    <w:rFonts w:ascii="Times New Roman" w:hAnsi="Times New Roman"/>
                    <w:sz w:val="20"/>
                    <w:szCs w:val="20"/>
                    <w:lang w:eastAsia="sk-SK"/>
                  </w:rPr>
                </w:pPr>
                <w:r w:rsidRPr="00580D63">
                  <w:rPr>
                    <w:rFonts w:ascii="Segoe UI Symbol" w:hAnsi="Segoe UI Symbol" w:cs="Segoe UI Symbol"/>
                    <w:sz w:val="20"/>
                    <w:szCs w:val="20"/>
                    <w:lang w:eastAsia="sk-SK"/>
                  </w:rPr>
                  <w:t>☒</w:t>
                </w:r>
              </w:p>
            </w:tc>
          </w:sdtContent>
        </w:sdt>
        <w:tc>
          <w:tcPr>
            <w:tcW w:w="1281" w:type="dxa"/>
            <w:gridSpan w:val="2"/>
            <w:tcBorders>
              <w:top w:val="single" w:sz="4" w:space="0" w:color="auto"/>
              <w:left w:val="nil"/>
              <w:bottom w:val="single" w:sz="4" w:space="0" w:color="auto"/>
              <w:right w:val="nil"/>
            </w:tcBorders>
          </w:tcPr>
          <w:p w14:paraId="056AD4AB" w14:textId="77777777" w:rsidR="00B603E5" w:rsidRPr="00580D63" w:rsidRDefault="00B603E5" w:rsidP="00B603E5">
            <w:pPr>
              <w:rPr>
                <w:rFonts w:ascii="Times New Roman" w:hAnsi="Times New Roman"/>
                <w:sz w:val="20"/>
                <w:szCs w:val="20"/>
                <w:lang w:eastAsia="sk-SK"/>
              </w:rPr>
            </w:pPr>
            <w:r w:rsidRPr="00580D63">
              <w:rPr>
                <w:rFonts w:ascii="Times New Roman" w:hAnsi="Times New Roman"/>
                <w:sz w:val="20"/>
                <w:szCs w:val="20"/>
                <w:lang w:eastAsia="sk-SK"/>
              </w:rPr>
              <w:t>Áno</w:t>
            </w:r>
          </w:p>
        </w:tc>
        <w:sdt>
          <w:sdtPr>
            <w:rPr>
              <w:sz w:val="20"/>
              <w:szCs w:val="20"/>
              <w:lang w:eastAsia="sk-SK"/>
            </w:rPr>
            <w:id w:val="-54388876"/>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6E6D5C3D" w14:textId="77777777" w:rsidR="00B603E5" w:rsidRPr="00580D63" w:rsidRDefault="00B603E5" w:rsidP="00B603E5">
                <w:pPr>
                  <w:jc w:val="center"/>
                  <w:rPr>
                    <w:rFonts w:ascii="Times New Roman" w:hAnsi="Times New Roman"/>
                    <w:sz w:val="20"/>
                    <w:szCs w:val="20"/>
                    <w:lang w:eastAsia="sk-SK"/>
                  </w:rPr>
                </w:pPr>
                <w:r w:rsidRPr="00580D63">
                  <w:rPr>
                    <w:rFonts w:ascii="Segoe UI Symbol" w:hAnsi="Segoe UI Symbol" w:cs="Segoe UI Symbol"/>
                    <w:sz w:val="20"/>
                    <w:szCs w:val="20"/>
                    <w:lang w:eastAsia="sk-SK"/>
                  </w:rPr>
                  <w:t>☐</w:t>
                </w:r>
              </w:p>
            </w:tc>
          </w:sdtContent>
        </w:sdt>
        <w:tc>
          <w:tcPr>
            <w:tcW w:w="1133" w:type="dxa"/>
            <w:tcBorders>
              <w:top w:val="single" w:sz="4" w:space="0" w:color="auto"/>
              <w:left w:val="nil"/>
              <w:bottom w:val="single" w:sz="4" w:space="0" w:color="auto"/>
              <w:right w:val="nil"/>
            </w:tcBorders>
          </w:tcPr>
          <w:p w14:paraId="7478923C" w14:textId="77777777" w:rsidR="00B603E5" w:rsidRPr="00580D63" w:rsidRDefault="00B603E5" w:rsidP="00B603E5">
            <w:pPr>
              <w:rPr>
                <w:rFonts w:ascii="Times New Roman" w:hAnsi="Times New Roman"/>
                <w:sz w:val="20"/>
                <w:szCs w:val="20"/>
                <w:lang w:eastAsia="sk-SK"/>
              </w:rPr>
            </w:pPr>
            <w:r w:rsidRPr="00580D63">
              <w:rPr>
                <w:rFonts w:ascii="Times New Roman" w:hAnsi="Times New Roman"/>
                <w:sz w:val="20"/>
                <w:szCs w:val="20"/>
                <w:lang w:eastAsia="sk-SK"/>
              </w:rPr>
              <w:t>Nie</w:t>
            </w:r>
          </w:p>
        </w:tc>
        <w:sdt>
          <w:sdtPr>
            <w:rPr>
              <w:sz w:val="20"/>
              <w:szCs w:val="20"/>
              <w:lang w:eastAsia="sk-SK"/>
            </w:rPr>
            <w:id w:val="361940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08EEE39" w14:textId="77777777" w:rsidR="00B603E5" w:rsidRPr="00580D63" w:rsidRDefault="00B603E5" w:rsidP="00B603E5">
                <w:pPr>
                  <w:ind w:left="-107" w:right="-108"/>
                  <w:jc w:val="center"/>
                  <w:rPr>
                    <w:rFonts w:ascii="Times New Roman" w:hAnsi="Times New Roman"/>
                    <w:sz w:val="20"/>
                    <w:szCs w:val="20"/>
                    <w:lang w:eastAsia="sk-SK"/>
                  </w:rPr>
                </w:pPr>
                <w:r w:rsidRPr="00580D63">
                  <w:rPr>
                    <w:rFonts w:ascii="Segoe UI Symbol" w:hAnsi="Segoe UI Symbol" w:cs="Segoe UI Symbol"/>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655E63D" w14:textId="77777777" w:rsidR="00B603E5" w:rsidRPr="00580D63" w:rsidRDefault="00B603E5" w:rsidP="00B603E5">
            <w:pPr>
              <w:ind w:left="34"/>
              <w:rPr>
                <w:rFonts w:ascii="Times New Roman" w:hAnsi="Times New Roman"/>
                <w:sz w:val="20"/>
                <w:szCs w:val="20"/>
                <w:lang w:eastAsia="sk-SK"/>
              </w:rPr>
            </w:pPr>
            <w:r w:rsidRPr="00580D63">
              <w:rPr>
                <w:rFonts w:ascii="Times New Roman" w:hAnsi="Times New Roman"/>
                <w:sz w:val="20"/>
                <w:szCs w:val="20"/>
                <w:lang w:eastAsia="sk-SK"/>
              </w:rPr>
              <w:t>Čiastočne</w:t>
            </w:r>
          </w:p>
        </w:tc>
      </w:tr>
      <w:tr w:rsidR="00B603E5" w:rsidRPr="00580D63" w14:paraId="5DD6855A" w14:textId="77777777" w:rsidTr="00B603E5">
        <w:tc>
          <w:tcPr>
            <w:tcW w:w="3812" w:type="dxa"/>
            <w:tcBorders>
              <w:top w:val="single" w:sz="4" w:space="0" w:color="000000"/>
              <w:left w:val="single" w:sz="4" w:space="0" w:color="auto"/>
              <w:bottom w:val="nil"/>
              <w:right w:val="single" w:sz="4" w:space="0" w:color="auto"/>
            </w:tcBorders>
            <w:shd w:val="clear" w:color="auto" w:fill="E2E2E2"/>
          </w:tcPr>
          <w:p w14:paraId="3EF307BD" w14:textId="77777777" w:rsidR="00B603E5" w:rsidRPr="00580D63" w:rsidRDefault="00B603E5" w:rsidP="00B603E5">
            <w:pPr>
              <w:rPr>
                <w:rFonts w:ascii="Times New Roman" w:hAnsi="Times New Roman"/>
                <w:b/>
                <w:sz w:val="20"/>
                <w:szCs w:val="20"/>
                <w:lang w:eastAsia="sk-SK"/>
              </w:rPr>
            </w:pPr>
            <w:r w:rsidRPr="00580D63">
              <w:rPr>
                <w:rFonts w:ascii="Times New Roman" w:hAnsi="Times New Roman"/>
                <w:b/>
                <w:sz w:val="20"/>
                <w:szCs w:val="20"/>
                <w:lang w:eastAsia="sk-SK"/>
              </w:rPr>
              <w:t>Vplyvy na podnikateľské prostredie</w:t>
            </w:r>
          </w:p>
        </w:tc>
        <w:sdt>
          <w:sdtPr>
            <w:rPr>
              <w:b/>
              <w:sz w:val="20"/>
              <w:szCs w:val="20"/>
              <w:lang w:eastAsia="sk-SK"/>
            </w:rPr>
            <w:id w:val="1328319843"/>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C7CC00B" w14:textId="77777777" w:rsidR="00B603E5" w:rsidRPr="00580D63" w:rsidRDefault="00B603E5" w:rsidP="00B603E5">
                <w:pPr>
                  <w:jc w:val="center"/>
                  <w:rPr>
                    <w:rFonts w:ascii="Times New Roman" w:hAnsi="Times New Roman"/>
                    <w:b/>
                    <w:sz w:val="20"/>
                    <w:szCs w:val="20"/>
                    <w:lang w:eastAsia="sk-SK"/>
                  </w:rPr>
                </w:pPr>
                <w:r w:rsidRPr="00580D63">
                  <w:rPr>
                    <w:rFonts w:ascii="Segoe UI Symbol" w:hAnsi="Segoe UI Symbol" w:cs="Segoe UI Symbol"/>
                    <w:b/>
                    <w:sz w:val="20"/>
                    <w:szCs w:val="20"/>
                    <w:lang w:eastAsia="sk-SK"/>
                  </w:rPr>
                  <w:t>☒</w:t>
                </w:r>
              </w:p>
            </w:tc>
          </w:sdtContent>
        </w:sdt>
        <w:tc>
          <w:tcPr>
            <w:tcW w:w="1281" w:type="dxa"/>
            <w:gridSpan w:val="2"/>
            <w:tcBorders>
              <w:top w:val="single" w:sz="4" w:space="0" w:color="auto"/>
              <w:left w:val="nil"/>
              <w:bottom w:val="single" w:sz="4" w:space="0" w:color="auto"/>
              <w:right w:val="nil"/>
            </w:tcBorders>
          </w:tcPr>
          <w:p w14:paraId="28E02C6E" w14:textId="77777777" w:rsidR="00B603E5" w:rsidRPr="00580D63" w:rsidRDefault="00B603E5" w:rsidP="00B603E5">
            <w:pPr>
              <w:ind w:right="-108"/>
              <w:rPr>
                <w:rFonts w:ascii="Times New Roman" w:hAnsi="Times New Roman"/>
                <w:b/>
                <w:sz w:val="20"/>
                <w:szCs w:val="20"/>
                <w:lang w:eastAsia="sk-SK"/>
              </w:rPr>
            </w:pPr>
            <w:r w:rsidRPr="00580D63">
              <w:rPr>
                <w:rFonts w:ascii="Times New Roman" w:hAnsi="Times New Roman"/>
                <w:b/>
                <w:sz w:val="20"/>
                <w:szCs w:val="20"/>
                <w:lang w:eastAsia="sk-SK"/>
              </w:rPr>
              <w:t>Pozitívne</w:t>
            </w:r>
          </w:p>
        </w:tc>
        <w:sdt>
          <w:sdtPr>
            <w:rPr>
              <w:b/>
              <w:sz w:val="20"/>
              <w:szCs w:val="20"/>
              <w:lang w:eastAsia="sk-SK"/>
            </w:rPr>
            <w:id w:val="1564608664"/>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3B1547E9" w14:textId="77777777" w:rsidR="00B603E5" w:rsidRPr="00580D63" w:rsidRDefault="00B603E5" w:rsidP="00B603E5">
                <w:pPr>
                  <w:jc w:val="center"/>
                  <w:rPr>
                    <w:rFonts w:ascii="Times New Roman" w:hAnsi="Times New Roman"/>
                    <w:b/>
                    <w:sz w:val="20"/>
                    <w:szCs w:val="20"/>
                    <w:lang w:eastAsia="sk-SK"/>
                  </w:rPr>
                </w:pPr>
                <w:r w:rsidRPr="00580D63">
                  <w:rPr>
                    <w:rFonts w:ascii="Segoe UI Symbol"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3A748837" w14:textId="77777777" w:rsidR="00B603E5" w:rsidRPr="00580D63" w:rsidRDefault="00B603E5" w:rsidP="00B603E5">
            <w:pPr>
              <w:rPr>
                <w:rFonts w:ascii="Times New Roman" w:hAnsi="Times New Roman"/>
                <w:b/>
                <w:sz w:val="20"/>
                <w:szCs w:val="20"/>
                <w:lang w:eastAsia="sk-SK"/>
              </w:rPr>
            </w:pPr>
            <w:r w:rsidRPr="00580D63">
              <w:rPr>
                <w:rFonts w:ascii="Times New Roman" w:hAnsi="Times New Roman"/>
                <w:b/>
                <w:sz w:val="20"/>
                <w:szCs w:val="20"/>
                <w:lang w:eastAsia="sk-SK"/>
              </w:rPr>
              <w:t>Žiadne</w:t>
            </w:r>
          </w:p>
        </w:tc>
        <w:sdt>
          <w:sdtPr>
            <w:rPr>
              <w:b/>
              <w:sz w:val="20"/>
              <w:szCs w:val="20"/>
              <w:lang w:eastAsia="sk-SK"/>
            </w:rPr>
            <w:id w:val="217354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39A8644" w14:textId="77777777" w:rsidR="00B603E5" w:rsidRPr="00580D63" w:rsidRDefault="00B603E5" w:rsidP="00B603E5">
                <w:pPr>
                  <w:jc w:val="center"/>
                  <w:rPr>
                    <w:rFonts w:ascii="Times New Roman" w:hAnsi="Times New Roman"/>
                    <w:b/>
                    <w:sz w:val="20"/>
                    <w:szCs w:val="20"/>
                    <w:lang w:eastAsia="sk-SK"/>
                  </w:rPr>
                </w:pPr>
                <w:r w:rsidRPr="00580D63">
                  <w:rPr>
                    <w:rFonts w:ascii="Segoe UI Symbol"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A1DA1D6" w14:textId="77777777" w:rsidR="00B603E5" w:rsidRPr="00580D63" w:rsidRDefault="00B603E5" w:rsidP="00B603E5">
            <w:pPr>
              <w:ind w:left="54"/>
              <w:rPr>
                <w:rFonts w:ascii="Times New Roman" w:hAnsi="Times New Roman"/>
                <w:b/>
                <w:sz w:val="20"/>
                <w:szCs w:val="20"/>
                <w:lang w:eastAsia="sk-SK"/>
              </w:rPr>
            </w:pPr>
            <w:r w:rsidRPr="00580D63">
              <w:rPr>
                <w:rFonts w:ascii="Times New Roman" w:hAnsi="Times New Roman"/>
                <w:b/>
                <w:sz w:val="20"/>
                <w:szCs w:val="20"/>
                <w:lang w:eastAsia="sk-SK"/>
              </w:rPr>
              <w:t>Negatívne</w:t>
            </w:r>
          </w:p>
        </w:tc>
      </w:tr>
      <w:tr w:rsidR="00B603E5" w:rsidRPr="00580D63" w14:paraId="1755A16C" w14:textId="77777777" w:rsidTr="00B603E5">
        <w:tc>
          <w:tcPr>
            <w:tcW w:w="3812" w:type="dxa"/>
            <w:tcBorders>
              <w:top w:val="nil"/>
              <w:left w:val="single" w:sz="4" w:space="0" w:color="000000"/>
              <w:bottom w:val="single" w:sz="4" w:space="0" w:color="000000"/>
              <w:right w:val="single" w:sz="4" w:space="0" w:color="000000"/>
            </w:tcBorders>
            <w:shd w:val="clear" w:color="auto" w:fill="E2E2E2"/>
          </w:tcPr>
          <w:p w14:paraId="09C6BC38" w14:textId="77777777" w:rsidR="00B603E5" w:rsidRPr="00580D63" w:rsidRDefault="00B603E5" w:rsidP="00B603E5">
            <w:pPr>
              <w:rPr>
                <w:rFonts w:ascii="Times New Roman" w:hAnsi="Times New Roman"/>
                <w:sz w:val="20"/>
                <w:szCs w:val="20"/>
                <w:lang w:eastAsia="sk-SK"/>
              </w:rPr>
            </w:pPr>
            <w:r w:rsidRPr="00580D63">
              <w:rPr>
                <w:rFonts w:ascii="Times New Roman" w:hAnsi="Times New Roman"/>
                <w:sz w:val="20"/>
                <w:szCs w:val="20"/>
                <w:lang w:eastAsia="sk-SK"/>
              </w:rPr>
              <w:t xml:space="preserve">    z toho vplyvy na MSP</w:t>
            </w:r>
          </w:p>
        </w:tc>
        <w:sdt>
          <w:sdtPr>
            <w:rPr>
              <w:sz w:val="20"/>
              <w:szCs w:val="20"/>
              <w:lang w:eastAsia="sk-SK"/>
            </w:rPr>
            <w:id w:val="19319380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000000"/>
                  <w:bottom w:val="single" w:sz="4" w:space="0" w:color="auto"/>
                  <w:right w:val="nil"/>
                </w:tcBorders>
              </w:tcPr>
              <w:p w14:paraId="282F60C0" w14:textId="77777777" w:rsidR="00B603E5" w:rsidRPr="00580D63" w:rsidRDefault="00B603E5" w:rsidP="00B603E5">
                <w:pPr>
                  <w:jc w:val="center"/>
                  <w:rPr>
                    <w:rFonts w:ascii="Times New Roman" w:hAnsi="Times New Roman"/>
                    <w:sz w:val="20"/>
                    <w:szCs w:val="20"/>
                    <w:lang w:eastAsia="sk-SK"/>
                  </w:rPr>
                </w:pPr>
                <w:r w:rsidRPr="00580D63">
                  <w:rPr>
                    <w:rFonts w:ascii="Segoe UI Symbol" w:hAnsi="Segoe UI Symbol" w:cs="Segoe UI Symbol"/>
                    <w:sz w:val="20"/>
                    <w:szCs w:val="20"/>
                    <w:lang w:eastAsia="sk-SK"/>
                  </w:rPr>
                  <w:t>☒</w:t>
                </w:r>
              </w:p>
            </w:tc>
          </w:sdtContent>
        </w:sdt>
        <w:tc>
          <w:tcPr>
            <w:tcW w:w="1281" w:type="dxa"/>
            <w:gridSpan w:val="2"/>
            <w:tcBorders>
              <w:top w:val="single" w:sz="4" w:space="0" w:color="auto"/>
              <w:left w:val="nil"/>
              <w:bottom w:val="single" w:sz="4" w:space="0" w:color="auto"/>
              <w:right w:val="nil"/>
            </w:tcBorders>
          </w:tcPr>
          <w:p w14:paraId="3C9F6644" w14:textId="77777777" w:rsidR="00B603E5" w:rsidRPr="00580D63" w:rsidRDefault="00B603E5" w:rsidP="00B603E5">
            <w:pPr>
              <w:ind w:right="-108"/>
              <w:rPr>
                <w:rFonts w:ascii="Times New Roman" w:hAnsi="Times New Roman"/>
                <w:sz w:val="20"/>
                <w:szCs w:val="20"/>
                <w:lang w:eastAsia="sk-SK"/>
              </w:rPr>
            </w:pPr>
            <w:r w:rsidRPr="00580D63">
              <w:rPr>
                <w:rFonts w:ascii="Times New Roman" w:hAnsi="Times New Roman"/>
                <w:sz w:val="20"/>
                <w:szCs w:val="20"/>
                <w:lang w:eastAsia="sk-SK"/>
              </w:rPr>
              <w:t>Pozitívne</w:t>
            </w:r>
          </w:p>
        </w:tc>
        <w:sdt>
          <w:sdtPr>
            <w:rPr>
              <w:sz w:val="20"/>
              <w:szCs w:val="20"/>
              <w:lang w:eastAsia="sk-SK"/>
            </w:rPr>
            <w:id w:val="-16960637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4A23013D" w14:textId="77777777" w:rsidR="00B603E5" w:rsidRPr="00580D63" w:rsidRDefault="00B603E5" w:rsidP="00B603E5">
                <w:pPr>
                  <w:jc w:val="center"/>
                  <w:rPr>
                    <w:rFonts w:ascii="Times New Roman" w:hAnsi="Times New Roman"/>
                    <w:sz w:val="20"/>
                    <w:szCs w:val="20"/>
                    <w:lang w:eastAsia="sk-SK"/>
                  </w:rPr>
                </w:pPr>
                <w:r w:rsidRPr="00580D63">
                  <w:rPr>
                    <w:rFonts w:ascii="Segoe UI Symbol" w:hAnsi="Segoe UI Symbol" w:cs="Segoe UI Symbol"/>
                    <w:sz w:val="20"/>
                    <w:szCs w:val="20"/>
                    <w:lang w:eastAsia="sk-SK"/>
                  </w:rPr>
                  <w:t>☐</w:t>
                </w:r>
              </w:p>
            </w:tc>
          </w:sdtContent>
        </w:sdt>
        <w:tc>
          <w:tcPr>
            <w:tcW w:w="1133" w:type="dxa"/>
            <w:tcBorders>
              <w:top w:val="single" w:sz="4" w:space="0" w:color="auto"/>
              <w:left w:val="nil"/>
              <w:bottom w:val="single" w:sz="4" w:space="0" w:color="auto"/>
              <w:right w:val="nil"/>
            </w:tcBorders>
          </w:tcPr>
          <w:p w14:paraId="3BF36664" w14:textId="77777777" w:rsidR="00B603E5" w:rsidRPr="00580D63" w:rsidRDefault="00B603E5" w:rsidP="00B603E5">
            <w:pPr>
              <w:rPr>
                <w:rFonts w:ascii="Times New Roman" w:hAnsi="Times New Roman"/>
                <w:sz w:val="20"/>
                <w:szCs w:val="20"/>
                <w:lang w:eastAsia="sk-SK"/>
              </w:rPr>
            </w:pPr>
            <w:r w:rsidRPr="00580D63">
              <w:rPr>
                <w:rFonts w:ascii="Times New Roman" w:hAnsi="Times New Roman"/>
                <w:sz w:val="20"/>
                <w:szCs w:val="20"/>
                <w:lang w:eastAsia="sk-SK"/>
              </w:rPr>
              <w:t>Žiadne</w:t>
            </w:r>
          </w:p>
        </w:tc>
        <w:sdt>
          <w:sdtPr>
            <w:rPr>
              <w:sz w:val="20"/>
              <w:szCs w:val="20"/>
              <w:lang w:eastAsia="sk-SK"/>
            </w:rPr>
            <w:id w:val="671765022"/>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3ABCD05" w14:textId="77777777" w:rsidR="00B603E5" w:rsidRPr="00580D63" w:rsidRDefault="00B603E5" w:rsidP="00B603E5">
                <w:pPr>
                  <w:jc w:val="center"/>
                  <w:rPr>
                    <w:rFonts w:ascii="Times New Roman" w:hAnsi="Times New Roman"/>
                    <w:sz w:val="20"/>
                    <w:szCs w:val="20"/>
                    <w:lang w:eastAsia="sk-SK"/>
                  </w:rPr>
                </w:pPr>
                <w:r w:rsidRPr="00580D63">
                  <w:rPr>
                    <w:rFonts w:ascii="Segoe UI Symbol" w:hAnsi="Segoe UI Symbol" w:cs="Segoe UI Symbol"/>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0E4DF41" w14:textId="77777777" w:rsidR="00B603E5" w:rsidRPr="00580D63" w:rsidRDefault="00B603E5" w:rsidP="00B603E5">
            <w:pPr>
              <w:ind w:left="54"/>
              <w:rPr>
                <w:rFonts w:ascii="Times New Roman" w:hAnsi="Times New Roman"/>
                <w:sz w:val="20"/>
                <w:szCs w:val="20"/>
                <w:lang w:eastAsia="sk-SK"/>
              </w:rPr>
            </w:pPr>
            <w:r w:rsidRPr="00580D63">
              <w:rPr>
                <w:rFonts w:ascii="Times New Roman" w:hAnsi="Times New Roman"/>
                <w:sz w:val="20"/>
                <w:szCs w:val="20"/>
                <w:lang w:eastAsia="sk-SK"/>
              </w:rPr>
              <w:t>Negatívne</w:t>
            </w:r>
          </w:p>
        </w:tc>
      </w:tr>
      <w:tr w:rsidR="00B603E5" w:rsidRPr="00580D63" w14:paraId="73E719F1" w14:textId="77777777" w:rsidTr="00B603E5">
        <w:tc>
          <w:tcPr>
            <w:tcW w:w="3812" w:type="dxa"/>
            <w:tcBorders>
              <w:top w:val="single" w:sz="4" w:space="0" w:color="000000"/>
              <w:left w:val="single" w:sz="4" w:space="0" w:color="auto"/>
              <w:bottom w:val="single" w:sz="4" w:space="0" w:color="auto"/>
              <w:right w:val="single" w:sz="4" w:space="0" w:color="auto"/>
            </w:tcBorders>
            <w:shd w:val="clear" w:color="auto" w:fill="E2E2E2"/>
          </w:tcPr>
          <w:p w14:paraId="4B1E79C9" w14:textId="77777777" w:rsidR="00B603E5" w:rsidRPr="00580D63" w:rsidRDefault="00B603E5" w:rsidP="00B603E5">
            <w:pPr>
              <w:rPr>
                <w:rFonts w:ascii="Times New Roman" w:hAnsi="Times New Roman"/>
                <w:b/>
                <w:sz w:val="20"/>
                <w:szCs w:val="20"/>
                <w:lang w:eastAsia="sk-SK"/>
              </w:rPr>
            </w:pPr>
            <w:r w:rsidRPr="00580D63">
              <w:rPr>
                <w:rFonts w:ascii="Times New Roman" w:hAnsi="Times New Roman"/>
                <w:b/>
                <w:sz w:val="20"/>
                <w:szCs w:val="20"/>
                <w:lang w:eastAsia="sk-SK"/>
              </w:rPr>
              <w:t>Sociálne vplyvy</w:t>
            </w:r>
          </w:p>
        </w:tc>
        <w:sdt>
          <w:sdtPr>
            <w:rPr>
              <w:b/>
              <w:sz w:val="20"/>
              <w:szCs w:val="20"/>
              <w:lang w:eastAsia="sk-SK"/>
            </w:rPr>
            <w:id w:val="44935786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B32EDC8" w14:textId="77777777" w:rsidR="00B603E5" w:rsidRPr="00580D63" w:rsidRDefault="00B603E5" w:rsidP="00B603E5">
                <w:pPr>
                  <w:jc w:val="center"/>
                  <w:rPr>
                    <w:rFonts w:ascii="Times New Roman" w:hAnsi="Times New Roman"/>
                    <w:b/>
                    <w:sz w:val="20"/>
                    <w:szCs w:val="20"/>
                    <w:lang w:eastAsia="sk-SK"/>
                  </w:rPr>
                </w:pPr>
                <w:r w:rsidRPr="00580D63">
                  <w:rPr>
                    <w:rFonts w:ascii="Segoe UI Symbol" w:hAnsi="Segoe UI Symbol" w:cs="Segoe UI Symbol"/>
                    <w:b/>
                    <w:sz w:val="20"/>
                    <w:szCs w:val="20"/>
                    <w:lang w:eastAsia="sk-SK"/>
                  </w:rPr>
                  <w:t>☐</w:t>
                </w:r>
              </w:p>
            </w:tc>
          </w:sdtContent>
        </w:sdt>
        <w:tc>
          <w:tcPr>
            <w:tcW w:w="1281" w:type="dxa"/>
            <w:gridSpan w:val="2"/>
            <w:tcBorders>
              <w:top w:val="single" w:sz="4" w:space="0" w:color="auto"/>
              <w:left w:val="nil"/>
              <w:bottom w:val="single" w:sz="4" w:space="0" w:color="auto"/>
              <w:right w:val="nil"/>
            </w:tcBorders>
          </w:tcPr>
          <w:p w14:paraId="1BD902BA" w14:textId="77777777" w:rsidR="00B603E5" w:rsidRPr="00580D63" w:rsidRDefault="00B603E5" w:rsidP="00B603E5">
            <w:pPr>
              <w:ind w:right="-108"/>
              <w:rPr>
                <w:rFonts w:ascii="Times New Roman" w:hAnsi="Times New Roman"/>
                <w:b/>
                <w:sz w:val="20"/>
                <w:szCs w:val="20"/>
                <w:lang w:eastAsia="sk-SK"/>
              </w:rPr>
            </w:pPr>
            <w:r w:rsidRPr="00580D63">
              <w:rPr>
                <w:rFonts w:ascii="Times New Roman" w:hAnsi="Times New Roman"/>
                <w:b/>
                <w:sz w:val="20"/>
                <w:szCs w:val="20"/>
                <w:lang w:eastAsia="sk-SK"/>
              </w:rPr>
              <w:t>Pozitívne</w:t>
            </w:r>
          </w:p>
        </w:tc>
        <w:sdt>
          <w:sdtPr>
            <w:rPr>
              <w:b/>
              <w:sz w:val="20"/>
              <w:szCs w:val="20"/>
              <w:lang w:eastAsia="sk-SK"/>
            </w:rPr>
            <w:id w:val="-171942536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6F4A50CA" w14:textId="77777777" w:rsidR="00B603E5" w:rsidRPr="00580D63" w:rsidRDefault="00B603E5" w:rsidP="00B603E5">
                <w:pPr>
                  <w:jc w:val="center"/>
                  <w:rPr>
                    <w:rFonts w:ascii="Times New Roman" w:hAnsi="Times New Roman"/>
                    <w:b/>
                    <w:sz w:val="20"/>
                    <w:szCs w:val="20"/>
                    <w:lang w:eastAsia="sk-SK"/>
                  </w:rPr>
                </w:pPr>
                <w:r w:rsidRPr="00580D63">
                  <w:rPr>
                    <w:rFonts w:ascii="Segoe UI Symbol"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110A5091" w14:textId="77777777" w:rsidR="00B603E5" w:rsidRPr="00580D63" w:rsidRDefault="00B603E5" w:rsidP="00B603E5">
            <w:pPr>
              <w:rPr>
                <w:rFonts w:ascii="Times New Roman" w:hAnsi="Times New Roman"/>
                <w:b/>
                <w:sz w:val="20"/>
                <w:szCs w:val="20"/>
                <w:lang w:eastAsia="sk-SK"/>
              </w:rPr>
            </w:pPr>
            <w:r w:rsidRPr="00580D63">
              <w:rPr>
                <w:rFonts w:ascii="Times New Roman" w:hAnsi="Times New Roman"/>
                <w:b/>
                <w:sz w:val="20"/>
                <w:szCs w:val="20"/>
                <w:lang w:eastAsia="sk-SK"/>
              </w:rPr>
              <w:t>Žiadne</w:t>
            </w:r>
          </w:p>
        </w:tc>
        <w:sdt>
          <w:sdtPr>
            <w:rPr>
              <w:b/>
              <w:sz w:val="20"/>
              <w:szCs w:val="20"/>
              <w:lang w:eastAsia="sk-SK"/>
            </w:rPr>
            <w:id w:val="-87083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3C195D4" w14:textId="77777777" w:rsidR="00B603E5" w:rsidRPr="00580D63" w:rsidRDefault="00B603E5" w:rsidP="00B603E5">
                <w:pPr>
                  <w:jc w:val="center"/>
                  <w:rPr>
                    <w:rFonts w:ascii="Times New Roman" w:hAnsi="Times New Roman"/>
                    <w:b/>
                    <w:sz w:val="20"/>
                    <w:szCs w:val="20"/>
                    <w:lang w:eastAsia="sk-SK"/>
                  </w:rPr>
                </w:pPr>
                <w:r w:rsidRPr="00580D63">
                  <w:rPr>
                    <w:rFonts w:ascii="Segoe UI Symbol"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449DC6F9" w14:textId="77777777" w:rsidR="00B603E5" w:rsidRPr="00580D63" w:rsidRDefault="00B603E5" w:rsidP="00B603E5">
            <w:pPr>
              <w:ind w:left="54"/>
              <w:rPr>
                <w:rFonts w:ascii="Times New Roman" w:hAnsi="Times New Roman"/>
                <w:b/>
                <w:sz w:val="20"/>
                <w:szCs w:val="20"/>
                <w:lang w:eastAsia="sk-SK"/>
              </w:rPr>
            </w:pPr>
            <w:r w:rsidRPr="00580D63">
              <w:rPr>
                <w:rFonts w:ascii="Times New Roman" w:hAnsi="Times New Roman"/>
                <w:b/>
                <w:sz w:val="20"/>
                <w:szCs w:val="20"/>
                <w:lang w:eastAsia="sk-SK"/>
              </w:rPr>
              <w:t>Negatívne</w:t>
            </w:r>
          </w:p>
        </w:tc>
      </w:tr>
      <w:tr w:rsidR="00B603E5" w:rsidRPr="00580D63" w14:paraId="0D48EBC7" w14:textId="77777777" w:rsidTr="00DA58E5">
        <w:tc>
          <w:tcPr>
            <w:tcW w:w="3812" w:type="dxa"/>
            <w:tcBorders>
              <w:top w:val="single" w:sz="4" w:space="0" w:color="auto"/>
              <w:left w:val="single" w:sz="4" w:space="0" w:color="auto"/>
              <w:bottom w:val="single" w:sz="4" w:space="0" w:color="auto"/>
              <w:right w:val="single" w:sz="4" w:space="0" w:color="auto"/>
            </w:tcBorders>
            <w:shd w:val="clear" w:color="auto" w:fill="E2E2E2"/>
          </w:tcPr>
          <w:p w14:paraId="03DB2A71" w14:textId="77777777" w:rsidR="00B603E5" w:rsidRPr="00580D63" w:rsidRDefault="00B603E5" w:rsidP="00B603E5">
            <w:pPr>
              <w:rPr>
                <w:rFonts w:ascii="Times New Roman" w:hAnsi="Times New Roman"/>
                <w:b/>
                <w:sz w:val="20"/>
                <w:szCs w:val="20"/>
                <w:lang w:eastAsia="sk-SK"/>
              </w:rPr>
            </w:pPr>
            <w:r w:rsidRPr="00580D63">
              <w:rPr>
                <w:rFonts w:ascii="Times New Roman" w:hAnsi="Times New Roman"/>
                <w:b/>
                <w:sz w:val="20"/>
                <w:szCs w:val="20"/>
                <w:lang w:eastAsia="sk-SK"/>
              </w:rPr>
              <w:lastRenderedPageBreak/>
              <w:t>Vplyvy na životné prostredie</w:t>
            </w:r>
          </w:p>
        </w:tc>
        <w:sdt>
          <w:sdtPr>
            <w:rPr>
              <w:b/>
              <w:sz w:val="20"/>
              <w:szCs w:val="20"/>
              <w:lang w:eastAsia="sk-SK"/>
            </w:rPr>
            <w:id w:val="30475515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9F7D625" w14:textId="77777777" w:rsidR="00B603E5" w:rsidRPr="00580D63" w:rsidRDefault="00B603E5" w:rsidP="00B603E5">
                <w:pPr>
                  <w:jc w:val="center"/>
                  <w:rPr>
                    <w:rFonts w:ascii="Times New Roman" w:hAnsi="Times New Roman"/>
                    <w:b/>
                    <w:sz w:val="20"/>
                    <w:szCs w:val="20"/>
                    <w:lang w:eastAsia="sk-SK"/>
                  </w:rPr>
                </w:pPr>
                <w:r w:rsidRPr="00580D63">
                  <w:rPr>
                    <w:rFonts w:ascii="Segoe UI Symbol" w:hAnsi="Segoe UI Symbol" w:cs="Segoe UI Symbol"/>
                    <w:b/>
                    <w:sz w:val="20"/>
                    <w:szCs w:val="20"/>
                    <w:lang w:eastAsia="sk-SK"/>
                  </w:rPr>
                  <w:t>☐</w:t>
                </w:r>
              </w:p>
            </w:tc>
          </w:sdtContent>
        </w:sdt>
        <w:tc>
          <w:tcPr>
            <w:tcW w:w="1281" w:type="dxa"/>
            <w:gridSpan w:val="2"/>
            <w:tcBorders>
              <w:top w:val="single" w:sz="4" w:space="0" w:color="auto"/>
              <w:left w:val="nil"/>
              <w:bottom w:val="single" w:sz="4" w:space="0" w:color="auto"/>
              <w:right w:val="nil"/>
            </w:tcBorders>
          </w:tcPr>
          <w:p w14:paraId="03DEF98D" w14:textId="77777777" w:rsidR="00B603E5" w:rsidRPr="00580D63" w:rsidRDefault="00B603E5" w:rsidP="00B603E5">
            <w:pPr>
              <w:ind w:right="-108"/>
              <w:rPr>
                <w:rFonts w:ascii="Times New Roman" w:hAnsi="Times New Roman"/>
                <w:b/>
                <w:sz w:val="20"/>
                <w:szCs w:val="20"/>
                <w:lang w:eastAsia="sk-SK"/>
              </w:rPr>
            </w:pPr>
            <w:r w:rsidRPr="00580D63">
              <w:rPr>
                <w:rFonts w:ascii="Times New Roman" w:hAnsi="Times New Roman"/>
                <w:b/>
                <w:sz w:val="20"/>
                <w:szCs w:val="20"/>
                <w:lang w:eastAsia="sk-SK"/>
              </w:rPr>
              <w:t>Pozitívne</w:t>
            </w:r>
          </w:p>
        </w:tc>
        <w:sdt>
          <w:sdtPr>
            <w:rPr>
              <w:b/>
              <w:sz w:val="20"/>
              <w:szCs w:val="20"/>
              <w:lang w:eastAsia="sk-SK"/>
            </w:rPr>
            <w:id w:val="23513619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1C183ADD" w14:textId="77777777" w:rsidR="00B603E5" w:rsidRPr="00580D63" w:rsidRDefault="00B603E5" w:rsidP="00B603E5">
                <w:pPr>
                  <w:jc w:val="center"/>
                  <w:rPr>
                    <w:rFonts w:ascii="Times New Roman" w:hAnsi="Times New Roman"/>
                    <w:b/>
                    <w:sz w:val="20"/>
                    <w:szCs w:val="20"/>
                    <w:lang w:eastAsia="sk-SK"/>
                  </w:rPr>
                </w:pPr>
                <w:r w:rsidRPr="00580D63">
                  <w:rPr>
                    <w:rFonts w:ascii="Segoe UI Symbol"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6897034E" w14:textId="77777777" w:rsidR="00B603E5" w:rsidRPr="00580D63" w:rsidRDefault="00B603E5" w:rsidP="00B603E5">
            <w:pPr>
              <w:rPr>
                <w:rFonts w:ascii="Times New Roman" w:hAnsi="Times New Roman"/>
                <w:b/>
                <w:sz w:val="20"/>
                <w:szCs w:val="20"/>
                <w:lang w:eastAsia="sk-SK"/>
              </w:rPr>
            </w:pPr>
            <w:r w:rsidRPr="00580D63">
              <w:rPr>
                <w:rFonts w:ascii="Times New Roman" w:hAnsi="Times New Roman"/>
                <w:b/>
                <w:sz w:val="20"/>
                <w:szCs w:val="20"/>
                <w:lang w:eastAsia="sk-SK"/>
              </w:rPr>
              <w:t>Žiadne</w:t>
            </w:r>
          </w:p>
        </w:tc>
        <w:sdt>
          <w:sdtPr>
            <w:rPr>
              <w:b/>
              <w:sz w:val="20"/>
              <w:szCs w:val="20"/>
              <w:lang w:eastAsia="sk-SK"/>
            </w:rPr>
            <w:id w:val="-1310200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466AB12" w14:textId="77777777" w:rsidR="00B603E5" w:rsidRPr="00580D63" w:rsidRDefault="00B603E5" w:rsidP="00B603E5">
                <w:pPr>
                  <w:jc w:val="center"/>
                  <w:rPr>
                    <w:rFonts w:ascii="Times New Roman" w:hAnsi="Times New Roman"/>
                    <w:b/>
                    <w:sz w:val="20"/>
                    <w:szCs w:val="20"/>
                    <w:lang w:eastAsia="sk-SK"/>
                  </w:rPr>
                </w:pPr>
                <w:r w:rsidRPr="00580D63">
                  <w:rPr>
                    <w:rFonts w:ascii="Segoe UI Symbol"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1BD7BF2" w14:textId="77777777" w:rsidR="00B603E5" w:rsidRPr="00580D63" w:rsidRDefault="00B603E5" w:rsidP="00B603E5">
            <w:pPr>
              <w:ind w:left="54"/>
              <w:rPr>
                <w:rFonts w:ascii="Times New Roman" w:hAnsi="Times New Roman"/>
                <w:b/>
                <w:sz w:val="20"/>
                <w:szCs w:val="20"/>
                <w:lang w:eastAsia="sk-SK"/>
              </w:rPr>
            </w:pPr>
            <w:r w:rsidRPr="00580D63">
              <w:rPr>
                <w:rFonts w:ascii="Times New Roman" w:hAnsi="Times New Roman"/>
                <w:b/>
                <w:sz w:val="20"/>
                <w:szCs w:val="20"/>
                <w:lang w:eastAsia="sk-SK"/>
              </w:rPr>
              <w:t>Negatívne</w:t>
            </w:r>
          </w:p>
        </w:tc>
      </w:tr>
      <w:tr w:rsidR="00B603E5" w:rsidRPr="00580D63" w14:paraId="74FAAF06" w14:textId="77777777" w:rsidTr="00DA58E5">
        <w:tc>
          <w:tcPr>
            <w:tcW w:w="3812" w:type="dxa"/>
            <w:tcBorders>
              <w:top w:val="single" w:sz="4" w:space="0" w:color="auto"/>
              <w:left w:val="single" w:sz="4" w:space="0" w:color="auto"/>
              <w:bottom w:val="single" w:sz="4" w:space="0" w:color="auto"/>
              <w:right w:val="single" w:sz="4" w:space="0" w:color="auto"/>
            </w:tcBorders>
            <w:shd w:val="clear" w:color="auto" w:fill="E2E2E2"/>
          </w:tcPr>
          <w:p w14:paraId="4189E452" w14:textId="77777777" w:rsidR="00B603E5" w:rsidRPr="00580D63" w:rsidRDefault="00B603E5" w:rsidP="00B603E5">
            <w:pPr>
              <w:rPr>
                <w:rFonts w:ascii="Times New Roman" w:hAnsi="Times New Roman"/>
                <w:b/>
                <w:sz w:val="20"/>
                <w:szCs w:val="20"/>
                <w:lang w:eastAsia="sk-SK"/>
              </w:rPr>
            </w:pPr>
            <w:r w:rsidRPr="00580D63">
              <w:rPr>
                <w:rFonts w:ascii="Times New Roman" w:hAnsi="Times New Roman"/>
                <w:b/>
                <w:sz w:val="20"/>
                <w:szCs w:val="20"/>
                <w:lang w:eastAsia="sk-SK"/>
              </w:rPr>
              <w:t>Vplyvy na informatizáciu</w:t>
            </w:r>
          </w:p>
        </w:tc>
        <w:sdt>
          <w:sdtPr>
            <w:rPr>
              <w:b/>
              <w:sz w:val="20"/>
              <w:szCs w:val="20"/>
              <w:lang w:eastAsia="sk-SK"/>
            </w:rPr>
            <w:id w:val="-94075100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208EC03" w14:textId="77777777" w:rsidR="00B603E5" w:rsidRPr="00580D63" w:rsidRDefault="00B603E5" w:rsidP="00B603E5">
                <w:pPr>
                  <w:jc w:val="center"/>
                  <w:rPr>
                    <w:rFonts w:ascii="Times New Roman" w:hAnsi="Times New Roman"/>
                    <w:b/>
                    <w:sz w:val="20"/>
                    <w:szCs w:val="20"/>
                    <w:lang w:eastAsia="sk-SK"/>
                  </w:rPr>
                </w:pPr>
                <w:r w:rsidRPr="00580D63">
                  <w:rPr>
                    <w:rFonts w:ascii="Segoe UI Symbol" w:hAnsi="Segoe UI Symbol" w:cs="Segoe UI Symbol"/>
                    <w:b/>
                    <w:sz w:val="20"/>
                    <w:szCs w:val="20"/>
                    <w:lang w:eastAsia="sk-SK"/>
                  </w:rPr>
                  <w:t>☐</w:t>
                </w:r>
              </w:p>
            </w:tc>
          </w:sdtContent>
        </w:sdt>
        <w:tc>
          <w:tcPr>
            <w:tcW w:w="1281" w:type="dxa"/>
            <w:gridSpan w:val="2"/>
            <w:tcBorders>
              <w:top w:val="single" w:sz="4" w:space="0" w:color="auto"/>
              <w:left w:val="nil"/>
              <w:bottom w:val="single" w:sz="4" w:space="0" w:color="auto"/>
              <w:right w:val="nil"/>
            </w:tcBorders>
          </w:tcPr>
          <w:p w14:paraId="0B532136" w14:textId="77777777" w:rsidR="00B603E5" w:rsidRPr="00580D63" w:rsidRDefault="00B603E5" w:rsidP="00B603E5">
            <w:pPr>
              <w:ind w:right="-108"/>
              <w:rPr>
                <w:rFonts w:ascii="Times New Roman" w:hAnsi="Times New Roman"/>
                <w:b/>
                <w:sz w:val="20"/>
                <w:szCs w:val="20"/>
                <w:lang w:eastAsia="sk-SK"/>
              </w:rPr>
            </w:pPr>
            <w:r w:rsidRPr="00580D63">
              <w:rPr>
                <w:rFonts w:ascii="Times New Roman" w:hAnsi="Times New Roman"/>
                <w:b/>
                <w:sz w:val="20"/>
                <w:szCs w:val="20"/>
                <w:lang w:eastAsia="sk-SK"/>
              </w:rPr>
              <w:t>Pozitívne</w:t>
            </w:r>
          </w:p>
        </w:tc>
        <w:sdt>
          <w:sdtPr>
            <w:rPr>
              <w:b/>
              <w:sz w:val="20"/>
              <w:szCs w:val="20"/>
              <w:lang w:eastAsia="sk-SK"/>
            </w:rPr>
            <w:id w:val="-1126152168"/>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0F2DBA3C" w14:textId="77777777" w:rsidR="00B603E5" w:rsidRPr="00580D63" w:rsidRDefault="00B603E5" w:rsidP="00B603E5">
                <w:pPr>
                  <w:jc w:val="center"/>
                  <w:rPr>
                    <w:rFonts w:ascii="Times New Roman" w:hAnsi="Times New Roman"/>
                    <w:b/>
                    <w:sz w:val="20"/>
                    <w:szCs w:val="20"/>
                    <w:lang w:eastAsia="sk-SK"/>
                  </w:rPr>
                </w:pPr>
                <w:r w:rsidRPr="00580D63">
                  <w:rPr>
                    <w:rFonts w:ascii="Segoe UI Symbol"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684E4A50" w14:textId="77777777" w:rsidR="00B603E5" w:rsidRPr="00580D63" w:rsidRDefault="00B603E5" w:rsidP="00B603E5">
            <w:pPr>
              <w:rPr>
                <w:rFonts w:ascii="Times New Roman" w:hAnsi="Times New Roman"/>
                <w:b/>
                <w:sz w:val="20"/>
                <w:szCs w:val="20"/>
                <w:lang w:eastAsia="sk-SK"/>
              </w:rPr>
            </w:pPr>
            <w:r w:rsidRPr="00580D63">
              <w:rPr>
                <w:rFonts w:ascii="Times New Roman" w:hAnsi="Times New Roman"/>
                <w:b/>
                <w:sz w:val="20"/>
                <w:szCs w:val="20"/>
                <w:lang w:eastAsia="sk-SK"/>
              </w:rPr>
              <w:t>Žiadne</w:t>
            </w:r>
          </w:p>
        </w:tc>
        <w:sdt>
          <w:sdtPr>
            <w:rPr>
              <w:b/>
              <w:sz w:val="20"/>
              <w:szCs w:val="20"/>
              <w:lang w:eastAsia="sk-SK"/>
            </w:rPr>
            <w:id w:val="3788318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E85D9F2" w14:textId="77777777" w:rsidR="00B603E5" w:rsidRPr="00580D63" w:rsidRDefault="00B603E5" w:rsidP="00B603E5">
                <w:pPr>
                  <w:jc w:val="center"/>
                  <w:rPr>
                    <w:rFonts w:ascii="Times New Roman" w:hAnsi="Times New Roman"/>
                    <w:b/>
                    <w:sz w:val="20"/>
                    <w:szCs w:val="20"/>
                    <w:lang w:eastAsia="sk-SK"/>
                  </w:rPr>
                </w:pPr>
                <w:r w:rsidRPr="00580D63">
                  <w:rPr>
                    <w:rFonts w:ascii="Segoe UI Symbol"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006EE8F" w14:textId="77777777" w:rsidR="00B603E5" w:rsidRPr="00580D63" w:rsidRDefault="00B603E5" w:rsidP="00B603E5">
            <w:pPr>
              <w:ind w:left="54"/>
              <w:rPr>
                <w:rFonts w:ascii="Times New Roman" w:hAnsi="Times New Roman"/>
                <w:b/>
                <w:sz w:val="20"/>
                <w:szCs w:val="20"/>
                <w:lang w:eastAsia="sk-SK"/>
              </w:rPr>
            </w:pPr>
            <w:r w:rsidRPr="00580D63">
              <w:rPr>
                <w:rFonts w:ascii="Times New Roman" w:hAnsi="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B603E5" w:rsidRPr="00580D63" w14:paraId="3CB07A72" w14:textId="77777777" w:rsidTr="00DA58E5">
        <w:tc>
          <w:tcPr>
            <w:tcW w:w="3812" w:type="dxa"/>
            <w:tcBorders>
              <w:top w:val="single" w:sz="4" w:space="0" w:color="auto"/>
              <w:left w:val="single" w:sz="4" w:space="0" w:color="auto"/>
              <w:bottom w:val="nil"/>
              <w:right w:val="single" w:sz="4" w:space="0" w:color="auto"/>
            </w:tcBorders>
            <w:shd w:val="clear" w:color="auto" w:fill="E2E2E2"/>
          </w:tcPr>
          <w:p w14:paraId="50197988" w14:textId="77777777" w:rsidR="00B603E5" w:rsidRPr="00580D63" w:rsidRDefault="00B603E5" w:rsidP="00B603E5">
            <w:pPr>
              <w:rPr>
                <w:b/>
                <w:sz w:val="20"/>
                <w:szCs w:val="20"/>
                <w:lang w:eastAsia="sk-SK"/>
              </w:rPr>
            </w:pPr>
            <w:r w:rsidRPr="00580D63">
              <w:rPr>
                <w:rFonts w:eastAsia="Calibri"/>
                <w:b/>
                <w:sz w:val="20"/>
                <w:szCs w:val="20"/>
                <w:lang w:eastAsia="en-US"/>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7C583616" w14:textId="77777777" w:rsidR="00B603E5" w:rsidRPr="00580D63" w:rsidRDefault="00B603E5" w:rsidP="00B603E5">
            <w:pPr>
              <w:jc w:val="center"/>
              <w:rPr>
                <w:rFonts w:eastAsia="MS Mincho"/>
                <w:b/>
                <w:sz w:val="20"/>
                <w:szCs w:val="20"/>
                <w:lang w:eastAsia="sk-SK"/>
              </w:rPr>
            </w:pPr>
          </w:p>
        </w:tc>
        <w:tc>
          <w:tcPr>
            <w:tcW w:w="1281" w:type="dxa"/>
            <w:tcBorders>
              <w:top w:val="single" w:sz="4" w:space="0" w:color="auto"/>
              <w:left w:val="nil"/>
              <w:bottom w:val="nil"/>
              <w:right w:val="nil"/>
            </w:tcBorders>
            <w:shd w:val="clear" w:color="auto" w:fill="auto"/>
          </w:tcPr>
          <w:p w14:paraId="5F1FE878" w14:textId="77777777" w:rsidR="00B603E5" w:rsidRPr="00580D63" w:rsidRDefault="00B603E5" w:rsidP="00B603E5">
            <w:pPr>
              <w:ind w:right="-108"/>
              <w:rPr>
                <w:b/>
                <w:sz w:val="20"/>
                <w:szCs w:val="20"/>
                <w:lang w:eastAsia="sk-SK"/>
              </w:rPr>
            </w:pPr>
          </w:p>
        </w:tc>
        <w:tc>
          <w:tcPr>
            <w:tcW w:w="569" w:type="dxa"/>
            <w:tcBorders>
              <w:top w:val="single" w:sz="4" w:space="0" w:color="auto"/>
              <w:left w:val="nil"/>
              <w:bottom w:val="nil"/>
              <w:right w:val="nil"/>
            </w:tcBorders>
            <w:shd w:val="clear" w:color="auto" w:fill="auto"/>
          </w:tcPr>
          <w:p w14:paraId="662634CF" w14:textId="77777777" w:rsidR="00B603E5" w:rsidRPr="00580D63" w:rsidRDefault="00B603E5" w:rsidP="00B603E5">
            <w:pPr>
              <w:jc w:val="center"/>
              <w:rPr>
                <w:rFonts w:eastAsia="MS Mincho"/>
                <w:b/>
                <w:sz w:val="20"/>
                <w:szCs w:val="20"/>
                <w:lang w:eastAsia="sk-SK"/>
              </w:rPr>
            </w:pPr>
          </w:p>
        </w:tc>
        <w:tc>
          <w:tcPr>
            <w:tcW w:w="1133" w:type="dxa"/>
            <w:tcBorders>
              <w:top w:val="single" w:sz="4" w:space="0" w:color="auto"/>
              <w:left w:val="nil"/>
              <w:bottom w:val="nil"/>
              <w:right w:val="nil"/>
            </w:tcBorders>
            <w:shd w:val="clear" w:color="auto" w:fill="auto"/>
          </w:tcPr>
          <w:p w14:paraId="62C4D4A5" w14:textId="77777777" w:rsidR="00B603E5" w:rsidRPr="00580D63" w:rsidRDefault="00B603E5" w:rsidP="00B603E5">
            <w:pPr>
              <w:rPr>
                <w:b/>
                <w:sz w:val="20"/>
                <w:szCs w:val="20"/>
                <w:lang w:eastAsia="sk-SK"/>
              </w:rPr>
            </w:pPr>
          </w:p>
        </w:tc>
        <w:tc>
          <w:tcPr>
            <w:tcW w:w="547" w:type="dxa"/>
            <w:tcBorders>
              <w:top w:val="single" w:sz="4" w:space="0" w:color="auto"/>
              <w:left w:val="nil"/>
              <w:bottom w:val="nil"/>
              <w:right w:val="nil"/>
            </w:tcBorders>
            <w:shd w:val="clear" w:color="auto" w:fill="auto"/>
          </w:tcPr>
          <w:p w14:paraId="341EA9EA" w14:textId="77777777" w:rsidR="00B603E5" w:rsidRPr="00580D63" w:rsidRDefault="00B603E5" w:rsidP="00B603E5">
            <w:pPr>
              <w:jc w:val="center"/>
              <w:rPr>
                <w:rFonts w:eastAsia="MS Mincho"/>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17694609" w14:textId="77777777" w:rsidR="00B603E5" w:rsidRPr="00580D63" w:rsidRDefault="00B603E5" w:rsidP="00B603E5">
            <w:pPr>
              <w:ind w:left="54"/>
              <w:rPr>
                <w:b/>
                <w:sz w:val="20"/>
                <w:szCs w:val="20"/>
                <w:lang w:eastAsia="sk-SK"/>
              </w:rPr>
            </w:pPr>
          </w:p>
        </w:tc>
      </w:tr>
      <w:tr w:rsidR="00B603E5" w:rsidRPr="00580D63" w14:paraId="6FDE974C" w14:textId="77777777" w:rsidTr="00DA58E5">
        <w:tc>
          <w:tcPr>
            <w:tcW w:w="3812" w:type="dxa"/>
            <w:tcBorders>
              <w:top w:val="nil"/>
              <w:left w:val="single" w:sz="4" w:space="0" w:color="auto"/>
              <w:bottom w:val="nil"/>
              <w:right w:val="single" w:sz="4" w:space="0" w:color="auto"/>
            </w:tcBorders>
            <w:shd w:val="clear" w:color="auto" w:fill="E2E2E2"/>
          </w:tcPr>
          <w:p w14:paraId="59564393" w14:textId="77777777" w:rsidR="00B603E5" w:rsidRPr="00580D63" w:rsidRDefault="00B603E5" w:rsidP="00B603E5">
            <w:pPr>
              <w:ind w:left="196" w:hanging="196"/>
              <w:rPr>
                <w:rFonts w:eastAsia="Calibri"/>
                <w:b/>
                <w:sz w:val="20"/>
                <w:szCs w:val="20"/>
                <w:lang w:eastAsia="en-US"/>
              </w:rPr>
            </w:pPr>
            <w:r w:rsidRPr="00580D63">
              <w:rPr>
                <w:rFonts w:eastAsia="Calibri"/>
                <w:b/>
                <w:sz w:val="20"/>
                <w:szCs w:val="20"/>
                <w:lang w:eastAsia="en-US"/>
              </w:rPr>
              <w:t xml:space="preserve">    vplyvy služieb verejnej správy na občana</w:t>
            </w:r>
          </w:p>
        </w:tc>
        <w:tc>
          <w:tcPr>
            <w:tcW w:w="541" w:type="dxa"/>
            <w:tcBorders>
              <w:top w:val="nil"/>
              <w:left w:val="single" w:sz="4" w:space="0" w:color="auto"/>
              <w:bottom w:val="nil"/>
              <w:right w:val="nil"/>
            </w:tcBorders>
            <w:shd w:val="clear" w:color="auto" w:fill="auto"/>
          </w:tcPr>
          <w:p w14:paraId="5D6B4846" w14:textId="77777777" w:rsidR="00B603E5" w:rsidRPr="00580D63" w:rsidRDefault="00B603E5" w:rsidP="00B603E5">
            <w:pPr>
              <w:jc w:val="center"/>
              <w:rPr>
                <w:rFonts w:eastAsia="MS Mincho"/>
                <w:b/>
                <w:sz w:val="20"/>
                <w:szCs w:val="20"/>
                <w:lang w:eastAsia="en-US"/>
              </w:rPr>
            </w:pPr>
            <w:r w:rsidRPr="00580D63">
              <w:rPr>
                <w:rFonts w:ascii="Segoe UI Symbol" w:eastAsia="MS Mincho" w:hAnsi="Segoe UI Symbol" w:cs="Segoe UI Symbol"/>
                <w:b/>
                <w:sz w:val="20"/>
                <w:szCs w:val="20"/>
                <w:lang w:eastAsia="en-US"/>
              </w:rPr>
              <w:t>☐</w:t>
            </w:r>
          </w:p>
        </w:tc>
        <w:tc>
          <w:tcPr>
            <w:tcW w:w="1281" w:type="dxa"/>
            <w:tcBorders>
              <w:top w:val="nil"/>
              <w:left w:val="nil"/>
              <w:bottom w:val="nil"/>
              <w:right w:val="nil"/>
            </w:tcBorders>
            <w:shd w:val="clear" w:color="auto" w:fill="auto"/>
          </w:tcPr>
          <w:p w14:paraId="77C09884" w14:textId="77777777" w:rsidR="00B603E5" w:rsidRPr="00580D63" w:rsidRDefault="00B603E5" w:rsidP="00B603E5">
            <w:pPr>
              <w:ind w:right="-108"/>
              <w:rPr>
                <w:rFonts w:eastAsia="Calibri"/>
                <w:b/>
                <w:sz w:val="20"/>
                <w:szCs w:val="20"/>
                <w:lang w:eastAsia="en-US"/>
              </w:rPr>
            </w:pPr>
            <w:r w:rsidRPr="00580D63">
              <w:rPr>
                <w:rFonts w:eastAsia="Calibri"/>
                <w:b/>
                <w:sz w:val="20"/>
                <w:szCs w:val="20"/>
                <w:lang w:eastAsia="en-US"/>
              </w:rPr>
              <w:t>Pozitívne</w:t>
            </w:r>
          </w:p>
        </w:tc>
        <w:sdt>
          <w:sdtPr>
            <w:rPr>
              <w:b/>
              <w:sz w:val="20"/>
              <w:szCs w:val="20"/>
              <w:lang w:eastAsia="sk-SK"/>
            </w:rPr>
            <w:id w:val="-1969504052"/>
            <w14:checkbox>
              <w14:checked w14:val="1"/>
              <w14:checkedState w14:val="2612" w14:font="MS Gothic"/>
              <w14:uncheckedState w14:val="2610" w14:font="MS Gothic"/>
            </w14:checkbox>
          </w:sdtPr>
          <w:sdtEndPr/>
          <w:sdtContent>
            <w:tc>
              <w:tcPr>
                <w:tcW w:w="569" w:type="dxa"/>
                <w:tcBorders>
                  <w:top w:val="nil"/>
                  <w:left w:val="nil"/>
                  <w:bottom w:val="nil"/>
                  <w:right w:val="nil"/>
                </w:tcBorders>
                <w:shd w:val="clear" w:color="auto" w:fill="auto"/>
              </w:tcPr>
              <w:p w14:paraId="32A80028" w14:textId="77777777" w:rsidR="00B603E5" w:rsidRPr="00580D63" w:rsidRDefault="00B603E5" w:rsidP="00B603E5">
                <w:pPr>
                  <w:jc w:val="center"/>
                  <w:rPr>
                    <w:sz w:val="20"/>
                    <w:szCs w:val="20"/>
                    <w:lang w:eastAsia="sk-SK"/>
                  </w:rPr>
                </w:pPr>
                <w:r w:rsidRPr="00580D63">
                  <w:rPr>
                    <w:rFonts w:ascii="Segoe UI Symbol" w:eastAsia="MS Gothic" w:hAnsi="Segoe UI Symbol" w:cs="Segoe UI Symbol"/>
                    <w:b/>
                    <w:sz w:val="20"/>
                    <w:szCs w:val="20"/>
                    <w:lang w:eastAsia="sk-SK"/>
                  </w:rPr>
                  <w:t>☒</w:t>
                </w:r>
              </w:p>
            </w:tc>
          </w:sdtContent>
        </w:sdt>
        <w:tc>
          <w:tcPr>
            <w:tcW w:w="1133" w:type="dxa"/>
            <w:tcBorders>
              <w:top w:val="nil"/>
              <w:left w:val="nil"/>
              <w:bottom w:val="nil"/>
              <w:right w:val="nil"/>
            </w:tcBorders>
            <w:shd w:val="clear" w:color="auto" w:fill="auto"/>
          </w:tcPr>
          <w:p w14:paraId="721AD046" w14:textId="77777777" w:rsidR="00B603E5" w:rsidRPr="00580D63" w:rsidRDefault="00B603E5" w:rsidP="00B603E5">
            <w:pPr>
              <w:rPr>
                <w:rFonts w:eastAsia="Calibri"/>
                <w:b/>
                <w:sz w:val="20"/>
                <w:szCs w:val="20"/>
                <w:lang w:eastAsia="en-US"/>
              </w:rPr>
            </w:pPr>
            <w:r w:rsidRPr="00580D63">
              <w:rPr>
                <w:rFonts w:eastAsia="Calibri"/>
                <w:b/>
                <w:sz w:val="20"/>
                <w:szCs w:val="20"/>
                <w:lang w:eastAsia="en-US"/>
              </w:rPr>
              <w:t>Žiadne</w:t>
            </w:r>
          </w:p>
        </w:tc>
        <w:tc>
          <w:tcPr>
            <w:tcW w:w="547" w:type="dxa"/>
            <w:tcBorders>
              <w:top w:val="nil"/>
              <w:left w:val="nil"/>
              <w:bottom w:val="nil"/>
              <w:right w:val="nil"/>
            </w:tcBorders>
            <w:shd w:val="clear" w:color="auto" w:fill="auto"/>
          </w:tcPr>
          <w:p w14:paraId="09B51428" w14:textId="77777777" w:rsidR="00B603E5" w:rsidRPr="00580D63" w:rsidRDefault="00B603E5" w:rsidP="00B603E5">
            <w:pPr>
              <w:jc w:val="center"/>
              <w:rPr>
                <w:rFonts w:eastAsia="MS Mincho"/>
                <w:b/>
                <w:sz w:val="20"/>
                <w:szCs w:val="20"/>
                <w:lang w:eastAsia="en-US"/>
              </w:rPr>
            </w:pPr>
            <w:r w:rsidRPr="00580D63">
              <w:rPr>
                <w:rFonts w:ascii="Segoe UI Symbol" w:eastAsia="MS Mincho" w:hAnsi="Segoe UI Symbol" w:cs="Segoe UI Symbol"/>
                <w:b/>
                <w:sz w:val="20"/>
                <w:szCs w:val="20"/>
                <w:lang w:eastAsia="en-US"/>
              </w:rPr>
              <w:t>☐</w:t>
            </w:r>
          </w:p>
        </w:tc>
        <w:tc>
          <w:tcPr>
            <w:tcW w:w="1297" w:type="dxa"/>
            <w:tcBorders>
              <w:top w:val="nil"/>
              <w:left w:val="nil"/>
              <w:bottom w:val="nil"/>
              <w:right w:val="single" w:sz="4" w:space="0" w:color="auto"/>
            </w:tcBorders>
            <w:shd w:val="clear" w:color="auto" w:fill="auto"/>
          </w:tcPr>
          <w:p w14:paraId="02D2E66D" w14:textId="77777777" w:rsidR="00B603E5" w:rsidRPr="00580D63" w:rsidRDefault="00B603E5" w:rsidP="00B603E5">
            <w:pPr>
              <w:ind w:left="54"/>
              <w:rPr>
                <w:rFonts w:eastAsia="Calibri"/>
                <w:b/>
                <w:sz w:val="20"/>
                <w:szCs w:val="20"/>
                <w:lang w:eastAsia="en-US"/>
              </w:rPr>
            </w:pPr>
            <w:r w:rsidRPr="00580D63">
              <w:rPr>
                <w:rFonts w:eastAsia="Calibri"/>
                <w:b/>
                <w:sz w:val="20"/>
                <w:szCs w:val="20"/>
                <w:lang w:eastAsia="en-US"/>
              </w:rPr>
              <w:t>Negatívne“</w:t>
            </w:r>
          </w:p>
        </w:tc>
      </w:tr>
      <w:tr w:rsidR="00B603E5" w:rsidRPr="00580D63" w14:paraId="4E13F056" w14:textId="77777777" w:rsidTr="00DA58E5">
        <w:tc>
          <w:tcPr>
            <w:tcW w:w="3812" w:type="dxa"/>
            <w:tcBorders>
              <w:top w:val="nil"/>
              <w:left w:val="single" w:sz="4" w:space="0" w:color="auto"/>
              <w:bottom w:val="single" w:sz="4" w:space="0" w:color="auto"/>
              <w:right w:val="single" w:sz="4" w:space="0" w:color="auto"/>
            </w:tcBorders>
            <w:shd w:val="clear" w:color="auto" w:fill="E2E2E2"/>
          </w:tcPr>
          <w:p w14:paraId="495F2530" w14:textId="77777777" w:rsidR="00B603E5" w:rsidRPr="00580D63" w:rsidRDefault="00B603E5" w:rsidP="00B603E5">
            <w:pPr>
              <w:ind w:left="168" w:hanging="168"/>
              <w:rPr>
                <w:rFonts w:eastAsia="Calibri"/>
                <w:b/>
                <w:sz w:val="20"/>
                <w:szCs w:val="20"/>
                <w:lang w:eastAsia="en-US"/>
              </w:rPr>
            </w:pPr>
            <w:r w:rsidRPr="00580D63">
              <w:rPr>
                <w:rFonts w:eastAsia="Calibri"/>
                <w:b/>
                <w:sz w:val="20"/>
                <w:szCs w:val="20"/>
                <w:lang w:eastAsia="en-US"/>
              </w:rPr>
              <w:t xml:space="preserve">    vplyvy na procesy služieb vo verejnej správe</w:t>
            </w:r>
          </w:p>
        </w:tc>
        <w:tc>
          <w:tcPr>
            <w:tcW w:w="541" w:type="dxa"/>
            <w:tcBorders>
              <w:top w:val="nil"/>
              <w:left w:val="single" w:sz="4" w:space="0" w:color="auto"/>
              <w:bottom w:val="single" w:sz="4" w:space="0" w:color="auto"/>
              <w:right w:val="nil"/>
            </w:tcBorders>
            <w:shd w:val="clear" w:color="auto" w:fill="auto"/>
          </w:tcPr>
          <w:p w14:paraId="62228677" w14:textId="77777777" w:rsidR="00B603E5" w:rsidRPr="00580D63" w:rsidRDefault="00B603E5" w:rsidP="00B603E5">
            <w:pPr>
              <w:jc w:val="center"/>
              <w:rPr>
                <w:rFonts w:eastAsia="MS Mincho"/>
                <w:b/>
                <w:sz w:val="20"/>
                <w:szCs w:val="20"/>
                <w:lang w:eastAsia="en-US"/>
              </w:rPr>
            </w:pPr>
            <w:r w:rsidRPr="00580D63">
              <w:rPr>
                <w:rFonts w:ascii="Segoe UI Symbol" w:eastAsia="MS Mincho" w:hAnsi="Segoe UI Symbol" w:cs="Segoe UI Symbol"/>
                <w:b/>
                <w:sz w:val="20"/>
                <w:szCs w:val="20"/>
                <w:lang w:eastAsia="en-US"/>
              </w:rPr>
              <w:t>☐</w:t>
            </w:r>
          </w:p>
        </w:tc>
        <w:tc>
          <w:tcPr>
            <w:tcW w:w="1281" w:type="dxa"/>
            <w:tcBorders>
              <w:top w:val="nil"/>
              <w:left w:val="nil"/>
              <w:bottom w:val="single" w:sz="4" w:space="0" w:color="auto"/>
              <w:right w:val="nil"/>
            </w:tcBorders>
            <w:shd w:val="clear" w:color="auto" w:fill="auto"/>
          </w:tcPr>
          <w:p w14:paraId="618D6FE0" w14:textId="77777777" w:rsidR="00B603E5" w:rsidRPr="00580D63" w:rsidRDefault="00B603E5" w:rsidP="00B603E5">
            <w:pPr>
              <w:ind w:right="-108"/>
              <w:rPr>
                <w:rFonts w:eastAsia="Calibri"/>
                <w:b/>
                <w:sz w:val="20"/>
                <w:szCs w:val="20"/>
                <w:lang w:eastAsia="en-US"/>
              </w:rPr>
            </w:pPr>
            <w:r w:rsidRPr="00580D63">
              <w:rPr>
                <w:rFonts w:eastAsia="Calibri"/>
                <w:b/>
                <w:sz w:val="20"/>
                <w:szCs w:val="20"/>
                <w:lang w:eastAsia="en-US"/>
              </w:rPr>
              <w:t>Pozitívne</w:t>
            </w:r>
          </w:p>
        </w:tc>
        <w:sdt>
          <w:sdtPr>
            <w:rPr>
              <w:b/>
              <w:sz w:val="20"/>
              <w:szCs w:val="20"/>
              <w:lang w:eastAsia="sk-SK"/>
            </w:rPr>
            <w:id w:val="-1513526633"/>
            <w14:checkbox>
              <w14:checked w14:val="1"/>
              <w14:checkedState w14:val="2612" w14:font="MS Gothic"/>
              <w14:uncheckedState w14:val="2610" w14:font="MS Gothic"/>
            </w14:checkbox>
          </w:sdtPr>
          <w:sdtEndPr/>
          <w:sdtContent>
            <w:tc>
              <w:tcPr>
                <w:tcW w:w="569" w:type="dxa"/>
                <w:tcBorders>
                  <w:top w:val="nil"/>
                  <w:left w:val="nil"/>
                  <w:bottom w:val="single" w:sz="4" w:space="0" w:color="auto"/>
                  <w:right w:val="nil"/>
                </w:tcBorders>
                <w:shd w:val="clear" w:color="auto" w:fill="auto"/>
              </w:tcPr>
              <w:p w14:paraId="0A09CCC1" w14:textId="77777777" w:rsidR="00B603E5" w:rsidRPr="00580D63" w:rsidRDefault="00B603E5" w:rsidP="00B603E5">
                <w:pPr>
                  <w:jc w:val="center"/>
                  <w:rPr>
                    <w:rFonts w:eastAsia="MS Mincho"/>
                    <w:b/>
                    <w:sz w:val="20"/>
                    <w:szCs w:val="20"/>
                    <w:lang w:eastAsia="en-US"/>
                  </w:rPr>
                </w:pPr>
                <w:r w:rsidRPr="00580D63">
                  <w:rPr>
                    <w:rFonts w:ascii="Segoe UI Symbol" w:eastAsia="MS Gothic" w:hAnsi="Segoe UI Symbol" w:cs="Segoe UI Symbol"/>
                    <w:b/>
                    <w:sz w:val="20"/>
                    <w:szCs w:val="20"/>
                    <w:lang w:eastAsia="sk-SK"/>
                  </w:rPr>
                  <w:t>☒</w:t>
                </w:r>
              </w:p>
            </w:tc>
          </w:sdtContent>
        </w:sdt>
        <w:tc>
          <w:tcPr>
            <w:tcW w:w="1133" w:type="dxa"/>
            <w:tcBorders>
              <w:top w:val="nil"/>
              <w:left w:val="nil"/>
              <w:bottom w:val="single" w:sz="4" w:space="0" w:color="auto"/>
              <w:right w:val="nil"/>
            </w:tcBorders>
            <w:shd w:val="clear" w:color="auto" w:fill="auto"/>
          </w:tcPr>
          <w:p w14:paraId="3500BC90" w14:textId="77777777" w:rsidR="00B603E5" w:rsidRPr="00580D63" w:rsidRDefault="00B603E5" w:rsidP="00B603E5">
            <w:pPr>
              <w:rPr>
                <w:rFonts w:eastAsia="Calibri"/>
                <w:b/>
                <w:sz w:val="20"/>
                <w:szCs w:val="20"/>
                <w:lang w:eastAsia="en-US"/>
              </w:rPr>
            </w:pPr>
            <w:r w:rsidRPr="00580D63">
              <w:rPr>
                <w:rFonts w:eastAsia="Calibri"/>
                <w:b/>
                <w:sz w:val="20"/>
                <w:szCs w:val="20"/>
                <w:lang w:eastAsia="en-US"/>
              </w:rPr>
              <w:t>Žiadne</w:t>
            </w:r>
          </w:p>
        </w:tc>
        <w:tc>
          <w:tcPr>
            <w:tcW w:w="547" w:type="dxa"/>
            <w:tcBorders>
              <w:top w:val="nil"/>
              <w:left w:val="nil"/>
              <w:bottom w:val="single" w:sz="4" w:space="0" w:color="auto"/>
              <w:right w:val="nil"/>
            </w:tcBorders>
            <w:shd w:val="clear" w:color="auto" w:fill="auto"/>
          </w:tcPr>
          <w:p w14:paraId="784EBFD8" w14:textId="77777777" w:rsidR="00B603E5" w:rsidRPr="00580D63" w:rsidRDefault="00B603E5" w:rsidP="00B603E5">
            <w:pPr>
              <w:jc w:val="center"/>
              <w:rPr>
                <w:rFonts w:eastAsia="MS Mincho"/>
                <w:b/>
                <w:sz w:val="20"/>
                <w:szCs w:val="20"/>
                <w:lang w:eastAsia="en-US"/>
              </w:rPr>
            </w:pPr>
            <w:r w:rsidRPr="00580D63">
              <w:rPr>
                <w:rFonts w:ascii="Segoe UI Symbol" w:eastAsia="MS Mincho" w:hAnsi="Segoe UI Symbol" w:cs="Segoe UI Symbol"/>
                <w:b/>
                <w:sz w:val="20"/>
                <w:szCs w:val="20"/>
                <w:lang w:eastAsia="en-US"/>
              </w:rPr>
              <w:t>☐</w:t>
            </w:r>
          </w:p>
        </w:tc>
        <w:tc>
          <w:tcPr>
            <w:tcW w:w="1297" w:type="dxa"/>
            <w:tcBorders>
              <w:top w:val="nil"/>
              <w:left w:val="nil"/>
              <w:bottom w:val="single" w:sz="4" w:space="0" w:color="auto"/>
              <w:right w:val="single" w:sz="4" w:space="0" w:color="auto"/>
            </w:tcBorders>
            <w:shd w:val="clear" w:color="auto" w:fill="auto"/>
          </w:tcPr>
          <w:p w14:paraId="0022B204" w14:textId="77777777" w:rsidR="00B603E5" w:rsidRPr="00580D63" w:rsidRDefault="00B603E5" w:rsidP="00B603E5">
            <w:pPr>
              <w:ind w:left="54"/>
              <w:rPr>
                <w:rFonts w:eastAsia="Calibri"/>
                <w:b/>
                <w:sz w:val="20"/>
                <w:szCs w:val="20"/>
                <w:lang w:eastAsia="en-US"/>
              </w:rPr>
            </w:pPr>
            <w:r w:rsidRPr="00580D63">
              <w:rPr>
                <w:rFonts w:eastAsia="Calibri"/>
                <w:b/>
                <w:sz w:val="20"/>
                <w:szCs w:val="20"/>
                <w:lang w:eastAsia="en-US"/>
              </w:rPr>
              <w:t>Negatívne“</w:t>
            </w:r>
          </w:p>
        </w:tc>
      </w:tr>
      <w:tr w:rsidR="00B603E5" w:rsidRPr="00580D63" w14:paraId="31FDAC59" w14:textId="77777777" w:rsidTr="00DA58E5">
        <w:tc>
          <w:tcPr>
            <w:tcW w:w="3812" w:type="dxa"/>
            <w:tcBorders>
              <w:top w:val="single" w:sz="4" w:space="0" w:color="auto"/>
              <w:left w:val="single" w:sz="4" w:space="0" w:color="auto"/>
              <w:bottom w:val="single" w:sz="4" w:space="0" w:color="auto"/>
              <w:right w:val="single" w:sz="4" w:space="0" w:color="auto"/>
            </w:tcBorders>
            <w:shd w:val="clear" w:color="auto" w:fill="E2E2E2"/>
          </w:tcPr>
          <w:p w14:paraId="6DF7E583" w14:textId="77777777" w:rsidR="00B603E5" w:rsidRPr="00580D63" w:rsidRDefault="00B603E5" w:rsidP="00B603E5">
            <w:pPr>
              <w:ind w:left="168" w:hanging="168"/>
              <w:rPr>
                <w:rFonts w:eastAsia="Calibri"/>
                <w:b/>
                <w:sz w:val="20"/>
                <w:szCs w:val="20"/>
                <w:lang w:eastAsia="en-US"/>
              </w:rPr>
            </w:pPr>
            <w:r w:rsidRPr="00580D63">
              <w:rPr>
                <w:b/>
                <w:bCs/>
                <w:sz w:val="22"/>
                <w:szCs w:val="20"/>
                <w:lang w:eastAsia="sk-SK"/>
              </w:rPr>
              <w:t>Vplyvy na manželstvo, rodičovstvo a rodinu</w:t>
            </w:r>
          </w:p>
        </w:tc>
        <w:tc>
          <w:tcPr>
            <w:tcW w:w="541" w:type="dxa"/>
            <w:tcBorders>
              <w:top w:val="single" w:sz="4" w:space="0" w:color="auto"/>
              <w:left w:val="single" w:sz="4" w:space="0" w:color="auto"/>
              <w:bottom w:val="single" w:sz="4" w:space="0" w:color="auto"/>
              <w:right w:val="nil"/>
            </w:tcBorders>
            <w:shd w:val="clear" w:color="auto" w:fill="auto"/>
          </w:tcPr>
          <w:p w14:paraId="5A2CCBBF" w14:textId="77777777" w:rsidR="00B603E5" w:rsidRPr="00580D63" w:rsidRDefault="00B603E5" w:rsidP="00B603E5">
            <w:pPr>
              <w:jc w:val="center"/>
              <w:rPr>
                <w:rFonts w:eastAsia="MS Mincho"/>
                <w:b/>
                <w:sz w:val="20"/>
                <w:szCs w:val="20"/>
                <w:lang w:eastAsia="en-US"/>
              </w:rPr>
            </w:pPr>
            <w:r w:rsidRPr="00580D63">
              <w:rPr>
                <w:rFonts w:ascii="Segoe UI Symbol" w:eastAsia="MS Mincho" w:hAnsi="Segoe UI Symbol" w:cs="Segoe UI Symbol"/>
                <w:b/>
                <w:sz w:val="20"/>
                <w:szCs w:val="20"/>
                <w:lang w:eastAsia="en-US"/>
              </w:rPr>
              <w:t>☐</w:t>
            </w:r>
          </w:p>
        </w:tc>
        <w:tc>
          <w:tcPr>
            <w:tcW w:w="1281" w:type="dxa"/>
            <w:tcBorders>
              <w:top w:val="single" w:sz="4" w:space="0" w:color="auto"/>
              <w:left w:val="nil"/>
              <w:bottom w:val="single" w:sz="4" w:space="0" w:color="auto"/>
              <w:right w:val="nil"/>
            </w:tcBorders>
            <w:shd w:val="clear" w:color="auto" w:fill="auto"/>
          </w:tcPr>
          <w:p w14:paraId="039153A7" w14:textId="77777777" w:rsidR="00B603E5" w:rsidRPr="00580D63" w:rsidRDefault="00B603E5" w:rsidP="00B603E5">
            <w:pPr>
              <w:ind w:right="-108"/>
              <w:rPr>
                <w:rFonts w:eastAsia="Calibri"/>
                <w:b/>
                <w:sz w:val="20"/>
                <w:szCs w:val="20"/>
                <w:lang w:eastAsia="en-US"/>
              </w:rPr>
            </w:pPr>
            <w:r w:rsidRPr="00580D63">
              <w:rPr>
                <w:rFonts w:eastAsia="Calibri"/>
                <w:b/>
                <w:sz w:val="20"/>
                <w:szCs w:val="20"/>
                <w:lang w:eastAsia="en-US"/>
              </w:rPr>
              <w:t>Pozitívne</w:t>
            </w:r>
          </w:p>
        </w:tc>
        <w:sdt>
          <w:sdtPr>
            <w:rPr>
              <w:b/>
              <w:sz w:val="20"/>
              <w:szCs w:val="20"/>
              <w:lang w:eastAsia="sk-SK"/>
            </w:rPr>
            <w:id w:val="1862090728"/>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shd w:val="clear" w:color="auto" w:fill="auto"/>
              </w:tcPr>
              <w:p w14:paraId="7942EB68" w14:textId="77777777" w:rsidR="00B603E5" w:rsidRPr="00580D63" w:rsidRDefault="00B603E5" w:rsidP="00B603E5">
                <w:pPr>
                  <w:jc w:val="center"/>
                  <w:rPr>
                    <w:rFonts w:eastAsia="MS Mincho"/>
                    <w:b/>
                    <w:sz w:val="20"/>
                    <w:szCs w:val="20"/>
                    <w:lang w:eastAsia="en-US"/>
                  </w:rPr>
                </w:pPr>
                <w:r w:rsidRPr="00580D63">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shd w:val="clear" w:color="auto" w:fill="auto"/>
          </w:tcPr>
          <w:p w14:paraId="174DE866" w14:textId="77777777" w:rsidR="00B603E5" w:rsidRPr="00580D63" w:rsidRDefault="00B603E5" w:rsidP="00B603E5">
            <w:pPr>
              <w:rPr>
                <w:rFonts w:eastAsia="Calibri"/>
                <w:b/>
                <w:sz w:val="20"/>
                <w:szCs w:val="20"/>
                <w:lang w:eastAsia="en-US"/>
              </w:rPr>
            </w:pPr>
            <w:r w:rsidRPr="00580D63">
              <w:rPr>
                <w:rFonts w:eastAsia="Calibri"/>
                <w:b/>
                <w:sz w:val="20"/>
                <w:szCs w:val="20"/>
                <w:lang w:eastAsia="en-US"/>
              </w:rPr>
              <w:t>Žiadne</w:t>
            </w:r>
          </w:p>
        </w:tc>
        <w:tc>
          <w:tcPr>
            <w:tcW w:w="547" w:type="dxa"/>
            <w:tcBorders>
              <w:top w:val="single" w:sz="4" w:space="0" w:color="auto"/>
              <w:left w:val="nil"/>
              <w:bottom w:val="single" w:sz="4" w:space="0" w:color="auto"/>
              <w:right w:val="nil"/>
            </w:tcBorders>
            <w:shd w:val="clear" w:color="auto" w:fill="auto"/>
          </w:tcPr>
          <w:p w14:paraId="22D94F06" w14:textId="77777777" w:rsidR="00B603E5" w:rsidRPr="00580D63" w:rsidRDefault="00B603E5" w:rsidP="00B603E5">
            <w:pPr>
              <w:jc w:val="center"/>
              <w:rPr>
                <w:rFonts w:eastAsia="MS Mincho"/>
                <w:b/>
                <w:sz w:val="20"/>
                <w:szCs w:val="20"/>
                <w:lang w:eastAsia="en-US"/>
              </w:rPr>
            </w:pPr>
            <w:r w:rsidRPr="00580D63">
              <w:rPr>
                <w:rFonts w:ascii="Segoe UI Symbol" w:eastAsia="MS Mincho" w:hAnsi="Segoe UI Symbol" w:cs="Segoe UI Symbol"/>
                <w:b/>
                <w:sz w:val="20"/>
                <w:szCs w:val="20"/>
                <w:lang w:eastAsia="en-US"/>
              </w:rPr>
              <w:t>☐</w:t>
            </w:r>
          </w:p>
        </w:tc>
        <w:tc>
          <w:tcPr>
            <w:tcW w:w="1297" w:type="dxa"/>
            <w:tcBorders>
              <w:top w:val="single" w:sz="4" w:space="0" w:color="auto"/>
              <w:left w:val="nil"/>
              <w:bottom w:val="single" w:sz="4" w:space="0" w:color="auto"/>
              <w:right w:val="single" w:sz="4" w:space="0" w:color="auto"/>
            </w:tcBorders>
            <w:shd w:val="clear" w:color="auto" w:fill="auto"/>
          </w:tcPr>
          <w:p w14:paraId="05B954FA" w14:textId="77777777" w:rsidR="00B603E5" w:rsidRPr="00580D63" w:rsidRDefault="00B603E5" w:rsidP="00B603E5">
            <w:pPr>
              <w:ind w:left="54"/>
              <w:rPr>
                <w:rFonts w:eastAsia="Calibri"/>
                <w:b/>
                <w:sz w:val="20"/>
                <w:szCs w:val="20"/>
                <w:lang w:eastAsia="en-US"/>
              </w:rPr>
            </w:pPr>
            <w:r w:rsidRPr="00580D63">
              <w:rPr>
                <w:rFonts w:eastAsia="Calibri"/>
                <w:b/>
                <w:sz w:val="20"/>
                <w:szCs w:val="20"/>
                <w:lang w:eastAsia="en-US"/>
              </w:rPr>
              <w:t>Negatívne“</w:t>
            </w:r>
          </w:p>
        </w:tc>
      </w:tr>
    </w:tbl>
    <w:p w14:paraId="6BC9AEA4" w14:textId="77777777" w:rsidR="00B603E5" w:rsidRPr="00580D63" w:rsidRDefault="00B603E5" w:rsidP="00B603E5">
      <w:pPr>
        <w:ind w:right="141"/>
        <w:rPr>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B603E5" w:rsidRPr="00580D63" w14:paraId="6330DDE3" w14:textId="77777777" w:rsidTr="00DA58E5">
        <w:tc>
          <w:tcPr>
            <w:tcW w:w="9176" w:type="dxa"/>
            <w:tcBorders>
              <w:top w:val="single" w:sz="4" w:space="0" w:color="auto"/>
              <w:left w:val="single" w:sz="4" w:space="0" w:color="auto"/>
              <w:bottom w:val="nil"/>
              <w:right w:val="single" w:sz="4" w:space="0" w:color="auto"/>
            </w:tcBorders>
            <w:shd w:val="clear" w:color="auto" w:fill="E2E2E2"/>
          </w:tcPr>
          <w:p w14:paraId="333DC164" w14:textId="77777777" w:rsidR="00B603E5" w:rsidRPr="00580D63" w:rsidRDefault="00B603E5" w:rsidP="00B603E5">
            <w:pPr>
              <w:numPr>
                <w:ilvl w:val="0"/>
                <w:numId w:val="23"/>
              </w:numPr>
              <w:ind w:left="426"/>
              <w:contextualSpacing/>
              <w:rPr>
                <w:rFonts w:ascii="Times New Roman" w:hAnsi="Times New Roman"/>
                <w:b/>
                <w:sz w:val="22"/>
                <w:szCs w:val="22"/>
                <w:lang w:eastAsia="en-US"/>
              </w:rPr>
            </w:pPr>
            <w:r w:rsidRPr="00580D63">
              <w:rPr>
                <w:rFonts w:ascii="Times New Roman" w:hAnsi="Times New Roman"/>
                <w:b/>
                <w:sz w:val="22"/>
                <w:szCs w:val="22"/>
                <w:lang w:eastAsia="en-US"/>
              </w:rPr>
              <w:t>Poznámky</w:t>
            </w:r>
          </w:p>
        </w:tc>
      </w:tr>
      <w:tr w:rsidR="00B603E5" w:rsidRPr="00580D63" w14:paraId="75923501" w14:textId="77777777" w:rsidTr="00B603E5">
        <w:trPr>
          <w:trHeight w:val="713"/>
        </w:trPr>
        <w:tc>
          <w:tcPr>
            <w:tcW w:w="9176" w:type="dxa"/>
            <w:tcBorders>
              <w:top w:val="nil"/>
              <w:left w:val="single" w:sz="4" w:space="0" w:color="auto"/>
              <w:bottom w:val="single" w:sz="4" w:space="0" w:color="FFFFFF"/>
              <w:right w:val="single" w:sz="4" w:space="0" w:color="auto"/>
            </w:tcBorders>
            <w:shd w:val="clear" w:color="auto" w:fill="auto"/>
          </w:tcPr>
          <w:p w14:paraId="64BD2F05" w14:textId="77777777" w:rsidR="00B603E5" w:rsidRPr="00580D63" w:rsidRDefault="00B603E5" w:rsidP="00B603E5">
            <w:pPr>
              <w:rPr>
                <w:rFonts w:ascii="Times New Roman" w:hAnsi="Times New Roman"/>
                <w:i/>
                <w:sz w:val="20"/>
                <w:szCs w:val="20"/>
                <w:lang w:eastAsia="sk-SK"/>
              </w:rPr>
            </w:pPr>
            <w:r w:rsidRPr="00580D63">
              <w:rPr>
                <w:rFonts w:ascii="Times New Roman" w:hAnsi="Times New Roman"/>
                <w:i/>
                <w:sz w:val="20"/>
                <w:szCs w:val="20"/>
                <w:lang w:eastAsia="sk-SK"/>
              </w:rPr>
              <w:t>V prípade potreby uveďte doplňujúce informácie k návrhu.</w:t>
            </w:r>
          </w:p>
          <w:p w14:paraId="48C1BFB0" w14:textId="77777777" w:rsidR="00B603E5" w:rsidRPr="00580D63" w:rsidRDefault="00B603E5" w:rsidP="00B603E5">
            <w:pPr>
              <w:jc w:val="both"/>
              <w:rPr>
                <w:rFonts w:ascii="Times New Roman" w:hAnsi="Times New Roman"/>
                <w:lang w:eastAsia="en-US"/>
              </w:rPr>
            </w:pPr>
            <w:r w:rsidRPr="00580D63">
              <w:rPr>
                <w:rFonts w:ascii="Times New Roman" w:hAnsi="Times New Roman"/>
                <w:lang w:eastAsia="en-US"/>
              </w:rPr>
              <w:t xml:space="preserve">Tým, že ide o transpozíciu </w:t>
            </w:r>
            <w:r w:rsidRPr="00580D63">
              <w:rPr>
                <w:rFonts w:ascii="Times New Roman" w:hAnsi="Times New Roman"/>
                <w:szCs w:val="20"/>
                <w:lang w:eastAsia="sk-SK"/>
              </w:rPr>
              <w:t xml:space="preserve">smernice Európskeho parlamentu a Rady (EÚ) 2020/1057 a implementácie nariadenia Európskeho parlamentu a Rady (EÚ) 2020/1054 identifikované náklady majú primárne súvis so zmenami v legislatíve EÚ. </w:t>
            </w:r>
            <w:r w:rsidRPr="00580D63">
              <w:rPr>
                <w:rFonts w:ascii="Times New Roman" w:hAnsi="Times New Roman"/>
                <w:lang w:eastAsia="en-US"/>
              </w:rPr>
              <w:t xml:space="preserve">Návrh zákona môže mať pozitívny vplyv na informatizáciu a to z dôvodu, že v rámci vysielania vodičov sa budú vymieňať informácie prostredníctvom informačného systému o vnútornom trhu tzv. IMI systém, ktorý je už v súčasnosti využívaný na spoluprácu medzi členskými štátmi Európskej únie a Európskou komisiou v iných oblastiach. Prevádzkovateľom systému IMI je Európska komisia v tejto súvislosti pre Slovenskú republiku nevzniknú náklady z hľadiska informatizácie. Systém IMI nie je informačným systémom verejnej správy, z tohto dôvodu nie je ani zapísaný v centrálnom </w:t>
            </w:r>
            <w:proofErr w:type="spellStart"/>
            <w:r w:rsidRPr="00580D63">
              <w:rPr>
                <w:rFonts w:ascii="Times New Roman" w:hAnsi="Times New Roman"/>
                <w:lang w:eastAsia="en-US"/>
              </w:rPr>
              <w:t>metainformačnom</w:t>
            </w:r>
            <w:proofErr w:type="spellEnd"/>
            <w:r w:rsidRPr="00580D63">
              <w:rPr>
                <w:rFonts w:ascii="Times New Roman" w:hAnsi="Times New Roman"/>
                <w:lang w:eastAsia="en-US"/>
              </w:rPr>
              <w:t xml:space="preserve"> systéme verejnej správy.</w:t>
            </w:r>
          </w:p>
          <w:p w14:paraId="4BE399DB" w14:textId="77777777" w:rsidR="00B603E5" w:rsidRPr="00580D63" w:rsidRDefault="00B603E5" w:rsidP="00B603E5">
            <w:pPr>
              <w:rPr>
                <w:rFonts w:ascii="Times New Roman" w:hAnsi="Times New Roman"/>
                <w:sz w:val="20"/>
                <w:szCs w:val="20"/>
                <w:lang w:eastAsia="sk-SK"/>
              </w:rPr>
            </w:pPr>
          </w:p>
        </w:tc>
      </w:tr>
      <w:tr w:rsidR="00B603E5" w:rsidRPr="00580D63" w14:paraId="2F7F8BBB" w14:textId="77777777" w:rsidTr="00B603E5">
        <w:tc>
          <w:tcPr>
            <w:tcW w:w="9176" w:type="dxa"/>
            <w:tcBorders>
              <w:top w:val="single" w:sz="4" w:space="0" w:color="auto"/>
              <w:left w:val="single" w:sz="4" w:space="0" w:color="auto"/>
              <w:bottom w:val="single" w:sz="4" w:space="0" w:color="FFFFFF"/>
              <w:right w:val="single" w:sz="4" w:space="0" w:color="auto"/>
            </w:tcBorders>
            <w:shd w:val="clear" w:color="auto" w:fill="E2E2E2"/>
          </w:tcPr>
          <w:p w14:paraId="05086E63" w14:textId="77777777" w:rsidR="00B603E5" w:rsidRPr="00580D63" w:rsidRDefault="00B603E5" w:rsidP="00B603E5">
            <w:pPr>
              <w:numPr>
                <w:ilvl w:val="0"/>
                <w:numId w:val="23"/>
              </w:numPr>
              <w:ind w:left="426"/>
              <w:contextualSpacing/>
              <w:rPr>
                <w:rFonts w:ascii="Times New Roman" w:hAnsi="Times New Roman"/>
                <w:b/>
                <w:sz w:val="22"/>
                <w:szCs w:val="22"/>
                <w:lang w:eastAsia="en-US"/>
              </w:rPr>
            </w:pPr>
            <w:r w:rsidRPr="00580D63">
              <w:rPr>
                <w:rFonts w:ascii="Times New Roman" w:hAnsi="Times New Roman"/>
                <w:b/>
                <w:sz w:val="22"/>
                <w:szCs w:val="22"/>
                <w:lang w:eastAsia="en-US"/>
              </w:rPr>
              <w:t>Kontakt na spracovateľa</w:t>
            </w:r>
          </w:p>
        </w:tc>
      </w:tr>
      <w:tr w:rsidR="00B603E5" w:rsidRPr="00580D63" w14:paraId="7F444810" w14:textId="77777777" w:rsidTr="00B603E5">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B204E83" w14:textId="77777777" w:rsidR="00B603E5" w:rsidRPr="00580D63" w:rsidRDefault="00B603E5" w:rsidP="00B603E5">
            <w:pPr>
              <w:rPr>
                <w:rFonts w:ascii="Times New Roman" w:hAnsi="Times New Roman"/>
                <w:i/>
                <w:sz w:val="20"/>
                <w:szCs w:val="20"/>
                <w:lang w:eastAsia="sk-SK"/>
              </w:rPr>
            </w:pPr>
            <w:r w:rsidRPr="00580D63">
              <w:rPr>
                <w:rFonts w:ascii="Times New Roman" w:hAnsi="Times New Roman"/>
                <w:i/>
                <w:sz w:val="20"/>
                <w:szCs w:val="20"/>
                <w:lang w:eastAsia="sk-SK"/>
              </w:rPr>
              <w:t>Uveďte údaje na kontaktnú osobu, ktorú je možné kontaktovať v súvislosti s posúdením vybraných vplyvov</w:t>
            </w:r>
          </w:p>
          <w:p w14:paraId="3170DFAB" w14:textId="77777777" w:rsidR="00B603E5" w:rsidRPr="00580D63" w:rsidRDefault="00B603E5" w:rsidP="00B603E5">
            <w:pPr>
              <w:rPr>
                <w:rFonts w:ascii="Times New Roman" w:hAnsi="Times New Roman"/>
                <w:i/>
                <w:sz w:val="20"/>
                <w:szCs w:val="20"/>
                <w:lang w:eastAsia="sk-SK"/>
              </w:rPr>
            </w:pPr>
          </w:p>
          <w:p w14:paraId="5241620F" w14:textId="77777777" w:rsidR="00B603E5" w:rsidRPr="00580D63" w:rsidRDefault="00B603E5" w:rsidP="00B603E5">
            <w:pPr>
              <w:autoSpaceDE w:val="0"/>
              <w:autoSpaceDN w:val="0"/>
              <w:adjustRightInd w:val="0"/>
              <w:rPr>
                <w:rFonts w:ascii="Times New Roman" w:hAnsi="Times New Roman"/>
                <w:lang w:eastAsia="en-US"/>
              </w:rPr>
            </w:pPr>
            <w:r w:rsidRPr="00580D63">
              <w:rPr>
                <w:rFonts w:ascii="Times New Roman" w:hAnsi="Times New Roman"/>
                <w:lang w:eastAsia="en-US"/>
              </w:rPr>
              <w:t xml:space="preserve">Ing. Marek Hudec, </w:t>
            </w:r>
          </w:p>
          <w:p w14:paraId="315BC978" w14:textId="77777777" w:rsidR="00B603E5" w:rsidRPr="00580D63" w:rsidRDefault="00B603E5" w:rsidP="00B603E5">
            <w:pPr>
              <w:autoSpaceDE w:val="0"/>
              <w:autoSpaceDN w:val="0"/>
              <w:adjustRightInd w:val="0"/>
              <w:rPr>
                <w:rFonts w:ascii="Times New Roman" w:hAnsi="Times New Roman"/>
                <w:lang w:eastAsia="en-US"/>
              </w:rPr>
            </w:pPr>
            <w:r w:rsidRPr="00580D63">
              <w:rPr>
                <w:rFonts w:ascii="Times New Roman" w:hAnsi="Times New Roman"/>
                <w:lang w:eastAsia="en-US"/>
              </w:rPr>
              <w:t xml:space="preserve">Odbor cestnej dopravy MDV SR, </w:t>
            </w:r>
          </w:p>
          <w:p w14:paraId="294CC947" w14:textId="77777777" w:rsidR="00B603E5" w:rsidRPr="00580D63" w:rsidRDefault="00B603E5" w:rsidP="00B603E5">
            <w:pPr>
              <w:autoSpaceDE w:val="0"/>
              <w:autoSpaceDN w:val="0"/>
              <w:adjustRightInd w:val="0"/>
              <w:rPr>
                <w:rFonts w:ascii="Times New Roman" w:hAnsi="Times New Roman"/>
                <w:sz w:val="16"/>
                <w:szCs w:val="16"/>
                <w:lang w:eastAsia="en-US"/>
              </w:rPr>
            </w:pPr>
            <w:r w:rsidRPr="00580D63">
              <w:rPr>
                <w:rFonts w:ascii="Times New Roman" w:hAnsi="Times New Roman"/>
                <w:lang w:eastAsia="en-US"/>
              </w:rPr>
              <w:t>marek.hudec@mindop.sk</w:t>
            </w:r>
          </w:p>
          <w:p w14:paraId="01D2639E" w14:textId="77777777" w:rsidR="00B603E5" w:rsidRPr="00580D63" w:rsidRDefault="00B603E5" w:rsidP="00B603E5">
            <w:pPr>
              <w:rPr>
                <w:rFonts w:ascii="Times New Roman" w:hAnsi="Times New Roman"/>
                <w:i/>
                <w:sz w:val="20"/>
                <w:szCs w:val="20"/>
                <w:lang w:eastAsia="sk-SK"/>
              </w:rPr>
            </w:pPr>
          </w:p>
        </w:tc>
      </w:tr>
      <w:tr w:rsidR="00B603E5" w:rsidRPr="00580D63" w14:paraId="4374BBD2" w14:textId="77777777" w:rsidTr="00B603E5">
        <w:tc>
          <w:tcPr>
            <w:tcW w:w="9176" w:type="dxa"/>
            <w:tcBorders>
              <w:top w:val="single" w:sz="4" w:space="0" w:color="auto"/>
              <w:left w:val="single" w:sz="4" w:space="0" w:color="auto"/>
              <w:bottom w:val="single" w:sz="4" w:space="0" w:color="FFFFFF"/>
              <w:right w:val="single" w:sz="4" w:space="0" w:color="auto"/>
            </w:tcBorders>
            <w:shd w:val="clear" w:color="auto" w:fill="E2E2E2"/>
          </w:tcPr>
          <w:p w14:paraId="798D7955" w14:textId="77777777" w:rsidR="00B603E5" w:rsidRPr="00580D63" w:rsidRDefault="00B603E5" w:rsidP="00B603E5">
            <w:pPr>
              <w:numPr>
                <w:ilvl w:val="0"/>
                <w:numId w:val="23"/>
              </w:numPr>
              <w:ind w:left="426"/>
              <w:contextualSpacing/>
              <w:rPr>
                <w:rFonts w:ascii="Times New Roman" w:hAnsi="Times New Roman"/>
                <w:b/>
                <w:sz w:val="22"/>
                <w:szCs w:val="22"/>
                <w:lang w:eastAsia="en-US"/>
              </w:rPr>
            </w:pPr>
            <w:r w:rsidRPr="00580D63">
              <w:rPr>
                <w:rFonts w:ascii="Times New Roman" w:hAnsi="Times New Roman"/>
                <w:b/>
                <w:sz w:val="22"/>
                <w:szCs w:val="22"/>
                <w:lang w:eastAsia="en-US"/>
              </w:rPr>
              <w:t>Zdroje</w:t>
            </w:r>
          </w:p>
        </w:tc>
      </w:tr>
      <w:tr w:rsidR="00B603E5" w:rsidRPr="00580D63" w14:paraId="2D010FA7" w14:textId="77777777" w:rsidTr="00B603E5">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0565090" w14:textId="77777777" w:rsidR="00B603E5" w:rsidRPr="00580D63" w:rsidRDefault="00B603E5" w:rsidP="00B603E5">
            <w:pPr>
              <w:rPr>
                <w:rFonts w:ascii="Times New Roman" w:hAnsi="Times New Roman"/>
                <w:i/>
                <w:sz w:val="20"/>
                <w:szCs w:val="20"/>
                <w:lang w:eastAsia="sk-SK"/>
              </w:rPr>
            </w:pPr>
            <w:r w:rsidRPr="00580D63">
              <w:rPr>
                <w:rFonts w:ascii="Times New Roman" w:hAnsi="Times New Roman"/>
                <w:i/>
                <w:sz w:val="20"/>
                <w:szCs w:val="20"/>
                <w:lang w:eastAsia="sk-SK"/>
              </w:rPr>
              <w:t>Uveďte zdroje (štatistiky, prieskumy, spoluprácu s odborníkmi a iné), z ktorých ste pri vypracovávaní doložky, príp. analýz vplyvov vychádzali.</w:t>
            </w:r>
          </w:p>
          <w:p w14:paraId="3A5D8605" w14:textId="77777777" w:rsidR="00B603E5" w:rsidRPr="00580D63" w:rsidRDefault="00B603E5" w:rsidP="00B603E5">
            <w:pPr>
              <w:rPr>
                <w:rFonts w:ascii="Times New Roman" w:hAnsi="Times New Roman"/>
                <w:i/>
                <w:sz w:val="20"/>
                <w:szCs w:val="20"/>
                <w:lang w:eastAsia="sk-SK"/>
              </w:rPr>
            </w:pPr>
          </w:p>
          <w:p w14:paraId="30EB4243" w14:textId="77777777" w:rsidR="00B603E5" w:rsidRPr="00580D63" w:rsidRDefault="00B603E5" w:rsidP="00B603E5">
            <w:pPr>
              <w:jc w:val="both"/>
              <w:rPr>
                <w:rFonts w:ascii="Times New Roman" w:hAnsi="Times New Roman"/>
                <w:szCs w:val="20"/>
                <w:lang w:eastAsia="sk-SK"/>
              </w:rPr>
            </w:pPr>
            <w:r w:rsidRPr="00580D63">
              <w:rPr>
                <w:rFonts w:ascii="Times New Roman" w:hAnsi="Times New Roman"/>
                <w:szCs w:val="20"/>
                <w:lang w:eastAsia="sk-SK"/>
              </w:rPr>
              <w:t>Štatistické údaje Národného inšpektorátu práce, Prezídia policajného zboru.</w:t>
            </w:r>
          </w:p>
          <w:p w14:paraId="4C59D304" w14:textId="77777777" w:rsidR="00B603E5" w:rsidRPr="00580D63" w:rsidRDefault="00B603E5" w:rsidP="00B603E5">
            <w:pPr>
              <w:jc w:val="both"/>
              <w:rPr>
                <w:rFonts w:ascii="Times New Roman" w:hAnsi="Times New Roman"/>
                <w:b/>
                <w:sz w:val="20"/>
                <w:szCs w:val="20"/>
                <w:lang w:eastAsia="sk-SK"/>
              </w:rPr>
            </w:pPr>
            <w:r w:rsidRPr="00580D63">
              <w:rPr>
                <w:rFonts w:ascii="Times New Roman" w:hAnsi="Times New Roman"/>
                <w:szCs w:val="20"/>
                <w:lang w:eastAsia="sk-SK"/>
              </w:rPr>
              <w:t>Štatistické údaje – Jednotný informačný systém v cestnej doprave, Informačné zdroje Európskej komisie.</w:t>
            </w:r>
          </w:p>
        </w:tc>
      </w:tr>
      <w:tr w:rsidR="00B603E5" w:rsidRPr="00580D63" w14:paraId="6601D449" w14:textId="77777777" w:rsidTr="00B603E5">
        <w:tc>
          <w:tcPr>
            <w:tcW w:w="9176" w:type="dxa"/>
            <w:tcBorders>
              <w:top w:val="single" w:sz="4" w:space="0" w:color="auto"/>
              <w:left w:val="single" w:sz="4" w:space="0" w:color="auto"/>
              <w:bottom w:val="single" w:sz="4" w:space="0" w:color="FFFFFF"/>
              <w:right w:val="single" w:sz="4" w:space="0" w:color="auto"/>
            </w:tcBorders>
            <w:shd w:val="clear" w:color="auto" w:fill="E2E2E2"/>
          </w:tcPr>
          <w:p w14:paraId="1CC25349" w14:textId="77777777" w:rsidR="00B603E5" w:rsidRPr="00580D63" w:rsidRDefault="00B603E5" w:rsidP="00B603E5">
            <w:pPr>
              <w:numPr>
                <w:ilvl w:val="0"/>
                <w:numId w:val="23"/>
              </w:numPr>
              <w:ind w:left="426"/>
              <w:contextualSpacing/>
              <w:rPr>
                <w:rFonts w:ascii="Times New Roman" w:hAnsi="Times New Roman"/>
                <w:b/>
                <w:sz w:val="22"/>
                <w:szCs w:val="22"/>
                <w:lang w:eastAsia="en-US"/>
              </w:rPr>
            </w:pPr>
            <w:r w:rsidRPr="00580D63">
              <w:rPr>
                <w:rFonts w:ascii="Times New Roman" w:hAnsi="Times New Roman"/>
                <w:b/>
                <w:sz w:val="22"/>
                <w:szCs w:val="22"/>
                <w:lang w:eastAsia="en-US"/>
              </w:rPr>
              <w:t>Stanovisko Komisie pre posudzovanie vybraných vplyvov z PPK</w:t>
            </w:r>
          </w:p>
        </w:tc>
      </w:tr>
      <w:tr w:rsidR="00B603E5" w:rsidRPr="00580D63" w14:paraId="2196BF18" w14:textId="77777777" w:rsidTr="00B603E5">
        <w:tc>
          <w:tcPr>
            <w:tcW w:w="9176" w:type="dxa"/>
            <w:tcBorders>
              <w:top w:val="single" w:sz="4" w:space="0" w:color="FFFFFF"/>
              <w:left w:val="single" w:sz="4" w:space="0" w:color="auto"/>
              <w:bottom w:val="single" w:sz="4" w:space="0" w:color="auto"/>
              <w:right w:val="single" w:sz="4" w:space="0" w:color="auto"/>
            </w:tcBorders>
            <w:shd w:val="clear" w:color="auto" w:fill="FFFFFF"/>
          </w:tcPr>
          <w:p w14:paraId="6F39DA45" w14:textId="77777777" w:rsidR="00B603E5" w:rsidRPr="00580D63" w:rsidRDefault="00B603E5" w:rsidP="00B603E5">
            <w:pPr>
              <w:rPr>
                <w:rFonts w:ascii="Times New Roman" w:hAnsi="Times New Roman"/>
                <w:i/>
                <w:sz w:val="20"/>
                <w:szCs w:val="20"/>
                <w:lang w:eastAsia="sk-SK"/>
              </w:rPr>
            </w:pPr>
            <w:r w:rsidRPr="00580D63">
              <w:rPr>
                <w:rFonts w:ascii="Times New Roman" w:hAnsi="Times New Roman"/>
                <w:i/>
                <w:sz w:val="20"/>
                <w:szCs w:val="20"/>
                <w:lang w:eastAsia="sk-SK"/>
              </w:rPr>
              <w:t>Uveďte stanovisko Komisie pre posudzovanie vybraných vplyvov, ktoré Vám bolo zaslané v rámci predbežného pripomienkového konania</w:t>
            </w:r>
          </w:p>
          <w:p w14:paraId="19777C89" w14:textId="77777777" w:rsidR="00B603E5" w:rsidRPr="00580D63" w:rsidRDefault="00B603E5" w:rsidP="00B603E5">
            <w:pPr>
              <w:rPr>
                <w:rFonts w:ascii="Times New Roman" w:hAnsi="Times New Roman"/>
                <w:szCs w:val="20"/>
                <w:lang w:eastAsia="sk-SK"/>
              </w:rPr>
            </w:pPr>
          </w:p>
          <w:p w14:paraId="17F143CD" w14:textId="77777777" w:rsidR="00B603E5" w:rsidRPr="00580D63" w:rsidRDefault="00B603E5" w:rsidP="00B603E5">
            <w:pPr>
              <w:jc w:val="both"/>
              <w:rPr>
                <w:rFonts w:ascii="Times New Roman" w:hAnsi="Times New Roman"/>
                <w:sz w:val="20"/>
                <w:szCs w:val="20"/>
                <w:lang w:eastAsia="sk-SK"/>
              </w:rPr>
            </w:pPr>
            <w:r w:rsidRPr="00580D63">
              <w:rPr>
                <w:rFonts w:ascii="Times New Roman" w:hAnsi="Times New Roman"/>
                <w:b/>
                <w:bCs/>
                <w:lang w:eastAsia="sk-SK"/>
              </w:rPr>
              <w:t>II. P</w:t>
            </w:r>
            <w:r w:rsidRPr="00580D63">
              <w:rPr>
                <w:rFonts w:ascii="Times New Roman" w:hAnsi="Times New Roman"/>
                <w:b/>
                <w:lang w:eastAsia="sk-SK"/>
              </w:rPr>
              <w:t>r</w:t>
            </w:r>
            <w:r w:rsidRPr="00580D63">
              <w:rPr>
                <w:rFonts w:ascii="Times New Roman" w:hAnsi="Times New Roman"/>
                <w:b/>
                <w:bCs/>
                <w:lang w:eastAsia="sk-SK"/>
              </w:rPr>
              <w:t>ipomienky a návrhy zm</w:t>
            </w:r>
            <w:r w:rsidRPr="00580D63">
              <w:rPr>
                <w:rFonts w:ascii="Times New Roman" w:hAnsi="Times New Roman"/>
                <w:b/>
                <w:lang w:eastAsia="sk-SK"/>
              </w:rPr>
              <w:t>ie</w:t>
            </w:r>
            <w:r w:rsidRPr="00580D63">
              <w:rPr>
                <w:rFonts w:ascii="Times New Roman" w:hAnsi="Times New Roman"/>
                <w:b/>
                <w:bCs/>
                <w:lang w:eastAsia="sk-SK"/>
              </w:rPr>
              <w:t xml:space="preserve">n: </w:t>
            </w:r>
            <w:r w:rsidRPr="00580D63">
              <w:rPr>
                <w:rFonts w:ascii="Times New Roman" w:hAnsi="Times New Roman"/>
                <w:bCs/>
                <w:szCs w:val="22"/>
                <w:lang w:eastAsia="sk-SK"/>
              </w:rPr>
              <w:t>Komisia uplatňuje k materiálu nasledovné pripomienky a odporúčania:</w:t>
            </w:r>
          </w:p>
          <w:p w14:paraId="1DC2D383" w14:textId="77777777" w:rsidR="00B603E5" w:rsidRPr="00580D63" w:rsidRDefault="00B603E5" w:rsidP="00B603E5">
            <w:pPr>
              <w:tabs>
                <w:tab w:val="center" w:pos="6379"/>
              </w:tabs>
              <w:ind w:right="-2"/>
              <w:jc w:val="both"/>
              <w:rPr>
                <w:rFonts w:ascii="Times New Roman" w:hAnsi="Times New Roman"/>
                <w:bCs/>
                <w:szCs w:val="22"/>
                <w:lang w:eastAsia="sk-SK"/>
              </w:rPr>
            </w:pPr>
          </w:p>
          <w:p w14:paraId="5638F95E" w14:textId="77777777" w:rsidR="00B603E5" w:rsidRPr="00580D63" w:rsidRDefault="00B603E5" w:rsidP="00B603E5">
            <w:pPr>
              <w:tabs>
                <w:tab w:val="center" w:pos="6379"/>
              </w:tabs>
              <w:ind w:right="-2"/>
              <w:jc w:val="both"/>
              <w:rPr>
                <w:rFonts w:ascii="Times New Roman" w:hAnsi="Times New Roman"/>
                <w:b/>
                <w:bCs/>
                <w:szCs w:val="22"/>
                <w:lang w:eastAsia="sk-SK"/>
              </w:rPr>
            </w:pPr>
            <w:r w:rsidRPr="00580D63">
              <w:rPr>
                <w:rFonts w:ascii="Times New Roman" w:hAnsi="Times New Roman"/>
                <w:b/>
                <w:bCs/>
                <w:szCs w:val="22"/>
                <w:lang w:eastAsia="sk-SK"/>
              </w:rPr>
              <w:t>K doložke vybraných vplyvov</w:t>
            </w:r>
          </w:p>
          <w:p w14:paraId="62C36E80" w14:textId="77777777" w:rsidR="00B603E5" w:rsidRPr="00580D63" w:rsidRDefault="00B603E5" w:rsidP="00B603E5">
            <w:pPr>
              <w:tabs>
                <w:tab w:val="center" w:pos="6379"/>
              </w:tabs>
              <w:ind w:right="-2"/>
              <w:jc w:val="both"/>
              <w:rPr>
                <w:rFonts w:ascii="Times New Roman" w:hAnsi="Times New Roman"/>
                <w:bCs/>
                <w:szCs w:val="22"/>
                <w:lang w:eastAsia="sk-SK"/>
              </w:rPr>
            </w:pPr>
            <w:r w:rsidRPr="00580D63">
              <w:rPr>
                <w:rFonts w:ascii="Times New Roman" w:hAnsi="Times New Roman"/>
                <w:bCs/>
                <w:szCs w:val="22"/>
                <w:lang w:eastAsia="sk-SK"/>
              </w:rPr>
              <w:t xml:space="preserve">Komisia žiada predkladateľa, aby okrem rozpisu transponovaných smerníc uviedol v časti 7. Transpozícia práva EÚ aj skutočnosť, či návrh nejde nad rámec minimálnej transpozičnej povinnosti - tzv. identifikácia efektu </w:t>
            </w:r>
            <w:proofErr w:type="spellStart"/>
            <w:r w:rsidRPr="00580D63">
              <w:rPr>
                <w:rFonts w:ascii="Times New Roman" w:hAnsi="Times New Roman"/>
                <w:bCs/>
                <w:szCs w:val="22"/>
                <w:lang w:eastAsia="sk-SK"/>
              </w:rPr>
              <w:t>gold-platingu</w:t>
            </w:r>
            <w:proofErr w:type="spellEnd"/>
            <w:r w:rsidRPr="00580D63">
              <w:rPr>
                <w:rFonts w:ascii="Times New Roman" w:hAnsi="Times New Roman"/>
                <w:bCs/>
                <w:szCs w:val="22"/>
                <w:lang w:eastAsia="sk-SK"/>
              </w:rPr>
              <w:t>, a to najmä z hľadiska odôvodnenosti, resp. neodôvodnenosti jeho existencie v prípade jeho identifikácie.</w:t>
            </w:r>
          </w:p>
          <w:p w14:paraId="7E731F27" w14:textId="77777777" w:rsidR="00B603E5" w:rsidRPr="00580D63" w:rsidRDefault="00B603E5" w:rsidP="00B603E5">
            <w:pPr>
              <w:tabs>
                <w:tab w:val="center" w:pos="6379"/>
              </w:tabs>
              <w:ind w:right="-2"/>
              <w:jc w:val="both"/>
              <w:rPr>
                <w:rFonts w:ascii="Times New Roman" w:hAnsi="Times New Roman"/>
                <w:bCs/>
                <w:szCs w:val="22"/>
                <w:lang w:eastAsia="sk-SK"/>
              </w:rPr>
            </w:pPr>
          </w:p>
          <w:p w14:paraId="217F28A3" w14:textId="77777777" w:rsidR="00B603E5" w:rsidRPr="00580D63" w:rsidRDefault="00B603E5" w:rsidP="00B603E5">
            <w:pPr>
              <w:tabs>
                <w:tab w:val="center" w:pos="6379"/>
              </w:tabs>
              <w:ind w:right="-2"/>
              <w:jc w:val="both"/>
              <w:rPr>
                <w:rFonts w:ascii="Times New Roman" w:hAnsi="Times New Roman"/>
                <w:b/>
                <w:bCs/>
                <w:szCs w:val="22"/>
                <w:lang w:eastAsia="sk-SK"/>
              </w:rPr>
            </w:pPr>
            <w:r w:rsidRPr="00580D63">
              <w:rPr>
                <w:rFonts w:ascii="Times New Roman" w:hAnsi="Times New Roman"/>
                <w:b/>
                <w:bCs/>
                <w:szCs w:val="22"/>
                <w:lang w:eastAsia="sk-SK"/>
              </w:rPr>
              <w:t xml:space="preserve">MDV SR: Pripomienka akceptovaná. Doložka vybraných vplyvov bola upravená na základe pripomienok Stálej pracovnej komisie Legislatívnej rady vlády SR na posudzovanie vybraných vplyvov. </w:t>
            </w:r>
          </w:p>
          <w:p w14:paraId="2646A64B" w14:textId="77777777" w:rsidR="00B603E5" w:rsidRPr="00580D63" w:rsidRDefault="00B603E5" w:rsidP="00B603E5">
            <w:pPr>
              <w:tabs>
                <w:tab w:val="center" w:pos="6379"/>
              </w:tabs>
              <w:ind w:right="-2"/>
              <w:jc w:val="both"/>
              <w:rPr>
                <w:rFonts w:ascii="Times New Roman" w:hAnsi="Times New Roman"/>
                <w:bCs/>
                <w:szCs w:val="22"/>
                <w:lang w:eastAsia="sk-SK"/>
              </w:rPr>
            </w:pPr>
          </w:p>
          <w:p w14:paraId="7F66641C" w14:textId="77777777" w:rsidR="00B603E5" w:rsidRPr="00580D63" w:rsidRDefault="00B603E5" w:rsidP="00B603E5">
            <w:pPr>
              <w:tabs>
                <w:tab w:val="center" w:pos="6379"/>
              </w:tabs>
              <w:ind w:right="-2"/>
              <w:jc w:val="both"/>
              <w:rPr>
                <w:rFonts w:ascii="Times New Roman" w:hAnsi="Times New Roman"/>
                <w:b/>
                <w:bCs/>
                <w:szCs w:val="22"/>
                <w:lang w:eastAsia="sk-SK"/>
              </w:rPr>
            </w:pPr>
            <w:r w:rsidRPr="00580D63">
              <w:rPr>
                <w:rFonts w:ascii="Times New Roman" w:hAnsi="Times New Roman"/>
                <w:b/>
                <w:bCs/>
                <w:szCs w:val="22"/>
                <w:lang w:eastAsia="sk-SK"/>
              </w:rPr>
              <w:t>K vplyvom na podnikateľské prostredie</w:t>
            </w:r>
          </w:p>
          <w:p w14:paraId="161B7059" w14:textId="77777777" w:rsidR="00B603E5" w:rsidRPr="00580D63" w:rsidRDefault="00B603E5" w:rsidP="00B603E5">
            <w:pPr>
              <w:tabs>
                <w:tab w:val="center" w:pos="6379"/>
              </w:tabs>
              <w:ind w:right="-2"/>
              <w:jc w:val="both"/>
              <w:rPr>
                <w:rFonts w:ascii="Times New Roman" w:hAnsi="Times New Roman"/>
                <w:bCs/>
                <w:szCs w:val="22"/>
                <w:lang w:eastAsia="sk-SK"/>
              </w:rPr>
            </w:pPr>
            <w:r w:rsidRPr="00580D63">
              <w:rPr>
                <w:rFonts w:ascii="Times New Roman" w:hAnsi="Times New Roman"/>
                <w:bCs/>
                <w:szCs w:val="22"/>
                <w:lang w:eastAsia="sk-SK"/>
              </w:rPr>
              <w:t>Komisia odporúča predkladateľovi materiálu popísať a vysvetliť v Analýze vplyvov, v časti 3.3.1. Priame finančné  náklady  -  z čoho vychádzal pri uvedení pokút, či ide o odhad, alebo čerpal z minulých rokov, príp. uviesť sumu aj na 1 podnikateľský subjekt.</w:t>
            </w:r>
          </w:p>
          <w:p w14:paraId="35B1C8A5" w14:textId="77777777" w:rsidR="00B603E5" w:rsidRPr="00580D63" w:rsidRDefault="00B603E5" w:rsidP="00B603E5">
            <w:pPr>
              <w:tabs>
                <w:tab w:val="center" w:pos="6379"/>
              </w:tabs>
              <w:ind w:right="-2"/>
              <w:jc w:val="both"/>
              <w:rPr>
                <w:rFonts w:ascii="Times New Roman" w:hAnsi="Times New Roman"/>
                <w:bCs/>
                <w:szCs w:val="22"/>
                <w:lang w:eastAsia="sk-SK"/>
              </w:rPr>
            </w:pPr>
            <w:r w:rsidRPr="00580D63">
              <w:rPr>
                <w:rFonts w:ascii="Times New Roman" w:hAnsi="Times New Roman"/>
                <w:bCs/>
                <w:szCs w:val="22"/>
                <w:lang w:eastAsia="sk-SK"/>
              </w:rPr>
              <w:t> </w:t>
            </w:r>
          </w:p>
          <w:p w14:paraId="006B3245" w14:textId="77777777" w:rsidR="00B603E5" w:rsidRPr="00580D63" w:rsidRDefault="00B603E5" w:rsidP="00B603E5">
            <w:pPr>
              <w:tabs>
                <w:tab w:val="center" w:pos="6379"/>
              </w:tabs>
              <w:ind w:right="-2"/>
              <w:jc w:val="both"/>
              <w:rPr>
                <w:rFonts w:ascii="Times New Roman" w:hAnsi="Times New Roman"/>
                <w:bCs/>
                <w:szCs w:val="22"/>
                <w:lang w:eastAsia="sk-SK"/>
              </w:rPr>
            </w:pPr>
            <w:r w:rsidRPr="00580D63">
              <w:rPr>
                <w:rFonts w:ascii="Times New Roman" w:hAnsi="Times New Roman"/>
                <w:bCs/>
                <w:szCs w:val="22"/>
                <w:lang w:eastAsia="sk-SK"/>
              </w:rPr>
              <w:t>Komisia žiada o popis a vyčíslenie úspor v nadväznosti na avizovaný a v Doložke vybraných vplyvov vyznačený aj pozitívny vplyv predloženého materiálu na podnikateľské prostredie vrátane MSP.</w:t>
            </w:r>
          </w:p>
          <w:p w14:paraId="2B7429C1" w14:textId="77777777" w:rsidR="00B603E5" w:rsidRPr="00580D63" w:rsidRDefault="00B603E5" w:rsidP="00B603E5">
            <w:pPr>
              <w:tabs>
                <w:tab w:val="center" w:pos="6379"/>
              </w:tabs>
              <w:ind w:right="-2"/>
              <w:jc w:val="both"/>
              <w:rPr>
                <w:rFonts w:ascii="Times New Roman" w:hAnsi="Times New Roman"/>
                <w:bCs/>
                <w:szCs w:val="22"/>
                <w:lang w:eastAsia="sk-SK"/>
              </w:rPr>
            </w:pPr>
            <w:r w:rsidRPr="00580D63">
              <w:rPr>
                <w:rFonts w:ascii="Times New Roman" w:hAnsi="Times New Roman"/>
                <w:bCs/>
                <w:szCs w:val="22"/>
                <w:lang w:eastAsia="sk-SK"/>
              </w:rPr>
              <w:t> </w:t>
            </w:r>
          </w:p>
          <w:p w14:paraId="22729CCB" w14:textId="77777777" w:rsidR="00B603E5" w:rsidRPr="00580D63" w:rsidRDefault="00B603E5" w:rsidP="00B603E5">
            <w:pPr>
              <w:tabs>
                <w:tab w:val="center" w:pos="6379"/>
              </w:tabs>
              <w:ind w:right="-2"/>
              <w:jc w:val="both"/>
              <w:rPr>
                <w:rFonts w:ascii="Times New Roman" w:hAnsi="Times New Roman"/>
                <w:bCs/>
                <w:szCs w:val="22"/>
                <w:lang w:eastAsia="sk-SK"/>
              </w:rPr>
            </w:pPr>
            <w:r w:rsidRPr="00580D63">
              <w:rPr>
                <w:rFonts w:ascii="Times New Roman" w:hAnsi="Times New Roman"/>
                <w:bCs/>
                <w:szCs w:val="22"/>
                <w:lang w:eastAsia="sk-SK"/>
              </w:rPr>
              <w:t>V časti 3.3.3 Administratívne náklady Analýzy vplyvov na podnikateľské prostredie predkladateľ pri kalkulácií nákladov na podnikateľské prostredie okrem iného uvádza, že pri výpočtoch používa hodnotu, ktorá je, „priemerná hrubá mzda v národnom hospodárstve (835 EUR)“. Keďže podľa najnovších údajov Štatistického úradu SR dosahovala priemerná nominálna mesačná mzda v národnom hospodárstve v roku 2020 sumu 1133 eur, Komisia odporúča pri výpočtoch vychádzať z uvedenej aktuálnej sumy. Podľa aktuálnej priemernej hrubej mesačnej mzdy 1133 eur sú admin. náklady vo výške 339,84 eur (časová náročnosť 60 min., frekvencia 4x mesačne).</w:t>
            </w:r>
          </w:p>
          <w:p w14:paraId="21F5E842" w14:textId="77777777" w:rsidR="00B603E5" w:rsidRPr="00580D63" w:rsidRDefault="00B603E5" w:rsidP="00B603E5">
            <w:pPr>
              <w:tabs>
                <w:tab w:val="center" w:pos="6379"/>
              </w:tabs>
              <w:ind w:right="-2"/>
              <w:jc w:val="both"/>
              <w:rPr>
                <w:rFonts w:ascii="Times New Roman" w:hAnsi="Times New Roman"/>
                <w:bCs/>
                <w:szCs w:val="22"/>
                <w:lang w:eastAsia="sk-SK"/>
              </w:rPr>
            </w:pPr>
          </w:p>
          <w:p w14:paraId="71DBF943" w14:textId="77777777" w:rsidR="00B603E5" w:rsidRPr="00580D63" w:rsidRDefault="00B603E5" w:rsidP="00B603E5">
            <w:pPr>
              <w:tabs>
                <w:tab w:val="center" w:pos="6379"/>
              </w:tabs>
              <w:ind w:right="-2"/>
              <w:jc w:val="both"/>
              <w:rPr>
                <w:rFonts w:ascii="Times New Roman" w:hAnsi="Times New Roman"/>
                <w:b/>
                <w:bCs/>
                <w:szCs w:val="22"/>
                <w:lang w:eastAsia="sk-SK"/>
              </w:rPr>
            </w:pPr>
            <w:r w:rsidRPr="00580D63">
              <w:rPr>
                <w:rFonts w:ascii="Times New Roman" w:hAnsi="Times New Roman"/>
                <w:b/>
                <w:bCs/>
                <w:szCs w:val="22"/>
                <w:lang w:eastAsia="sk-SK"/>
              </w:rPr>
              <w:t xml:space="preserve">MDV SR: Pripomienka akceptovaná. Analýza vplyvov na podnikateľské prostredie bola upravená na základe pripomienok Stálej pracovnej komisie Legislatívnej rady vlády SR na posudzovanie vybraných vplyvov. </w:t>
            </w:r>
          </w:p>
          <w:p w14:paraId="1EF67A43" w14:textId="77777777" w:rsidR="00B603E5" w:rsidRPr="00580D63" w:rsidRDefault="00B603E5" w:rsidP="00B603E5">
            <w:pPr>
              <w:tabs>
                <w:tab w:val="center" w:pos="6379"/>
              </w:tabs>
              <w:ind w:right="-2"/>
              <w:jc w:val="both"/>
              <w:rPr>
                <w:rFonts w:ascii="Times New Roman" w:hAnsi="Times New Roman"/>
                <w:bCs/>
                <w:szCs w:val="22"/>
                <w:lang w:eastAsia="sk-SK"/>
              </w:rPr>
            </w:pPr>
          </w:p>
          <w:p w14:paraId="70BD2265" w14:textId="77777777" w:rsidR="00B603E5" w:rsidRPr="00580D63" w:rsidRDefault="00B603E5" w:rsidP="00B603E5">
            <w:pPr>
              <w:jc w:val="both"/>
              <w:rPr>
                <w:rFonts w:ascii="Times New Roman" w:hAnsi="Times New Roman"/>
                <w:b/>
                <w:lang w:eastAsia="sk-SK"/>
              </w:rPr>
            </w:pPr>
            <w:r w:rsidRPr="00580D63">
              <w:rPr>
                <w:rFonts w:ascii="Times New Roman" w:hAnsi="Times New Roman"/>
                <w:b/>
                <w:bCs/>
                <w:szCs w:val="22"/>
                <w:lang w:eastAsia="sk-SK"/>
              </w:rPr>
              <w:t>K</w:t>
            </w:r>
            <w:r w:rsidRPr="00580D63">
              <w:rPr>
                <w:rFonts w:ascii="Times New Roman" w:hAnsi="Times New Roman"/>
                <w:b/>
                <w:lang w:eastAsia="sk-SK"/>
              </w:rPr>
              <w:t> vplyvom na rozpočet verejnej správy</w:t>
            </w:r>
          </w:p>
          <w:p w14:paraId="22DD7687" w14:textId="77777777" w:rsidR="00B603E5" w:rsidRPr="00580D63" w:rsidRDefault="00B603E5" w:rsidP="00B603E5">
            <w:pPr>
              <w:spacing w:after="200" w:line="276" w:lineRule="auto"/>
              <w:contextualSpacing/>
              <w:jc w:val="both"/>
              <w:rPr>
                <w:rFonts w:ascii="Times New Roman" w:hAnsi="Times New Roman"/>
                <w:bCs/>
                <w:color w:val="000000"/>
                <w:szCs w:val="22"/>
                <w:lang w:eastAsia="sk-SK"/>
              </w:rPr>
            </w:pPr>
            <w:r w:rsidRPr="00580D63">
              <w:rPr>
                <w:rFonts w:ascii="Times New Roman" w:hAnsi="Times New Roman"/>
                <w:bCs/>
                <w:color w:val="000000"/>
                <w:szCs w:val="22"/>
                <w:lang w:eastAsia="sk-SK"/>
              </w:rPr>
              <w:t>Podľa doložky vybraných vplyvov má návrh pozitívny a negatívny vplyv na rozpočet verejnej správy. Negatívny vplyv je rozpočtovo zabezpečený. V analýze vplyvov na rozpočet verejnej správy sú vyčíslené príjmy od roku 2023  každoročne v sume 107,640 tis. eur, z toho MV SR 22,555 tis. eur a  MPSVR SR v sume 85,085 tis. eur a výdavky v roku 2023 v sume 188 tis. eur, z toho MV SR v sume 88,0 tis. eur a MPSVR SR v sume 100 tis. eur, ktorých financovanie je rozpočtovo zabezpečené v dotknutých kapitolách.</w:t>
            </w:r>
          </w:p>
          <w:p w14:paraId="2518DA02" w14:textId="77777777" w:rsidR="00B603E5" w:rsidRPr="00580D63" w:rsidRDefault="00B603E5" w:rsidP="00B603E5">
            <w:pPr>
              <w:spacing w:after="200" w:line="276" w:lineRule="auto"/>
              <w:contextualSpacing/>
              <w:jc w:val="both"/>
              <w:rPr>
                <w:rFonts w:ascii="Times New Roman" w:hAnsi="Times New Roman"/>
                <w:bCs/>
                <w:color w:val="000000"/>
                <w:szCs w:val="22"/>
                <w:lang w:eastAsia="sk-SK"/>
              </w:rPr>
            </w:pPr>
            <w:r w:rsidRPr="00580D63">
              <w:rPr>
                <w:rFonts w:ascii="Times New Roman" w:hAnsi="Times New Roman"/>
                <w:bCs/>
                <w:color w:val="000000"/>
                <w:szCs w:val="22"/>
                <w:lang w:eastAsia="sk-SK"/>
              </w:rPr>
              <w:t>V tabuľke č. 1, v riadkoch „v tom: MPSVR SR“ a“ v tom MV SR“ Komisia žiada doplniť programy.</w:t>
            </w:r>
          </w:p>
          <w:p w14:paraId="457044B6" w14:textId="77777777" w:rsidR="00B603E5" w:rsidRPr="00580D63" w:rsidRDefault="00B603E5" w:rsidP="00B603E5">
            <w:pPr>
              <w:spacing w:after="200" w:line="276" w:lineRule="auto"/>
              <w:contextualSpacing/>
              <w:jc w:val="both"/>
              <w:rPr>
                <w:rFonts w:ascii="Times New Roman" w:hAnsi="Times New Roman"/>
                <w:bCs/>
                <w:color w:val="000000"/>
                <w:szCs w:val="22"/>
                <w:lang w:eastAsia="sk-SK"/>
              </w:rPr>
            </w:pPr>
            <w:r w:rsidRPr="00580D63">
              <w:rPr>
                <w:rFonts w:ascii="Times New Roman" w:hAnsi="Times New Roman"/>
                <w:bCs/>
                <w:color w:val="000000"/>
                <w:szCs w:val="22"/>
                <w:lang w:eastAsia="sk-SK"/>
              </w:rPr>
              <w:t>V časti 2.1.1. Financovanie návrhu, v texte poslednej vety „Finančné prostriedky by mali byť zabezpečené v rámci disponibilných prostriedkov rozpočtu verejnej správy a mali by byť kryté efektívnejším výberom pokút na pozemných komunikáciách“ Komisia žiada slovné spojenie „... mali by byť kryté ...“ nahradiť slovným spojením „... budú kryté ...“.</w:t>
            </w:r>
          </w:p>
          <w:p w14:paraId="7F08C69E" w14:textId="77777777" w:rsidR="00B603E5" w:rsidRPr="00580D63" w:rsidRDefault="00B603E5" w:rsidP="00B603E5">
            <w:pPr>
              <w:tabs>
                <w:tab w:val="center" w:pos="6379"/>
              </w:tabs>
              <w:ind w:right="-2"/>
              <w:jc w:val="both"/>
              <w:rPr>
                <w:rFonts w:ascii="Times New Roman" w:hAnsi="Times New Roman"/>
                <w:b/>
                <w:bCs/>
                <w:szCs w:val="22"/>
                <w:lang w:eastAsia="sk-SK"/>
              </w:rPr>
            </w:pPr>
          </w:p>
          <w:p w14:paraId="0EB886B3" w14:textId="77777777" w:rsidR="00B603E5" w:rsidRPr="00580D63" w:rsidRDefault="00B603E5" w:rsidP="00B603E5">
            <w:pPr>
              <w:tabs>
                <w:tab w:val="center" w:pos="6379"/>
              </w:tabs>
              <w:ind w:right="-2"/>
              <w:jc w:val="both"/>
              <w:rPr>
                <w:rFonts w:ascii="Times New Roman" w:hAnsi="Times New Roman"/>
                <w:b/>
                <w:bCs/>
                <w:szCs w:val="22"/>
                <w:lang w:eastAsia="sk-SK"/>
              </w:rPr>
            </w:pPr>
            <w:r w:rsidRPr="00580D63">
              <w:rPr>
                <w:rFonts w:ascii="Times New Roman" w:hAnsi="Times New Roman"/>
                <w:b/>
                <w:bCs/>
                <w:szCs w:val="22"/>
                <w:lang w:eastAsia="sk-SK"/>
              </w:rPr>
              <w:t xml:space="preserve">MDV SR: Pripomienka akceptovaná. Analýza vplyvov na rozpočet verejnej správy bola upravená na základe pripomienok Stálej pracovnej komisie Legislatívnej rady vlády SR na posudzovanie vybraných vplyvov. </w:t>
            </w:r>
          </w:p>
          <w:p w14:paraId="581438B3" w14:textId="77777777" w:rsidR="00B603E5" w:rsidRPr="00580D63" w:rsidRDefault="00B603E5" w:rsidP="00B603E5">
            <w:pPr>
              <w:spacing w:after="200" w:line="276" w:lineRule="auto"/>
              <w:contextualSpacing/>
              <w:jc w:val="both"/>
              <w:rPr>
                <w:rFonts w:ascii="Times New Roman" w:hAnsi="Times New Roman"/>
                <w:b/>
                <w:bCs/>
                <w:color w:val="000000"/>
                <w:szCs w:val="22"/>
                <w:lang w:eastAsia="sk-SK"/>
              </w:rPr>
            </w:pPr>
          </w:p>
          <w:p w14:paraId="1AD0034C" w14:textId="77777777" w:rsidR="00B603E5" w:rsidRPr="00580D63" w:rsidRDefault="00B603E5" w:rsidP="00B603E5">
            <w:pPr>
              <w:spacing w:after="200" w:line="276" w:lineRule="auto"/>
              <w:contextualSpacing/>
              <w:jc w:val="both"/>
              <w:rPr>
                <w:rFonts w:ascii="Times New Roman" w:hAnsi="Times New Roman"/>
                <w:b/>
                <w:bCs/>
                <w:color w:val="000000"/>
                <w:szCs w:val="22"/>
                <w:lang w:eastAsia="sk-SK"/>
              </w:rPr>
            </w:pPr>
            <w:r w:rsidRPr="00580D63">
              <w:rPr>
                <w:rFonts w:ascii="Times New Roman" w:hAnsi="Times New Roman"/>
                <w:b/>
                <w:bCs/>
                <w:color w:val="000000"/>
                <w:szCs w:val="22"/>
                <w:lang w:eastAsia="sk-SK"/>
              </w:rPr>
              <w:t>K vplyvom na informatizáciu</w:t>
            </w:r>
          </w:p>
          <w:p w14:paraId="391B2D09" w14:textId="77777777" w:rsidR="00B603E5" w:rsidRPr="00580D63" w:rsidRDefault="00B603E5" w:rsidP="00B603E5">
            <w:pPr>
              <w:spacing w:after="200" w:line="276" w:lineRule="auto"/>
              <w:contextualSpacing/>
              <w:jc w:val="both"/>
              <w:rPr>
                <w:rFonts w:ascii="Times New Roman" w:hAnsi="Times New Roman"/>
                <w:bCs/>
                <w:color w:val="000000"/>
                <w:szCs w:val="22"/>
                <w:lang w:eastAsia="sk-SK"/>
              </w:rPr>
            </w:pPr>
            <w:r w:rsidRPr="00580D63">
              <w:rPr>
                <w:rFonts w:ascii="Times New Roman" w:hAnsi="Times New Roman"/>
                <w:bCs/>
                <w:color w:val="000000"/>
                <w:szCs w:val="22"/>
                <w:lang w:eastAsia="sk-SK"/>
              </w:rPr>
              <w:t>Komisia súhlasí s tým, že predmetný návrh zákona môže mať vplyv na informatizáciu spoločnosti. Komisia v tomto zmysle žiada predkladateľa o opravu analýzy vplyvov, nakoľko nie je vyplnená správne a v plnom rozsahu.</w:t>
            </w:r>
          </w:p>
          <w:p w14:paraId="629B9579" w14:textId="77777777" w:rsidR="00B603E5" w:rsidRPr="00580D63" w:rsidRDefault="00B603E5" w:rsidP="00B603E5">
            <w:pPr>
              <w:tabs>
                <w:tab w:val="center" w:pos="6379"/>
              </w:tabs>
              <w:ind w:right="-2"/>
              <w:jc w:val="both"/>
              <w:rPr>
                <w:rFonts w:ascii="Times New Roman" w:hAnsi="Times New Roman"/>
                <w:b/>
                <w:bCs/>
                <w:szCs w:val="22"/>
                <w:lang w:eastAsia="sk-SK"/>
              </w:rPr>
            </w:pPr>
          </w:p>
          <w:p w14:paraId="05C22FAF" w14:textId="77777777" w:rsidR="00B603E5" w:rsidRPr="00580D63" w:rsidRDefault="00B603E5" w:rsidP="00B603E5">
            <w:pPr>
              <w:tabs>
                <w:tab w:val="center" w:pos="6379"/>
              </w:tabs>
              <w:ind w:right="-2"/>
              <w:jc w:val="both"/>
              <w:rPr>
                <w:rFonts w:ascii="Times New Roman" w:hAnsi="Times New Roman"/>
                <w:b/>
                <w:bCs/>
                <w:szCs w:val="22"/>
                <w:lang w:eastAsia="sk-SK"/>
              </w:rPr>
            </w:pPr>
            <w:r w:rsidRPr="00580D63">
              <w:rPr>
                <w:rFonts w:ascii="Times New Roman" w:hAnsi="Times New Roman"/>
                <w:b/>
                <w:bCs/>
                <w:szCs w:val="22"/>
                <w:lang w:eastAsia="sk-SK"/>
              </w:rPr>
              <w:t>MDV SR: Pripomienka akceptovaná. Analýza vplyvov na informatizáciu bola upravená.</w:t>
            </w:r>
          </w:p>
          <w:p w14:paraId="05ABEF32" w14:textId="77777777" w:rsidR="00B603E5" w:rsidRPr="00580D63" w:rsidRDefault="00B603E5" w:rsidP="00B603E5">
            <w:pPr>
              <w:spacing w:after="200" w:line="276" w:lineRule="auto"/>
              <w:contextualSpacing/>
              <w:jc w:val="both"/>
              <w:rPr>
                <w:rFonts w:ascii="Times New Roman" w:hAnsi="Times New Roman"/>
                <w:b/>
                <w:bCs/>
                <w:color w:val="000000"/>
                <w:szCs w:val="22"/>
                <w:lang w:eastAsia="sk-SK"/>
              </w:rPr>
            </w:pPr>
          </w:p>
          <w:p w14:paraId="3004017E" w14:textId="77777777" w:rsidR="00B603E5" w:rsidRPr="00580D63" w:rsidRDefault="00B603E5" w:rsidP="00B603E5">
            <w:pPr>
              <w:spacing w:after="160" w:line="259" w:lineRule="auto"/>
              <w:rPr>
                <w:rFonts w:ascii="Times New Roman" w:hAnsi="Times New Roman"/>
                <w:b/>
                <w:bCs/>
                <w:color w:val="000000"/>
                <w:szCs w:val="22"/>
                <w:lang w:eastAsia="sk-SK"/>
              </w:rPr>
            </w:pPr>
            <w:r w:rsidRPr="00580D63">
              <w:rPr>
                <w:rFonts w:ascii="Times New Roman" w:hAnsi="Times New Roman"/>
                <w:b/>
                <w:bCs/>
                <w:color w:val="000000"/>
                <w:szCs w:val="22"/>
                <w:lang w:eastAsia="sk-SK"/>
              </w:rPr>
              <w:lastRenderedPageBreak/>
              <w:t>I</w:t>
            </w:r>
            <w:r w:rsidRPr="00580D63">
              <w:rPr>
                <w:rFonts w:ascii="Times New Roman" w:hAnsi="Times New Roman"/>
                <w:b/>
                <w:bCs/>
                <w:lang w:eastAsia="sk-SK"/>
              </w:rPr>
              <w:t xml:space="preserve">II. Záver: </w:t>
            </w:r>
            <w:r w:rsidRPr="00580D63">
              <w:rPr>
                <w:rFonts w:ascii="Times New Roman" w:hAnsi="Times New Roman"/>
                <w:lang w:eastAsia="sk-SK"/>
              </w:rPr>
              <w:t xml:space="preserve">Stála pracovná komisia na posudzovanie vybraných vplyvov vyjadruje </w:t>
            </w:r>
          </w:p>
          <w:p w14:paraId="24BA1EAF" w14:textId="77777777" w:rsidR="00B603E5" w:rsidRPr="00580D63" w:rsidRDefault="00B603E5" w:rsidP="00B603E5">
            <w:pPr>
              <w:spacing w:line="240" w:lineRule="atLeast"/>
              <w:jc w:val="center"/>
              <w:rPr>
                <w:rFonts w:ascii="Times New Roman" w:hAnsi="Times New Roman"/>
                <w:sz w:val="20"/>
                <w:szCs w:val="20"/>
                <w:lang w:eastAsia="sk-SK"/>
              </w:rPr>
            </w:pPr>
            <w:r w:rsidRPr="00580D63">
              <w:rPr>
                <w:rFonts w:ascii="Times New Roman" w:hAnsi="Times New Roman"/>
                <w:b/>
                <w:bCs/>
                <w:lang w:eastAsia="sk-SK"/>
              </w:rPr>
              <w:t>nesúhlasné stanovisko</w:t>
            </w:r>
          </w:p>
          <w:p w14:paraId="1337E63C" w14:textId="77777777" w:rsidR="00B603E5" w:rsidRPr="00580D63" w:rsidRDefault="00B603E5" w:rsidP="00B603E5">
            <w:pPr>
              <w:spacing w:line="200" w:lineRule="atLeast"/>
              <w:rPr>
                <w:rFonts w:ascii="Times New Roman" w:hAnsi="Times New Roman"/>
                <w:sz w:val="20"/>
                <w:szCs w:val="20"/>
                <w:lang w:eastAsia="sk-SK"/>
              </w:rPr>
            </w:pPr>
            <w:r w:rsidRPr="00580D63">
              <w:rPr>
                <w:rFonts w:ascii="Times New Roman" w:hAnsi="Times New Roman"/>
                <w:sz w:val="20"/>
                <w:szCs w:val="20"/>
                <w:lang w:eastAsia="sk-SK"/>
              </w:rPr>
              <w:t> </w:t>
            </w:r>
            <w:r w:rsidRPr="00580D63">
              <w:rPr>
                <w:rFonts w:ascii="Times New Roman" w:hAnsi="Times New Roman"/>
                <w:lang w:eastAsia="sk-SK"/>
              </w:rPr>
              <w:t>s materiálom predloženým na predbežné pripomienkové konanie s odporúčaním na jeho dopracovanie podľa pripomienok v bode II.</w:t>
            </w:r>
          </w:p>
          <w:p w14:paraId="62884A49" w14:textId="77777777" w:rsidR="00B603E5" w:rsidRPr="00580D63" w:rsidRDefault="00B603E5" w:rsidP="00B603E5">
            <w:pPr>
              <w:rPr>
                <w:rFonts w:ascii="Times New Roman" w:hAnsi="Times New Roman"/>
                <w:b/>
                <w:sz w:val="20"/>
                <w:szCs w:val="20"/>
                <w:lang w:eastAsia="sk-SK"/>
              </w:rPr>
            </w:pPr>
            <w:r w:rsidRPr="00580D63">
              <w:rPr>
                <w:rFonts w:ascii="Times New Roman" w:hAnsi="Times New Roman"/>
                <w:b/>
                <w:sz w:val="20"/>
                <w:szCs w:val="20"/>
                <w:lang w:eastAsia="sk-SK"/>
              </w:rPr>
              <w:t xml:space="preserve"> </w:t>
            </w:r>
          </w:p>
        </w:tc>
      </w:tr>
    </w:tbl>
    <w:p w14:paraId="2AE3D9B3" w14:textId="18EDB015" w:rsidR="00A91FB1" w:rsidRDefault="00A91FB1" w:rsidP="00A91FB1">
      <w:pPr>
        <w:jc w:val="both"/>
      </w:pPr>
    </w:p>
    <w:p w14:paraId="7188DA7C" w14:textId="6ABD43EC" w:rsidR="00A91FB1" w:rsidRDefault="00A91FB1" w:rsidP="00A91FB1">
      <w:pPr>
        <w:jc w:val="both"/>
      </w:pPr>
    </w:p>
    <w:p w14:paraId="79E39311" w14:textId="461F08CE" w:rsidR="00A91FB1" w:rsidRDefault="00A91FB1" w:rsidP="00A91FB1">
      <w:pPr>
        <w:jc w:val="both"/>
      </w:pPr>
    </w:p>
    <w:p w14:paraId="2FA19F1A" w14:textId="2A360008" w:rsidR="00871C14" w:rsidRDefault="00871C14">
      <w:r>
        <w:br w:type="page"/>
      </w:r>
    </w:p>
    <w:p w14:paraId="677D7D87" w14:textId="77777777" w:rsidR="00871C14" w:rsidRPr="00871C14" w:rsidRDefault="00871C14" w:rsidP="00871C14">
      <w:pPr>
        <w:jc w:val="center"/>
        <w:rPr>
          <w:b/>
          <w:bCs/>
          <w:sz w:val="28"/>
          <w:szCs w:val="28"/>
          <w:lang w:eastAsia="sk-SK"/>
        </w:rPr>
      </w:pPr>
      <w:r w:rsidRPr="00871C14">
        <w:rPr>
          <w:b/>
          <w:bCs/>
          <w:sz w:val="28"/>
          <w:szCs w:val="28"/>
          <w:lang w:eastAsia="sk-SK"/>
        </w:rPr>
        <w:lastRenderedPageBreak/>
        <w:t>Analýza vplyvov na rozpočet verejnej správy,</w:t>
      </w:r>
    </w:p>
    <w:p w14:paraId="54458D64" w14:textId="77777777" w:rsidR="00871C14" w:rsidRPr="00871C14" w:rsidRDefault="00871C14" w:rsidP="00871C14">
      <w:pPr>
        <w:jc w:val="center"/>
        <w:rPr>
          <w:b/>
          <w:bCs/>
          <w:sz w:val="28"/>
          <w:szCs w:val="28"/>
          <w:lang w:eastAsia="sk-SK"/>
        </w:rPr>
      </w:pPr>
      <w:r w:rsidRPr="00871C14">
        <w:rPr>
          <w:b/>
          <w:bCs/>
          <w:sz w:val="28"/>
          <w:szCs w:val="28"/>
          <w:lang w:eastAsia="sk-SK"/>
        </w:rPr>
        <w:t xml:space="preserve">na zamestnanosť vo verejnej správe a financovanie návrhu </w:t>
      </w:r>
    </w:p>
    <w:p w14:paraId="0B4E1E02" w14:textId="77777777" w:rsidR="00871C14" w:rsidRPr="00871C14" w:rsidRDefault="00871C14" w:rsidP="00871C14">
      <w:pPr>
        <w:jc w:val="right"/>
        <w:rPr>
          <w:b/>
          <w:bCs/>
          <w:lang w:eastAsia="sk-SK"/>
        </w:rPr>
      </w:pPr>
    </w:p>
    <w:p w14:paraId="4EE1DCB0" w14:textId="77777777" w:rsidR="00871C14" w:rsidRPr="00871C14" w:rsidRDefault="00871C14" w:rsidP="00871C14">
      <w:pPr>
        <w:rPr>
          <w:b/>
          <w:bCs/>
          <w:lang w:eastAsia="sk-SK"/>
        </w:rPr>
      </w:pPr>
    </w:p>
    <w:p w14:paraId="49DC1AFD" w14:textId="77777777" w:rsidR="00871C14" w:rsidRPr="00871C14" w:rsidRDefault="00871C14" w:rsidP="00871C14">
      <w:pPr>
        <w:rPr>
          <w:b/>
          <w:bCs/>
          <w:lang w:eastAsia="sk-SK"/>
        </w:rPr>
      </w:pPr>
      <w:r w:rsidRPr="00871C14">
        <w:rPr>
          <w:b/>
          <w:bCs/>
          <w:lang w:eastAsia="sk-SK"/>
        </w:rPr>
        <w:t xml:space="preserve">2.1 Zhrnutie vplyvov na rozpočet verejnej správy v návrhu </w:t>
      </w:r>
    </w:p>
    <w:p w14:paraId="1C042797" w14:textId="77777777" w:rsidR="00871C14" w:rsidRPr="00871C14" w:rsidRDefault="00871C14" w:rsidP="00871C14">
      <w:pPr>
        <w:jc w:val="right"/>
        <w:rPr>
          <w:sz w:val="20"/>
          <w:szCs w:val="20"/>
          <w:lang w:eastAsia="sk-SK"/>
        </w:rPr>
      </w:pPr>
    </w:p>
    <w:p w14:paraId="666F90DD" w14:textId="77777777" w:rsidR="00871C14" w:rsidRPr="00871C14" w:rsidRDefault="00871C14" w:rsidP="00871C14">
      <w:pPr>
        <w:jc w:val="right"/>
        <w:rPr>
          <w:sz w:val="20"/>
          <w:szCs w:val="20"/>
          <w:lang w:eastAsia="sk-SK"/>
        </w:rPr>
      </w:pPr>
      <w:r w:rsidRPr="00871C14">
        <w:rPr>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871C14" w:rsidRPr="00871C14" w14:paraId="64A56FB5" w14:textId="77777777" w:rsidTr="00871C14">
        <w:trPr>
          <w:cantSplit/>
          <w:trHeight w:val="194"/>
          <w:jc w:val="center"/>
        </w:trPr>
        <w:tc>
          <w:tcPr>
            <w:tcW w:w="4661" w:type="dxa"/>
            <w:vMerge w:val="restart"/>
            <w:shd w:val="clear" w:color="auto" w:fill="BFBFBF"/>
            <w:vAlign w:val="center"/>
          </w:tcPr>
          <w:p w14:paraId="61155349" w14:textId="77777777" w:rsidR="00871C14" w:rsidRPr="00871C14" w:rsidRDefault="00871C14" w:rsidP="00871C14">
            <w:pPr>
              <w:jc w:val="center"/>
              <w:rPr>
                <w:b/>
                <w:bCs/>
                <w:lang w:eastAsia="sk-SK"/>
              </w:rPr>
            </w:pPr>
            <w:bookmarkStart w:id="0" w:name="OLE_LINK1"/>
            <w:r w:rsidRPr="00871C14">
              <w:rPr>
                <w:b/>
                <w:bCs/>
                <w:lang w:eastAsia="sk-SK"/>
              </w:rPr>
              <w:t>Vplyvy na rozpočet verejnej správy</w:t>
            </w:r>
          </w:p>
        </w:tc>
        <w:tc>
          <w:tcPr>
            <w:tcW w:w="5068" w:type="dxa"/>
            <w:gridSpan w:val="4"/>
            <w:shd w:val="clear" w:color="auto" w:fill="BFBFBF"/>
            <w:vAlign w:val="center"/>
          </w:tcPr>
          <w:p w14:paraId="0A291208" w14:textId="77777777" w:rsidR="00871C14" w:rsidRPr="00871C14" w:rsidRDefault="00871C14" w:rsidP="00871C14">
            <w:pPr>
              <w:jc w:val="center"/>
              <w:rPr>
                <w:b/>
                <w:bCs/>
                <w:lang w:eastAsia="sk-SK"/>
              </w:rPr>
            </w:pPr>
            <w:r w:rsidRPr="00871C14">
              <w:rPr>
                <w:b/>
                <w:bCs/>
                <w:lang w:eastAsia="sk-SK"/>
              </w:rPr>
              <w:t>Vplyv na rozpočet verejnej správy (v eurách)</w:t>
            </w:r>
          </w:p>
        </w:tc>
      </w:tr>
      <w:tr w:rsidR="00871C14" w:rsidRPr="00871C14" w14:paraId="1279E06E" w14:textId="77777777" w:rsidTr="00871C14">
        <w:trPr>
          <w:cantSplit/>
          <w:trHeight w:val="70"/>
          <w:jc w:val="center"/>
        </w:trPr>
        <w:tc>
          <w:tcPr>
            <w:tcW w:w="4661" w:type="dxa"/>
            <w:vMerge/>
            <w:shd w:val="clear" w:color="auto" w:fill="BFBFBF"/>
            <w:vAlign w:val="center"/>
          </w:tcPr>
          <w:p w14:paraId="39BB5270" w14:textId="77777777" w:rsidR="00871C14" w:rsidRPr="00871C14" w:rsidRDefault="00871C14" w:rsidP="00871C14">
            <w:pPr>
              <w:jc w:val="center"/>
              <w:rPr>
                <w:b/>
                <w:bCs/>
                <w:lang w:eastAsia="sk-SK"/>
              </w:rPr>
            </w:pPr>
          </w:p>
        </w:tc>
        <w:tc>
          <w:tcPr>
            <w:tcW w:w="1267" w:type="dxa"/>
            <w:shd w:val="clear" w:color="auto" w:fill="BFBFBF"/>
            <w:vAlign w:val="center"/>
          </w:tcPr>
          <w:p w14:paraId="62566ACD" w14:textId="77777777" w:rsidR="00871C14" w:rsidRPr="00871C14" w:rsidRDefault="00871C14" w:rsidP="00871C14">
            <w:pPr>
              <w:jc w:val="center"/>
              <w:rPr>
                <w:b/>
                <w:bCs/>
                <w:lang w:eastAsia="sk-SK"/>
              </w:rPr>
            </w:pPr>
            <w:r w:rsidRPr="00871C14">
              <w:rPr>
                <w:b/>
                <w:bCs/>
                <w:lang w:eastAsia="sk-SK"/>
              </w:rPr>
              <w:t>2022</w:t>
            </w:r>
          </w:p>
        </w:tc>
        <w:tc>
          <w:tcPr>
            <w:tcW w:w="1267" w:type="dxa"/>
            <w:shd w:val="clear" w:color="auto" w:fill="BFBFBF"/>
            <w:vAlign w:val="center"/>
          </w:tcPr>
          <w:p w14:paraId="284C2BB1" w14:textId="77777777" w:rsidR="00871C14" w:rsidRPr="00871C14" w:rsidRDefault="00871C14" w:rsidP="00871C14">
            <w:pPr>
              <w:jc w:val="center"/>
              <w:rPr>
                <w:b/>
                <w:bCs/>
                <w:lang w:eastAsia="sk-SK"/>
              </w:rPr>
            </w:pPr>
            <w:r w:rsidRPr="00871C14">
              <w:rPr>
                <w:b/>
                <w:bCs/>
                <w:lang w:eastAsia="sk-SK"/>
              </w:rPr>
              <w:t>2023</w:t>
            </w:r>
          </w:p>
        </w:tc>
        <w:tc>
          <w:tcPr>
            <w:tcW w:w="1267" w:type="dxa"/>
            <w:shd w:val="clear" w:color="auto" w:fill="BFBFBF"/>
            <w:vAlign w:val="center"/>
          </w:tcPr>
          <w:p w14:paraId="0D34EA63" w14:textId="77777777" w:rsidR="00871C14" w:rsidRPr="00871C14" w:rsidRDefault="00871C14" w:rsidP="00871C14">
            <w:pPr>
              <w:jc w:val="center"/>
              <w:rPr>
                <w:b/>
                <w:bCs/>
                <w:lang w:eastAsia="sk-SK"/>
              </w:rPr>
            </w:pPr>
            <w:r w:rsidRPr="00871C14">
              <w:rPr>
                <w:b/>
                <w:bCs/>
                <w:lang w:eastAsia="sk-SK"/>
              </w:rPr>
              <w:t>2024</w:t>
            </w:r>
          </w:p>
        </w:tc>
        <w:tc>
          <w:tcPr>
            <w:tcW w:w="1267" w:type="dxa"/>
            <w:shd w:val="clear" w:color="auto" w:fill="BFBFBF"/>
            <w:vAlign w:val="center"/>
          </w:tcPr>
          <w:p w14:paraId="42109D93" w14:textId="77777777" w:rsidR="00871C14" w:rsidRPr="00871C14" w:rsidRDefault="00871C14" w:rsidP="00871C14">
            <w:pPr>
              <w:jc w:val="center"/>
              <w:rPr>
                <w:b/>
                <w:bCs/>
                <w:lang w:eastAsia="sk-SK"/>
              </w:rPr>
            </w:pPr>
            <w:r w:rsidRPr="00871C14">
              <w:rPr>
                <w:b/>
                <w:bCs/>
                <w:lang w:eastAsia="sk-SK"/>
              </w:rPr>
              <w:t>2025</w:t>
            </w:r>
          </w:p>
        </w:tc>
      </w:tr>
      <w:tr w:rsidR="00871C14" w:rsidRPr="00871C14" w14:paraId="26A4F411" w14:textId="77777777" w:rsidTr="00DA58E5">
        <w:trPr>
          <w:trHeight w:val="70"/>
          <w:jc w:val="center"/>
        </w:trPr>
        <w:tc>
          <w:tcPr>
            <w:tcW w:w="4661" w:type="dxa"/>
            <w:shd w:val="clear" w:color="auto" w:fill="C0C0C0"/>
            <w:noWrap/>
            <w:vAlign w:val="center"/>
          </w:tcPr>
          <w:p w14:paraId="68A38F23" w14:textId="77777777" w:rsidR="00871C14" w:rsidRPr="00871C14" w:rsidRDefault="00871C14" w:rsidP="00871C14">
            <w:pPr>
              <w:rPr>
                <w:lang w:eastAsia="sk-SK"/>
              </w:rPr>
            </w:pPr>
            <w:r w:rsidRPr="00871C14">
              <w:rPr>
                <w:b/>
                <w:bCs/>
                <w:lang w:eastAsia="sk-SK"/>
              </w:rPr>
              <w:t>Príjmy verejnej správy celkom</w:t>
            </w:r>
          </w:p>
        </w:tc>
        <w:tc>
          <w:tcPr>
            <w:tcW w:w="1267" w:type="dxa"/>
            <w:shd w:val="clear" w:color="auto" w:fill="C0C0C0"/>
            <w:vAlign w:val="center"/>
          </w:tcPr>
          <w:p w14:paraId="65B70DE0" w14:textId="77777777" w:rsidR="00871C14" w:rsidRPr="00871C14" w:rsidRDefault="00871C14" w:rsidP="00871C14">
            <w:pPr>
              <w:jc w:val="center"/>
              <w:rPr>
                <w:b/>
                <w:bCs/>
                <w:lang w:eastAsia="sk-SK"/>
              </w:rPr>
            </w:pPr>
            <w:r w:rsidRPr="00871C14">
              <w:rPr>
                <w:b/>
                <w:bCs/>
                <w:iCs/>
                <w:lang w:eastAsia="sk-SK"/>
              </w:rPr>
              <w:t>0</w:t>
            </w:r>
          </w:p>
        </w:tc>
        <w:tc>
          <w:tcPr>
            <w:tcW w:w="1267" w:type="dxa"/>
            <w:shd w:val="clear" w:color="auto" w:fill="C0C0C0"/>
            <w:vAlign w:val="center"/>
          </w:tcPr>
          <w:p w14:paraId="3A9C3440" w14:textId="77777777" w:rsidR="00871C14" w:rsidRPr="00871C14" w:rsidRDefault="00871C14" w:rsidP="00871C14">
            <w:pPr>
              <w:jc w:val="right"/>
              <w:rPr>
                <w:b/>
                <w:bCs/>
                <w:lang w:eastAsia="sk-SK"/>
              </w:rPr>
            </w:pPr>
            <w:r w:rsidRPr="00871C14">
              <w:rPr>
                <w:b/>
                <w:bCs/>
                <w:iCs/>
                <w:lang w:eastAsia="sk-SK"/>
              </w:rPr>
              <w:t>107 640</w:t>
            </w:r>
          </w:p>
        </w:tc>
        <w:tc>
          <w:tcPr>
            <w:tcW w:w="1267" w:type="dxa"/>
            <w:shd w:val="clear" w:color="auto" w:fill="C0C0C0"/>
            <w:vAlign w:val="center"/>
          </w:tcPr>
          <w:p w14:paraId="158D47FB" w14:textId="77777777" w:rsidR="00871C14" w:rsidRPr="00871C14" w:rsidRDefault="00871C14" w:rsidP="00871C14">
            <w:pPr>
              <w:jc w:val="right"/>
              <w:rPr>
                <w:b/>
                <w:bCs/>
                <w:lang w:eastAsia="sk-SK"/>
              </w:rPr>
            </w:pPr>
            <w:r w:rsidRPr="00871C14">
              <w:rPr>
                <w:b/>
                <w:bCs/>
                <w:iCs/>
                <w:lang w:eastAsia="sk-SK"/>
              </w:rPr>
              <w:t>107 640</w:t>
            </w:r>
          </w:p>
        </w:tc>
        <w:tc>
          <w:tcPr>
            <w:tcW w:w="1267" w:type="dxa"/>
            <w:shd w:val="clear" w:color="auto" w:fill="C0C0C0"/>
            <w:vAlign w:val="center"/>
          </w:tcPr>
          <w:p w14:paraId="680F1BA8" w14:textId="77777777" w:rsidR="00871C14" w:rsidRPr="00871C14" w:rsidRDefault="00871C14" w:rsidP="00871C14">
            <w:pPr>
              <w:jc w:val="right"/>
              <w:rPr>
                <w:b/>
                <w:bCs/>
                <w:lang w:eastAsia="sk-SK"/>
              </w:rPr>
            </w:pPr>
            <w:r w:rsidRPr="00871C14">
              <w:rPr>
                <w:b/>
                <w:bCs/>
                <w:iCs/>
                <w:lang w:eastAsia="sk-SK"/>
              </w:rPr>
              <w:t>107 640</w:t>
            </w:r>
          </w:p>
        </w:tc>
      </w:tr>
      <w:tr w:rsidR="00871C14" w:rsidRPr="00871C14" w14:paraId="72369944" w14:textId="77777777" w:rsidTr="00DA58E5">
        <w:trPr>
          <w:trHeight w:val="132"/>
          <w:jc w:val="center"/>
        </w:trPr>
        <w:tc>
          <w:tcPr>
            <w:tcW w:w="4661" w:type="dxa"/>
            <w:noWrap/>
            <w:vAlign w:val="center"/>
          </w:tcPr>
          <w:p w14:paraId="21340991" w14:textId="77777777" w:rsidR="00871C14" w:rsidRPr="00871C14" w:rsidRDefault="00871C14" w:rsidP="00871C14">
            <w:pPr>
              <w:rPr>
                <w:lang w:eastAsia="sk-SK"/>
              </w:rPr>
            </w:pPr>
            <w:r w:rsidRPr="00871C14">
              <w:rPr>
                <w:lang w:eastAsia="sk-SK"/>
              </w:rPr>
              <w:t>v tom: MPSVR SR</w:t>
            </w:r>
          </w:p>
        </w:tc>
        <w:tc>
          <w:tcPr>
            <w:tcW w:w="1267" w:type="dxa"/>
            <w:noWrap/>
            <w:vAlign w:val="center"/>
          </w:tcPr>
          <w:p w14:paraId="645FCDE6" w14:textId="77777777" w:rsidR="00871C14" w:rsidRPr="00871C14" w:rsidRDefault="00871C14" w:rsidP="00871C14">
            <w:pPr>
              <w:jc w:val="right"/>
              <w:rPr>
                <w:lang w:eastAsia="sk-SK"/>
              </w:rPr>
            </w:pPr>
            <w:r w:rsidRPr="00871C14">
              <w:rPr>
                <w:lang w:eastAsia="sk-SK"/>
              </w:rPr>
              <w:t>0</w:t>
            </w:r>
          </w:p>
        </w:tc>
        <w:tc>
          <w:tcPr>
            <w:tcW w:w="1267" w:type="dxa"/>
            <w:noWrap/>
          </w:tcPr>
          <w:p w14:paraId="4A6AE2AC" w14:textId="77777777" w:rsidR="00871C14" w:rsidRPr="00871C14" w:rsidRDefault="00871C14" w:rsidP="00871C14">
            <w:pPr>
              <w:jc w:val="right"/>
              <w:rPr>
                <w:lang w:eastAsia="sk-SK"/>
              </w:rPr>
            </w:pPr>
            <w:r w:rsidRPr="00871C14">
              <w:rPr>
                <w:lang w:eastAsia="sk-SK"/>
              </w:rPr>
              <w:t>22 555</w:t>
            </w:r>
          </w:p>
        </w:tc>
        <w:tc>
          <w:tcPr>
            <w:tcW w:w="1267" w:type="dxa"/>
            <w:noWrap/>
          </w:tcPr>
          <w:p w14:paraId="0186AC77" w14:textId="77777777" w:rsidR="00871C14" w:rsidRPr="00871C14" w:rsidRDefault="00871C14" w:rsidP="00871C14">
            <w:pPr>
              <w:jc w:val="right"/>
              <w:rPr>
                <w:lang w:eastAsia="sk-SK"/>
              </w:rPr>
            </w:pPr>
            <w:r w:rsidRPr="00871C14">
              <w:rPr>
                <w:lang w:eastAsia="sk-SK"/>
              </w:rPr>
              <w:t>22 555</w:t>
            </w:r>
          </w:p>
        </w:tc>
        <w:tc>
          <w:tcPr>
            <w:tcW w:w="1267" w:type="dxa"/>
            <w:noWrap/>
          </w:tcPr>
          <w:p w14:paraId="26930BC0" w14:textId="77777777" w:rsidR="00871C14" w:rsidRPr="00871C14" w:rsidRDefault="00871C14" w:rsidP="00871C14">
            <w:pPr>
              <w:jc w:val="right"/>
              <w:rPr>
                <w:lang w:eastAsia="sk-SK"/>
              </w:rPr>
            </w:pPr>
            <w:r w:rsidRPr="00871C14">
              <w:rPr>
                <w:lang w:eastAsia="sk-SK"/>
              </w:rPr>
              <w:t>22 555</w:t>
            </w:r>
          </w:p>
        </w:tc>
      </w:tr>
      <w:tr w:rsidR="00871C14" w:rsidRPr="00871C14" w14:paraId="3CF74B38" w14:textId="77777777" w:rsidTr="00DA58E5">
        <w:trPr>
          <w:trHeight w:val="70"/>
          <w:jc w:val="center"/>
        </w:trPr>
        <w:tc>
          <w:tcPr>
            <w:tcW w:w="4661" w:type="dxa"/>
            <w:noWrap/>
            <w:vAlign w:val="center"/>
          </w:tcPr>
          <w:p w14:paraId="33A2CD36" w14:textId="77777777" w:rsidR="00871C14" w:rsidRPr="00871C14" w:rsidRDefault="00871C14" w:rsidP="00871C14">
            <w:pPr>
              <w:rPr>
                <w:b/>
                <w:bCs/>
                <w:i/>
                <w:iCs/>
                <w:lang w:eastAsia="sk-SK"/>
              </w:rPr>
            </w:pPr>
            <w:r w:rsidRPr="00871C14">
              <w:rPr>
                <w:lang w:eastAsia="sk-SK"/>
              </w:rPr>
              <w:t>v tom: MV SR</w:t>
            </w:r>
          </w:p>
        </w:tc>
        <w:tc>
          <w:tcPr>
            <w:tcW w:w="1267" w:type="dxa"/>
            <w:noWrap/>
            <w:vAlign w:val="center"/>
          </w:tcPr>
          <w:p w14:paraId="07A76A76" w14:textId="77777777" w:rsidR="00871C14" w:rsidRPr="00871C14" w:rsidRDefault="00871C14" w:rsidP="00871C14">
            <w:pPr>
              <w:jc w:val="right"/>
              <w:rPr>
                <w:bCs/>
                <w:iCs/>
                <w:lang w:eastAsia="sk-SK"/>
              </w:rPr>
            </w:pPr>
            <w:r w:rsidRPr="00871C14">
              <w:rPr>
                <w:bCs/>
                <w:iCs/>
                <w:lang w:eastAsia="sk-SK"/>
              </w:rPr>
              <w:t>0</w:t>
            </w:r>
          </w:p>
        </w:tc>
        <w:tc>
          <w:tcPr>
            <w:tcW w:w="1267" w:type="dxa"/>
            <w:noWrap/>
            <w:vAlign w:val="center"/>
          </w:tcPr>
          <w:p w14:paraId="3CABDC2D" w14:textId="77777777" w:rsidR="00871C14" w:rsidRPr="00871C14" w:rsidRDefault="00871C14" w:rsidP="00871C14">
            <w:pPr>
              <w:jc w:val="right"/>
              <w:rPr>
                <w:bCs/>
                <w:iCs/>
                <w:lang w:eastAsia="sk-SK"/>
              </w:rPr>
            </w:pPr>
            <w:r w:rsidRPr="00871C14">
              <w:rPr>
                <w:bCs/>
                <w:iCs/>
                <w:lang w:eastAsia="sk-SK"/>
              </w:rPr>
              <w:t>85 085</w:t>
            </w:r>
          </w:p>
        </w:tc>
        <w:tc>
          <w:tcPr>
            <w:tcW w:w="1267" w:type="dxa"/>
            <w:noWrap/>
            <w:vAlign w:val="center"/>
          </w:tcPr>
          <w:p w14:paraId="282A83BD" w14:textId="77777777" w:rsidR="00871C14" w:rsidRPr="00871C14" w:rsidRDefault="00871C14" w:rsidP="00871C14">
            <w:pPr>
              <w:jc w:val="right"/>
              <w:rPr>
                <w:b/>
                <w:bCs/>
                <w:iCs/>
                <w:lang w:eastAsia="sk-SK"/>
              </w:rPr>
            </w:pPr>
            <w:r w:rsidRPr="00871C14">
              <w:rPr>
                <w:bCs/>
                <w:iCs/>
                <w:lang w:eastAsia="sk-SK"/>
              </w:rPr>
              <w:t>85 085</w:t>
            </w:r>
          </w:p>
        </w:tc>
        <w:tc>
          <w:tcPr>
            <w:tcW w:w="1267" w:type="dxa"/>
            <w:noWrap/>
            <w:vAlign w:val="center"/>
          </w:tcPr>
          <w:p w14:paraId="020CB7E4" w14:textId="77777777" w:rsidR="00871C14" w:rsidRPr="00871C14" w:rsidRDefault="00871C14" w:rsidP="00871C14">
            <w:pPr>
              <w:jc w:val="right"/>
              <w:rPr>
                <w:b/>
                <w:bCs/>
                <w:iCs/>
                <w:lang w:eastAsia="sk-SK"/>
              </w:rPr>
            </w:pPr>
            <w:r w:rsidRPr="00871C14">
              <w:rPr>
                <w:bCs/>
                <w:iCs/>
                <w:lang w:eastAsia="sk-SK"/>
              </w:rPr>
              <w:t>85 085</w:t>
            </w:r>
          </w:p>
        </w:tc>
      </w:tr>
      <w:tr w:rsidR="00871C14" w:rsidRPr="00871C14" w14:paraId="23FBB426" w14:textId="77777777" w:rsidTr="00DA58E5">
        <w:trPr>
          <w:trHeight w:val="70"/>
          <w:jc w:val="center"/>
        </w:trPr>
        <w:tc>
          <w:tcPr>
            <w:tcW w:w="4661" w:type="dxa"/>
            <w:noWrap/>
            <w:vAlign w:val="center"/>
          </w:tcPr>
          <w:p w14:paraId="760D6F52" w14:textId="77777777" w:rsidR="00871C14" w:rsidRPr="00871C14" w:rsidRDefault="00871C14" w:rsidP="00871C14">
            <w:pPr>
              <w:rPr>
                <w:b/>
                <w:bCs/>
                <w:i/>
                <w:iCs/>
                <w:lang w:eastAsia="sk-SK"/>
              </w:rPr>
            </w:pPr>
            <w:r w:rsidRPr="00871C14">
              <w:rPr>
                <w:b/>
                <w:bCs/>
                <w:i/>
                <w:iCs/>
                <w:lang w:eastAsia="sk-SK"/>
              </w:rPr>
              <w:t xml:space="preserve">z toho:  </w:t>
            </w:r>
          </w:p>
        </w:tc>
        <w:tc>
          <w:tcPr>
            <w:tcW w:w="1267" w:type="dxa"/>
            <w:noWrap/>
            <w:vAlign w:val="center"/>
          </w:tcPr>
          <w:p w14:paraId="7C7494AC" w14:textId="77777777" w:rsidR="00871C14" w:rsidRPr="00871C14" w:rsidRDefault="00871C14" w:rsidP="00871C14">
            <w:pPr>
              <w:jc w:val="right"/>
              <w:rPr>
                <w:b/>
                <w:bCs/>
                <w:iCs/>
                <w:lang w:eastAsia="sk-SK"/>
              </w:rPr>
            </w:pPr>
          </w:p>
        </w:tc>
        <w:tc>
          <w:tcPr>
            <w:tcW w:w="1267" w:type="dxa"/>
            <w:noWrap/>
            <w:vAlign w:val="center"/>
          </w:tcPr>
          <w:p w14:paraId="1F787C4E" w14:textId="77777777" w:rsidR="00871C14" w:rsidRPr="00871C14" w:rsidRDefault="00871C14" w:rsidP="00871C14">
            <w:pPr>
              <w:jc w:val="right"/>
              <w:rPr>
                <w:b/>
                <w:bCs/>
                <w:iCs/>
                <w:lang w:eastAsia="sk-SK"/>
              </w:rPr>
            </w:pPr>
          </w:p>
        </w:tc>
        <w:tc>
          <w:tcPr>
            <w:tcW w:w="1267" w:type="dxa"/>
            <w:noWrap/>
            <w:vAlign w:val="center"/>
          </w:tcPr>
          <w:p w14:paraId="6C456C83" w14:textId="77777777" w:rsidR="00871C14" w:rsidRPr="00871C14" w:rsidRDefault="00871C14" w:rsidP="00871C14">
            <w:pPr>
              <w:jc w:val="right"/>
              <w:rPr>
                <w:b/>
                <w:bCs/>
                <w:iCs/>
                <w:lang w:eastAsia="sk-SK"/>
              </w:rPr>
            </w:pPr>
          </w:p>
        </w:tc>
        <w:tc>
          <w:tcPr>
            <w:tcW w:w="1267" w:type="dxa"/>
            <w:noWrap/>
            <w:vAlign w:val="center"/>
          </w:tcPr>
          <w:p w14:paraId="3E60D5ED" w14:textId="77777777" w:rsidR="00871C14" w:rsidRPr="00871C14" w:rsidRDefault="00871C14" w:rsidP="00871C14">
            <w:pPr>
              <w:jc w:val="right"/>
              <w:rPr>
                <w:b/>
                <w:bCs/>
                <w:iCs/>
                <w:lang w:eastAsia="sk-SK"/>
              </w:rPr>
            </w:pPr>
          </w:p>
        </w:tc>
      </w:tr>
      <w:tr w:rsidR="00871C14" w:rsidRPr="00871C14" w14:paraId="7192774F" w14:textId="77777777" w:rsidTr="00DA58E5">
        <w:trPr>
          <w:trHeight w:val="125"/>
          <w:jc w:val="center"/>
        </w:trPr>
        <w:tc>
          <w:tcPr>
            <w:tcW w:w="4661" w:type="dxa"/>
            <w:noWrap/>
            <w:vAlign w:val="center"/>
          </w:tcPr>
          <w:p w14:paraId="0A3AE17C" w14:textId="77777777" w:rsidR="00871C14" w:rsidRPr="00871C14" w:rsidRDefault="00871C14" w:rsidP="00871C14">
            <w:pPr>
              <w:rPr>
                <w:b/>
                <w:bCs/>
                <w:i/>
                <w:iCs/>
                <w:lang w:eastAsia="sk-SK"/>
              </w:rPr>
            </w:pPr>
            <w:r w:rsidRPr="00871C14">
              <w:rPr>
                <w:b/>
                <w:bCs/>
                <w:i/>
                <w:iCs/>
                <w:lang w:eastAsia="sk-SK"/>
              </w:rPr>
              <w:t>- vplyv na ŠR</w:t>
            </w:r>
          </w:p>
        </w:tc>
        <w:tc>
          <w:tcPr>
            <w:tcW w:w="1267" w:type="dxa"/>
            <w:noWrap/>
            <w:vAlign w:val="center"/>
          </w:tcPr>
          <w:p w14:paraId="0FE9170F" w14:textId="77777777" w:rsidR="00871C14" w:rsidRPr="00871C14" w:rsidRDefault="00871C14" w:rsidP="00871C14">
            <w:pPr>
              <w:jc w:val="right"/>
              <w:rPr>
                <w:b/>
                <w:bCs/>
                <w:iCs/>
                <w:lang w:eastAsia="sk-SK"/>
              </w:rPr>
            </w:pPr>
            <w:r w:rsidRPr="00871C14">
              <w:rPr>
                <w:b/>
                <w:bCs/>
                <w:iCs/>
                <w:lang w:eastAsia="sk-SK"/>
              </w:rPr>
              <w:t>0</w:t>
            </w:r>
          </w:p>
        </w:tc>
        <w:tc>
          <w:tcPr>
            <w:tcW w:w="1267" w:type="dxa"/>
            <w:noWrap/>
          </w:tcPr>
          <w:p w14:paraId="7C265916" w14:textId="77777777" w:rsidR="00871C14" w:rsidRPr="00871C14" w:rsidRDefault="00871C14" w:rsidP="00871C14">
            <w:pPr>
              <w:jc w:val="right"/>
              <w:rPr>
                <w:b/>
                <w:bCs/>
                <w:i/>
                <w:iCs/>
                <w:lang w:eastAsia="sk-SK"/>
              </w:rPr>
            </w:pPr>
            <w:r w:rsidRPr="00871C14">
              <w:rPr>
                <w:b/>
                <w:bCs/>
                <w:iCs/>
                <w:lang w:eastAsia="sk-SK"/>
              </w:rPr>
              <w:t>107 640</w:t>
            </w:r>
          </w:p>
        </w:tc>
        <w:tc>
          <w:tcPr>
            <w:tcW w:w="1267" w:type="dxa"/>
            <w:noWrap/>
          </w:tcPr>
          <w:p w14:paraId="66349B7F" w14:textId="77777777" w:rsidR="00871C14" w:rsidRPr="00871C14" w:rsidRDefault="00871C14" w:rsidP="00871C14">
            <w:pPr>
              <w:jc w:val="right"/>
              <w:rPr>
                <w:b/>
                <w:bCs/>
                <w:i/>
                <w:iCs/>
                <w:lang w:eastAsia="sk-SK"/>
              </w:rPr>
            </w:pPr>
            <w:r w:rsidRPr="00871C14">
              <w:rPr>
                <w:b/>
                <w:bCs/>
                <w:iCs/>
                <w:lang w:eastAsia="sk-SK"/>
              </w:rPr>
              <w:t>107 640</w:t>
            </w:r>
          </w:p>
        </w:tc>
        <w:tc>
          <w:tcPr>
            <w:tcW w:w="1267" w:type="dxa"/>
            <w:noWrap/>
          </w:tcPr>
          <w:p w14:paraId="0B3E56BE" w14:textId="77777777" w:rsidR="00871C14" w:rsidRPr="00871C14" w:rsidRDefault="00871C14" w:rsidP="00871C14">
            <w:pPr>
              <w:jc w:val="right"/>
              <w:rPr>
                <w:b/>
                <w:bCs/>
                <w:i/>
                <w:iCs/>
                <w:lang w:eastAsia="sk-SK"/>
              </w:rPr>
            </w:pPr>
            <w:r w:rsidRPr="00871C14">
              <w:rPr>
                <w:b/>
                <w:bCs/>
                <w:iCs/>
                <w:lang w:eastAsia="sk-SK"/>
              </w:rPr>
              <w:t>107 640</w:t>
            </w:r>
          </w:p>
        </w:tc>
      </w:tr>
      <w:tr w:rsidR="00871C14" w:rsidRPr="00871C14" w14:paraId="4BA78066" w14:textId="77777777" w:rsidTr="00DA58E5">
        <w:trPr>
          <w:trHeight w:val="125"/>
          <w:jc w:val="center"/>
        </w:trPr>
        <w:tc>
          <w:tcPr>
            <w:tcW w:w="4661" w:type="dxa"/>
            <w:noWrap/>
            <w:vAlign w:val="center"/>
          </w:tcPr>
          <w:p w14:paraId="1AF80C0F" w14:textId="77777777" w:rsidR="00871C14" w:rsidRPr="00871C14" w:rsidRDefault="00871C14" w:rsidP="00871C14">
            <w:pPr>
              <w:rPr>
                <w:b/>
                <w:bCs/>
                <w:i/>
                <w:iCs/>
                <w:lang w:eastAsia="sk-SK"/>
              </w:rPr>
            </w:pPr>
            <w:r w:rsidRPr="00871C14">
              <w:rPr>
                <w:bCs/>
                <w:i/>
                <w:iCs/>
                <w:lang w:eastAsia="sk-SK"/>
              </w:rPr>
              <w:t>Rozpočtové prostriedky</w:t>
            </w:r>
          </w:p>
        </w:tc>
        <w:tc>
          <w:tcPr>
            <w:tcW w:w="1267" w:type="dxa"/>
            <w:noWrap/>
            <w:vAlign w:val="center"/>
          </w:tcPr>
          <w:p w14:paraId="38F366C1" w14:textId="77777777" w:rsidR="00871C14" w:rsidRPr="00871C14" w:rsidRDefault="00871C14" w:rsidP="00871C14">
            <w:pPr>
              <w:jc w:val="right"/>
              <w:rPr>
                <w:bCs/>
                <w:iCs/>
                <w:lang w:eastAsia="sk-SK"/>
              </w:rPr>
            </w:pPr>
            <w:r w:rsidRPr="00871C14">
              <w:rPr>
                <w:bCs/>
                <w:iCs/>
                <w:lang w:eastAsia="sk-SK"/>
              </w:rPr>
              <w:t>0</w:t>
            </w:r>
          </w:p>
        </w:tc>
        <w:tc>
          <w:tcPr>
            <w:tcW w:w="1267" w:type="dxa"/>
            <w:noWrap/>
          </w:tcPr>
          <w:p w14:paraId="6CB9C2A4" w14:textId="77777777" w:rsidR="00871C14" w:rsidRPr="00871C14" w:rsidRDefault="00871C14" w:rsidP="00871C14">
            <w:pPr>
              <w:jc w:val="right"/>
              <w:rPr>
                <w:bCs/>
                <w:iCs/>
                <w:lang w:eastAsia="sk-SK"/>
              </w:rPr>
            </w:pPr>
            <w:r w:rsidRPr="00871C14">
              <w:rPr>
                <w:bCs/>
                <w:iCs/>
                <w:lang w:eastAsia="sk-SK"/>
              </w:rPr>
              <w:t>107 640</w:t>
            </w:r>
          </w:p>
        </w:tc>
        <w:tc>
          <w:tcPr>
            <w:tcW w:w="1267" w:type="dxa"/>
            <w:noWrap/>
          </w:tcPr>
          <w:p w14:paraId="2D6D0730" w14:textId="77777777" w:rsidR="00871C14" w:rsidRPr="00871C14" w:rsidRDefault="00871C14" w:rsidP="00871C14">
            <w:pPr>
              <w:jc w:val="right"/>
              <w:rPr>
                <w:bCs/>
                <w:iCs/>
                <w:lang w:eastAsia="sk-SK"/>
              </w:rPr>
            </w:pPr>
            <w:r w:rsidRPr="00871C14">
              <w:rPr>
                <w:bCs/>
                <w:iCs/>
                <w:lang w:eastAsia="sk-SK"/>
              </w:rPr>
              <w:t>107 640</w:t>
            </w:r>
          </w:p>
        </w:tc>
        <w:tc>
          <w:tcPr>
            <w:tcW w:w="1267" w:type="dxa"/>
            <w:noWrap/>
          </w:tcPr>
          <w:p w14:paraId="4AB98EC9" w14:textId="77777777" w:rsidR="00871C14" w:rsidRPr="00871C14" w:rsidRDefault="00871C14" w:rsidP="00871C14">
            <w:pPr>
              <w:jc w:val="right"/>
              <w:rPr>
                <w:bCs/>
                <w:iCs/>
                <w:lang w:eastAsia="sk-SK"/>
              </w:rPr>
            </w:pPr>
            <w:r w:rsidRPr="00871C14">
              <w:rPr>
                <w:bCs/>
                <w:iCs/>
                <w:lang w:eastAsia="sk-SK"/>
              </w:rPr>
              <w:t>107 640</w:t>
            </w:r>
          </w:p>
        </w:tc>
      </w:tr>
      <w:tr w:rsidR="00871C14" w:rsidRPr="00871C14" w14:paraId="70E9DDEB" w14:textId="77777777" w:rsidTr="00DA58E5">
        <w:trPr>
          <w:trHeight w:val="125"/>
          <w:jc w:val="center"/>
        </w:trPr>
        <w:tc>
          <w:tcPr>
            <w:tcW w:w="4661" w:type="dxa"/>
            <w:noWrap/>
            <w:vAlign w:val="center"/>
          </w:tcPr>
          <w:p w14:paraId="73F5988D" w14:textId="77777777" w:rsidR="00871C14" w:rsidRPr="00871C14" w:rsidRDefault="00871C14" w:rsidP="00871C14">
            <w:pPr>
              <w:rPr>
                <w:bCs/>
                <w:i/>
                <w:iCs/>
                <w:lang w:eastAsia="sk-SK"/>
              </w:rPr>
            </w:pPr>
            <w:r w:rsidRPr="00871C14">
              <w:rPr>
                <w:bCs/>
                <w:i/>
                <w:iCs/>
                <w:lang w:eastAsia="sk-SK"/>
              </w:rPr>
              <w:t>EÚ zdroje</w:t>
            </w:r>
          </w:p>
        </w:tc>
        <w:tc>
          <w:tcPr>
            <w:tcW w:w="1267" w:type="dxa"/>
            <w:noWrap/>
            <w:vAlign w:val="center"/>
          </w:tcPr>
          <w:p w14:paraId="2FEA4EB6" w14:textId="77777777" w:rsidR="00871C14" w:rsidRPr="00871C14" w:rsidRDefault="00871C14" w:rsidP="00871C14">
            <w:pPr>
              <w:jc w:val="right"/>
              <w:rPr>
                <w:lang w:eastAsia="sk-SK"/>
              </w:rPr>
            </w:pPr>
            <w:r w:rsidRPr="00871C14">
              <w:rPr>
                <w:lang w:eastAsia="sk-SK"/>
              </w:rPr>
              <w:t>0</w:t>
            </w:r>
          </w:p>
        </w:tc>
        <w:tc>
          <w:tcPr>
            <w:tcW w:w="1267" w:type="dxa"/>
            <w:noWrap/>
            <w:vAlign w:val="center"/>
          </w:tcPr>
          <w:p w14:paraId="4ADA6EC3" w14:textId="77777777" w:rsidR="00871C14" w:rsidRPr="00871C14" w:rsidRDefault="00871C14" w:rsidP="00871C14">
            <w:pPr>
              <w:jc w:val="right"/>
              <w:rPr>
                <w:lang w:eastAsia="sk-SK"/>
              </w:rPr>
            </w:pPr>
            <w:r w:rsidRPr="00871C14">
              <w:rPr>
                <w:lang w:eastAsia="sk-SK"/>
              </w:rPr>
              <w:t xml:space="preserve"> 0</w:t>
            </w:r>
          </w:p>
        </w:tc>
        <w:tc>
          <w:tcPr>
            <w:tcW w:w="1267" w:type="dxa"/>
            <w:noWrap/>
            <w:vAlign w:val="center"/>
          </w:tcPr>
          <w:p w14:paraId="38D81617" w14:textId="77777777" w:rsidR="00871C14" w:rsidRPr="00871C14" w:rsidRDefault="00871C14" w:rsidP="00871C14">
            <w:pPr>
              <w:jc w:val="right"/>
              <w:rPr>
                <w:lang w:eastAsia="sk-SK"/>
              </w:rPr>
            </w:pPr>
            <w:r w:rsidRPr="00871C14">
              <w:rPr>
                <w:lang w:eastAsia="sk-SK"/>
              </w:rPr>
              <w:t>0</w:t>
            </w:r>
          </w:p>
        </w:tc>
        <w:tc>
          <w:tcPr>
            <w:tcW w:w="1267" w:type="dxa"/>
            <w:noWrap/>
            <w:vAlign w:val="center"/>
          </w:tcPr>
          <w:p w14:paraId="54D455BC" w14:textId="77777777" w:rsidR="00871C14" w:rsidRPr="00871C14" w:rsidRDefault="00871C14" w:rsidP="00871C14">
            <w:pPr>
              <w:jc w:val="right"/>
              <w:rPr>
                <w:lang w:eastAsia="sk-SK"/>
              </w:rPr>
            </w:pPr>
            <w:r w:rsidRPr="00871C14">
              <w:rPr>
                <w:lang w:eastAsia="sk-SK"/>
              </w:rPr>
              <w:t>0</w:t>
            </w:r>
          </w:p>
        </w:tc>
      </w:tr>
      <w:tr w:rsidR="00871C14" w:rsidRPr="00871C14" w14:paraId="1B4E8F09" w14:textId="77777777" w:rsidTr="00DA58E5">
        <w:trPr>
          <w:trHeight w:val="125"/>
          <w:jc w:val="center"/>
        </w:trPr>
        <w:tc>
          <w:tcPr>
            <w:tcW w:w="4661" w:type="dxa"/>
            <w:noWrap/>
            <w:vAlign w:val="center"/>
          </w:tcPr>
          <w:p w14:paraId="56F36B4B" w14:textId="77777777" w:rsidR="00871C14" w:rsidRPr="00871C14" w:rsidRDefault="00871C14" w:rsidP="00871C14">
            <w:pPr>
              <w:rPr>
                <w:b/>
                <w:bCs/>
                <w:i/>
                <w:iCs/>
                <w:lang w:eastAsia="sk-SK"/>
              </w:rPr>
            </w:pPr>
            <w:r w:rsidRPr="00871C14">
              <w:rPr>
                <w:b/>
                <w:bCs/>
                <w:i/>
                <w:iCs/>
                <w:lang w:eastAsia="sk-SK"/>
              </w:rPr>
              <w:t>- vplyv na obce</w:t>
            </w:r>
          </w:p>
        </w:tc>
        <w:tc>
          <w:tcPr>
            <w:tcW w:w="1267" w:type="dxa"/>
            <w:noWrap/>
            <w:vAlign w:val="center"/>
          </w:tcPr>
          <w:p w14:paraId="5367FDE0" w14:textId="77777777" w:rsidR="00871C14" w:rsidRPr="00871C14" w:rsidRDefault="00871C14" w:rsidP="00871C14">
            <w:pPr>
              <w:jc w:val="right"/>
              <w:rPr>
                <w:b/>
                <w:bCs/>
                <w:iCs/>
                <w:lang w:eastAsia="sk-SK"/>
              </w:rPr>
            </w:pPr>
            <w:r w:rsidRPr="00871C14">
              <w:rPr>
                <w:b/>
                <w:bCs/>
                <w:iCs/>
                <w:lang w:eastAsia="sk-SK"/>
              </w:rPr>
              <w:t>0</w:t>
            </w:r>
          </w:p>
        </w:tc>
        <w:tc>
          <w:tcPr>
            <w:tcW w:w="1267" w:type="dxa"/>
            <w:noWrap/>
            <w:vAlign w:val="center"/>
          </w:tcPr>
          <w:p w14:paraId="57836E37" w14:textId="77777777" w:rsidR="00871C14" w:rsidRPr="00871C14" w:rsidRDefault="00871C14" w:rsidP="00871C14">
            <w:pPr>
              <w:jc w:val="right"/>
              <w:rPr>
                <w:b/>
                <w:bCs/>
                <w:iCs/>
                <w:lang w:eastAsia="sk-SK"/>
              </w:rPr>
            </w:pPr>
            <w:r w:rsidRPr="00871C14">
              <w:rPr>
                <w:b/>
                <w:bCs/>
                <w:iCs/>
                <w:lang w:eastAsia="sk-SK"/>
              </w:rPr>
              <w:t>0</w:t>
            </w:r>
          </w:p>
        </w:tc>
        <w:tc>
          <w:tcPr>
            <w:tcW w:w="1267" w:type="dxa"/>
            <w:noWrap/>
            <w:vAlign w:val="center"/>
          </w:tcPr>
          <w:p w14:paraId="682806C6" w14:textId="77777777" w:rsidR="00871C14" w:rsidRPr="00871C14" w:rsidRDefault="00871C14" w:rsidP="00871C14">
            <w:pPr>
              <w:jc w:val="right"/>
              <w:rPr>
                <w:b/>
                <w:bCs/>
                <w:iCs/>
                <w:lang w:eastAsia="sk-SK"/>
              </w:rPr>
            </w:pPr>
            <w:r w:rsidRPr="00871C14">
              <w:rPr>
                <w:b/>
                <w:bCs/>
                <w:iCs/>
                <w:lang w:eastAsia="sk-SK"/>
              </w:rPr>
              <w:t>0</w:t>
            </w:r>
          </w:p>
        </w:tc>
        <w:tc>
          <w:tcPr>
            <w:tcW w:w="1267" w:type="dxa"/>
            <w:noWrap/>
            <w:vAlign w:val="center"/>
          </w:tcPr>
          <w:p w14:paraId="6298CF1E" w14:textId="77777777" w:rsidR="00871C14" w:rsidRPr="00871C14" w:rsidRDefault="00871C14" w:rsidP="00871C14">
            <w:pPr>
              <w:jc w:val="right"/>
              <w:rPr>
                <w:b/>
                <w:bCs/>
                <w:iCs/>
                <w:lang w:eastAsia="sk-SK"/>
              </w:rPr>
            </w:pPr>
            <w:r w:rsidRPr="00871C14">
              <w:rPr>
                <w:b/>
                <w:bCs/>
                <w:iCs/>
                <w:lang w:eastAsia="sk-SK"/>
              </w:rPr>
              <w:t>0</w:t>
            </w:r>
          </w:p>
        </w:tc>
      </w:tr>
      <w:tr w:rsidR="00871C14" w:rsidRPr="00871C14" w14:paraId="04CA4481" w14:textId="77777777" w:rsidTr="00DA58E5">
        <w:trPr>
          <w:trHeight w:val="125"/>
          <w:jc w:val="center"/>
        </w:trPr>
        <w:tc>
          <w:tcPr>
            <w:tcW w:w="4661" w:type="dxa"/>
            <w:noWrap/>
            <w:vAlign w:val="center"/>
          </w:tcPr>
          <w:p w14:paraId="2FD21DA5" w14:textId="77777777" w:rsidR="00871C14" w:rsidRPr="00871C14" w:rsidRDefault="00871C14" w:rsidP="00871C14">
            <w:pPr>
              <w:rPr>
                <w:b/>
                <w:bCs/>
                <w:i/>
                <w:iCs/>
                <w:lang w:eastAsia="sk-SK"/>
              </w:rPr>
            </w:pPr>
            <w:r w:rsidRPr="00871C14">
              <w:rPr>
                <w:b/>
                <w:bCs/>
                <w:i/>
                <w:iCs/>
                <w:lang w:eastAsia="sk-SK"/>
              </w:rPr>
              <w:t>- vplyv na vyššie územné celky</w:t>
            </w:r>
          </w:p>
        </w:tc>
        <w:tc>
          <w:tcPr>
            <w:tcW w:w="1267" w:type="dxa"/>
            <w:noWrap/>
            <w:vAlign w:val="center"/>
          </w:tcPr>
          <w:p w14:paraId="2AC80076" w14:textId="77777777" w:rsidR="00871C14" w:rsidRPr="00871C14" w:rsidRDefault="00871C14" w:rsidP="00871C14">
            <w:pPr>
              <w:jc w:val="right"/>
              <w:rPr>
                <w:b/>
                <w:bCs/>
                <w:iCs/>
                <w:lang w:eastAsia="sk-SK"/>
              </w:rPr>
            </w:pPr>
            <w:r w:rsidRPr="00871C14">
              <w:rPr>
                <w:b/>
                <w:bCs/>
                <w:iCs/>
                <w:lang w:eastAsia="sk-SK"/>
              </w:rPr>
              <w:t>0</w:t>
            </w:r>
          </w:p>
        </w:tc>
        <w:tc>
          <w:tcPr>
            <w:tcW w:w="1267" w:type="dxa"/>
            <w:noWrap/>
            <w:vAlign w:val="center"/>
          </w:tcPr>
          <w:p w14:paraId="55C66736" w14:textId="77777777" w:rsidR="00871C14" w:rsidRPr="00871C14" w:rsidRDefault="00871C14" w:rsidP="00871C14">
            <w:pPr>
              <w:jc w:val="right"/>
              <w:rPr>
                <w:b/>
                <w:bCs/>
                <w:iCs/>
                <w:lang w:eastAsia="sk-SK"/>
              </w:rPr>
            </w:pPr>
            <w:r w:rsidRPr="00871C14">
              <w:rPr>
                <w:b/>
                <w:bCs/>
                <w:iCs/>
                <w:lang w:eastAsia="sk-SK"/>
              </w:rPr>
              <w:t>0</w:t>
            </w:r>
          </w:p>
        </w:tc>
        <w:tc>
          <w:tcPr>
            <w:tcW w:w="1267" w:type="dxa"/>
            <w:noWrap/>
            <w:vAlign w:val="center"/>
          </w:tcPr>
          <w:p w14:paraId="3772733C" w14:textId="77777777" w:rsidR="00871C14" w:rsidRPr="00871C14" w:rsidRDefault="00871C14" w:rsidP="00871C14">
            <w:pPr>
              <w:jc w:val="right"/>
              <w:rPr>
                <w:b/>
                <w:bCs/>
                <w:iCs/>
                <w:lang w:eastAsia="sk-SK"/>
              </w:rPr>
            </w:pPr>
            <w:r w:rsidRPr="00871C14">
              <w:rPr>
                <w:b/>
                <w:bCs/>
                <w:iCs/>
                <w:lang w:eastAsia="sk-SK"/>
              </w:rPr>
              <w:t>0</w:t>
            </w:r>
          </w:p>
        </w:tc>
        <w:tc>
          <w:tcPr>
            <w:tcW w:w="1267" w:type="dxa"/>
            <w:noWrap/>
            <w:vAlign w:val="center"/>
          </w:tcPr>
          <w:p w14:paraId="3CBB9EDC" w14:textId="77777777" w:rsidR="00871C14" w:rsidRPr="00871C14" w:rsidRDefault="00871C14" w:rsidP="00871C14">
            <w:pPr>
              <w:jc w:val="right"/>
              <w:rPr>
                <w:b/>
                <w:bCs/>
                <w:iCs/>
                <w:lang w:eastAsia="sk-SK"/>
              </w:rPr>
            </w:pPr>
            <w:r w:rsidRPr="00871C14">
              <w:rPr>
                <w:b/>
                <w:bCs/>
                <w:iCs/>
                <w:lang w:eastAsia="sk-SK"/>
              </w:rPr>
              <w:t>0</w:t>
            </w:r>
          </w:p>
        </w:tc>
      </w:tr>
      <w:tr w:rsidR="00871C14" w:rsidRPr="00871C14" w14:paraId="08F7848D" w14:textId="77777777" w:rsidTr="00DA58E5">
        <w:trPr>
          <w:trHeight w:val="125"/>
          <w:jc w:val="center"/>
        </w:trPr>
        <w:tc>
          <w:tcPr>
            <w:tcW w:w="4661" w:type="dxa"/>
            <w:noWrap/>
            <w:vAlign w:val="center"/>
          </w:tcPr>
          <w:p w14:paraId="5EB2AF86" w14:textId="77777777" w:rsidR="00871C14" w:rsidRPr="00871C14" w:rsidRDefault="00871C14" w:rsidP="00871C14">
            <w:pPr>
              <w:rPr>
                <w:b/>
                <w:bCs/>
                <w:i/>
                <w:iCs/>
                <w:lang w:eastAsia="sk-SK"/>
              </w:rPr>
            </w:pPr>
            <w:r w:rsidRPr="00871C14">
              <w:rPr>
                <w:b/>
                <w:bCs/>
                <w:i/>
                <w:iCs/>
                <w:lang w:eastAsia="sk-SK"/>
              </w:rPr>
              <w:t>- vplyv na ostatné subjekty verejnej správy</w:t>
            </w:r>
          </w:p>
        </w:tc>
        <w:tc>
          <w:tcPr>
            <w:tcW w:w="1267" w:type="dxa"/>
            <w:noWrap/>
            <w:vAlign w:val="center"/>
          </w:tcPr>
          <w:p w14:paraId="08049D65" w14:textId="77777777" w:rsidR="00871C14" w:rsidRPr="00871C14" w:rsidRDefault="00871C14" w:rsidP="00871C14">
            <w:pPr>
              <w:jc w:val="right"/>
              <w:rPr>
                <w:b/>
                <w:bCs/>
                <w:iCs/>
                <w:lang w:eastAsia="sk-SK"/>
              </w:rPr>
            </w:pPr>
            <w:r w:rsidRPr="00871C14">
              <w:rPr>
                <w:b/>
                <w:bCs/>
                <w:iCs/>
                <w:lang w:eastAsia="sk-SK"/>
              </w:rPr>
              <w:t>0</w:t>
            </w:r>
          </w:p>
        </w:tc>
        <w:tc>
          <w:tcPr>
            <w:tcW w:w="1267" w:type="dxa"/>
            <w:noWrap/>
            <w:vAlign w:val="center"/>
          </w:tcPr>
          <w:p w14:paraId="3416ECE1" w14:textId="77777777" w:rsidR="00871C14" w:rsidRPr="00871C14" w:rsidRDefault="00871C14" w:rsidP="00871C14">
            <w:pPr>
              <w:jc w:val="right"/>
              <w:rPr>
                <w:b/>
                <w:bCs/>
                <w:iCs/>
                <w:lang w:eastAsia="sk-SK"/>
              </w:rPr>
            </w:pPr>
            <w:r w:rsidRPr="00871C14">
              <w:rPr>
                <w:b/>
                <w:bCs/>
                <w:iCs/>
                <w:lang w:eastAsia="sk-SK"/>
              </w:rPr>
              <w:t>0</w:t>
            </w:r>
          </w:p>
        </w:tc>
        <w:tc>
          <w:tcPr>
            <w:tcW w:w="1267" w:type="dxa"/>
            <w:noWrap/>
            <w:vAlign w:val="center"/>
          </w:tcPr>
          <w:p w14:paraId="6E8A4EA0" w14:textId="77777777" w:rsidR="00871C14" w:rsidRPr="00871C14" w:rsidRDefault="00871C14" w:rsidP="00871C14">
            <w:pPr>
              <w:jc w:val="right"/>
              <w:rPr>
                <w:b/>
                <w:bCs/>
                <w:iCs/>
                <w:lang w:eastAsia="sk-SK"/>
              </w:rPr>
            </w:pPr>
            <w:r w:rsidRPr="00871C14">
              <w:rPr>
                <w:b/>
                <w:bCs/>
                <w:iCs/>
                <w:lang w:eastAsia="sk-SK"/>
              </w:rPr>
              <w:t>0</w:t>
            </w:r>
          </w:p>
        </w:tc>
        <w:tc>
          <w:tcPr>
            <w:tcW w:w="1267" w:type="dxa"/>
            <w:noWrap/>
            <w:vAlign w:val="center"/>
          </w:tcPr>
          <w:p w14:paraId="4AF736A0" w14:textId="77777777" w:rsidR="00871C14" w:rsidRPr="00871C14" w:rsidRDefault="00871C14" w:rsidP="00871C14">
            <w:pPr>
              <w:jc w:val="right"/>
              <w:rPr>
                <w:b/>
                <w:bCs/>
                <w:iCs/>
                <w:lang w:eastAsia="sk-SK"/>
              </w:rPr>
            </w:pPr>
            <w:r w:rsidRPr="00871C14">
              <w:rPr>
                <w:b/>
                <w:bCs/>
                <w:iCs/>
                <w:lang w:eastAsia="sk-SK"/>
              </w:rPr>
              <w:t>0</w:t>
            </w:r>
          </w:p>
        </w:tc>
      </w:tr>
      <w:tr w:rsidR="00871C14" w:rsidRPr="00871C14" w14:paraId="5E02FFAC" w14:textId="77777777" w:rsidTr="00DA58E5">
        <w:trPr>
          <w:trHeight w:val="125"/>
          <w:jc w:val="center"/>
        </w:trPr>
        <w:tc>
          <w:tcPr>
            <w:tcW w:w="4661" w:type="dxa"/>
            <w:shd w:val="clear" w:color="auto" w:fill="C0C0C0"/>
            <w:noWrap/>
            <w:vAlign w:val="center"/>
          </w:tcPr>
          <w:p w14:paraId="1AA4C255" w14:textId="77777777" w:rsidR="00871C14" w:rsidRPr="00871C14" w:rsidRDefault="00871C14" w:rsidP="00871C14">
            <w:pPr>
              <w:rPr>
                <w:b/>
                <w:bCs/>
                <w:lang w:eastAsia="sk-SK"/>
              </w:rPr>
            </w:pPr>
            <w:r w:rsidRPr="00871C14">
              <w:rPr>
                <w:b/>
                <w:bCs/>
                <w:lang w:eastAsia="sk-SK"/>
              </w:rPr>
              <w:t>Výdavky verejnej správy celkom</w:t>
            </w:r>
          </w:p>
        </w:tc>
        <w:tc>
          <w:tcPr>
            <w:tcW w:w="1267" w:type="dxa"/>
            <w:shd w:val="clear" w:color="auto" w:fill="C0C0C0"/>
            <w:noWrap/>
            <w:vAlign w:val="center"/>
          </w:tcPr>
          <w:p w14:paraId="3DBFF7B1" w14:textId="77777777" w:rsidR="00871C14" w:rsidRPr="00871C14" w:rsidRDefault="00871C14" w:rsidP="00871C14">
            <w:pPr>
              <w:jc w:val="right"/>
              <w:rPr>
                <w:b/>
                <w:bCs/>
                <w:iCs/>
                <w:lang w:eastAsia="sk-SK"/>
              </w:rPr>
            </w:pPr>
            <w:r w:rsidRPr="00871C14">
              <w:rPr>
                <w:b/>
                <w:bCs/>
                <w:iCs/>
                <w:lang w:eastAsia="sk-SK"/>
              </w:rPr>
              <w:t>0</w:t>
            </w:r>
          </w:p>
        </w:tc>
        <w:tc>
          <w:tcPr>
            <w:tcW w:w="1267" w:type="dxa"/>
            <w:shd w:val="clear" w:color="auto" w:fill="C0C0C0"/>
            <w:noWrap/>
            <w:vAlign w:val="center"/>
          </w:tcPr>
          <w:p w14:paraId="088E1FB7" w14:textId="77777777" w:rsidR="00871C14" w:rsidRPr="00871C14" w:rsidRDefault="00871C14" w:rsidP="00871C14">
            <w:pPr>
              <w:jc w:val="right"/>
              <w:rPr>
                <w:b/>
                <w:bCs/>
                <w:lang w:eastAsia="sk-SK"/>
              </w:rPr>
            </w:pPr>
            <w:r w:rsidRPr="00871C14">
              <w:rPr>
                <w:b/>
                <w:bCs/>
                <w:lang w:eastAsia="sk-SK"/>
              </w:rPr>
              <w:t>188 000</w:t>
            </w:r>
          </w:p>
        </w:tc>
        <w:tc>
          <w:tcPr>
            <w:tcW w:w="1267" w:type="dxa"/>
            <w:shd w:val="clear" w:color="auto" w:fill="C0C0C0"/>
            <w:noWrap/>
            <w:vAlign w:val="center"/>
          </w:tcPr>
          <w:p w14:paraId="4F635DDC" w14:textId="77777777" w:rsidR="00871C14" w:rsidRPr="00871C14" w:rsidRDefault="00871C14" w:rsidP="00871C14">
            <w:pPr>
              <w:jc w:val="right"/>
              <w:rPr>
                <w:b/>
                <w:bCs/>
                <w:lang w:eastAsia="sk-SK"/>
              </w:rPr>
            </w:pPr>
            <w:r w:rsidRPr="00871C14">
              <w:rPr>
                <w:b/>
                <w:bCs/>
                <w:lang w:eastAsia="sk-SK"/>
              </w:rPr>
              <w:t>0</w:t>
            </w:r>
          </w:p>
        </w:tc>
        <w:tc>
          <w:tcPr>
            <w:tcW w:w="1267" w:type="dxa"/>
            <w:shd w:val="clear" w:color="auto" w:fill="C0C0C0"/>
            <w:noWrap/>
            <w:vAlign w:val="center"/>
          </w:tcPr>
          <w:p w14:paraId="3214AB79" w14:textId="77777777" w:rsidR="00871C14" w:rsidRPr="00871C14" w:rsidRDefault="00871C14" w:rsidP="00871C14">
            <w:pPr>
              <w:jc w:val="right"/>
              <w:rPr>
                <w:b/>
                <w:bCs/>
                <w:lang w:eastAsia="sk-SK"/>
              </w:rPr>
            </w:pPr>
            <w:r w:rsidRPr="00871C14">
              <w:rPr>
                <w:b/>
                <w:bCs/>
                <w:lang w:eastAsia="sk-SK"/>
              </w:rPr>
              <w:t>0</w:t>
            </w:r>
          </w:p>
        </w:tc>
      </w:tr>
      <w:tr w:rsidR="00871C14" w:rsidRPr="00871C14" w14:paraId="2D178209" w14:textId="77777777" w:rsidTr="00DA58E5">
        <w:trPr>
          <w:trHeight w:val="70"/>
          <w:jc w:val="center"/>
        </w:trPr>
        <w:tc>
          <w:tcPr>
            <w:tcW w:w="4661" w:type="dxa"/>
            <w:noWrap/>
            <w:vAlign w:val="center"/>
          </w:tcPr>
          <w:p w14:paraId="34174499" w14:textId="77777777" w:rsidR="00871C14" w:rsidRPr="00871C14" w:rsidRDefault="00871C14" w:rsidP="00871C14">
            <w:pPr>
              <w:rPr>
                <w:lang w:eastAsia="sk-SK"/>
              </w:rPr>
            </w:pPr>
            <w:r w:rsidRPr="00871C14">
              <w:rPr>
                <w:lang w:eastAsia="sk-SK"/>
              </w:rPr>
              <w:t xml:space="preserve">v tom: MPSVR SR </w:t>
            </w:r>
          </w:p>
        </w:tc>
        <w:tc>
          <w:tcPr>
            <w:tcW w:w="1267" w:type="dxa"/>
            <w:noWrap/>
            <w:vAlign w:val="center"/>
          </w:tcPr>
          <w:p w14:paraId="7BAF769F" w14:textId="77777777" w:rsidR="00871C14" w:rsidRPr="00871C14" w:rsidRDefault="00871C14" w:rsidP="00871C14">
            <w:pPr>
              <w:jc w:val="right"/>
              <w:rPr>
                <w:lang w:eastAsia="sk-SK"/>
              </w:rPr>
            </w:pPr>
            <w:r w:rsidRPr="00871C14">
              <w:rPr>
                <w:lang w:eastAsia="sk-SK"/>
              </w:rPr>
              <w:t>0</w:t>
            </w:r>
          </w:p>
        </w:tc>
        <w:tc>
          <w:tcPr>
            <w:tcW w:w="1267" w:type="dxa"/>
            <w:noWrap/>
            <w:vAlign w:val="center"/>
          </w:tcPr>
          <w:p w14:paraId="1566B830" w14:textId="77777777" w:rsidR="00871C14" w:rsidRPr="00871C14" w:rsidRDefault="00871C14" w:rsidP="00871C14">
            <w:pPr>
              <w:jc w:val="right"/>
              <w:rPr>
                <w:lang w:eastAsia="sk-SK"/>
              </w:rPr>
            </w:pPr>
            <w:r w:rsidRPr="00871C14">
              <w:rPr>
                <w:lang w:eastAsia="sk-SK"/>
              </w:rPr>
              <w:t>88 000</w:t>
            </w:r>
          </w:p>
        </w:tc>
        <w:tc>
          <w:tcPr>
            <w:tcW w:w="1267" w:type="dxa"/>
            <w:noWrap/>
            <w:vAlign w:val="center"/>
          </w:tcPr>
          <w:p w14:paraId="20B4B7D2" w14:textId="77777777" w:rsidR="00871C14" w:rsidRPr="00871C14" w:rsidRDefault="00871C14" w:rsidP="00871C14">
            <w:pPr>
              <w:jc w:val="right"/>
              <w:rPr>
                <w:lang w:eastAsia="sk-SK"/>
              </w:rPr>
            </w:pPr>
          </w:p>
        </w:tc>
        <w:tc>
          <w:tcPr>
            <w:tcW w:w="1267" w:type="dxa"/>
            <w:noWrap/>
            <w:vAlign w:val="center"/>
          </w:tcPr>
          <w:p w14:paraId="4FFCB779" w14:textId="77777777" w:rsidR="00871C14" w:rsidRPr="00871C14" w:rsidRDefault="00871C14" w:rsidP="00871C14">
            <w:pPr>
              <w:jc w:val="right"/>
              <w:rPr>
                <w:lang w:eastAsia="sk-SK"/>
              </w:rPr>
            </w:pPr>
          </w:p>
        </w:tc>
      </w:tr>
      <w:tr w:rsidR="00871C14" w:rsidRPr="00871C14" w14:paraId="0D1A0949" w14:textId="77777777" w:rsidTr="00DA58E5">
        <w:trPr>
          <w:trHeight w:val="70"/>
          <w:jc w:val="center"/>
        </w:trPr>
        <w:tc>
          <w:tcPr>
            <w:tcW w:w="4661" w:type="dxa"/>
            <w:noWrap/>
            <w:vAlign w:val="center"/>
          </w:tcPr>
          <w:p w14:paraId="79E46E61" w14:textId="77777777" w:rsidR="00871C14" w:rsidRPr="00871C14" w:rsidRDefault="00871C14" w:rsidP="00871C14">
            <w:pPr>
              <w:rPr>
                <w:lang w:eastAsia="sk-SK"/>
              </w:rPr>
            </w:pPr>
            <w:r w:rsidRPr="00871C14">
              <w:rPr>
                <w:lang w:eastAsia="sk-SK"/>
              </w:rPr>
              <w:t>v tom: MV SR</w:t>
            </w:r>
          </w:p>
        </w:tc>
        <w:tc>
          <w:tcPr>
            <w:tcW w:w="1267" w:type="dxa"/>
            <w:noWrap/>
            <w:vAlign w:val="center"/>
          </w:tcPr>
          <w:p w14:paraId="4B6B7AA5" w14:textId="77777777" w:rsidR="00871C14" w:rsidRPr="00871C14" w:rsidRDefault="00871C14" w:rsidP="00871C14">
            <w:pPr>
              <w:jc w:val="right"/>
              <w:rPr>
                <w:lang w:eastAsia="sk-SK"/>
              </w:rPr>
            </w:pPr>
          </w:p>
        </w:tc>
        <w:tc>
          <w:tcPr>
            <w:tcW w:w="1267" w:type="dxa"/>
            <w:noWrap/>
            <w:vAlign w:val="center"/>
          </w:tcPr>
          <w:p w14:paraId="754CEC12" w14:textId="77777777" w:rsidR="00871C14" w:rsidRPr="00871C14" w:rsidRDefault="00871C14" w:rsidP="00871C14">
            <w:pPr>
              <w:jc w:val="right"/>
              <w:rPr>
                <w:lang w:eastAsia="sk-SK"/>
              </w:rPr>
            </w:pPr>
            <w:r w:rsidRPr="00871C14">
              <w:rPr>
                <w:lang w:eastAsia="sk-SK"/>
              </w:rPr>
              <w:t>100 000</w:t>
            </w:r>
          </w:p>
        </w:tc>
        <w:tc>
          <w:tcPr>
            <w:tcW w:w="1267" w:type="dxa"/>
            <w:noWrap/>
            <w:vAlign w:val="center"/>
          </w:tcPr>
          <w:p w14:paraId="23097078" w14:textId="77777777" w:rsidR="00871C14" w:rsidRPr="00871C14" w:rsidRDefault="00871C14" w:rsidP="00871C14">
            <w:pPr>
              <w:jc w:val="right"/>
              <w:rPr>
                <w:lang w:eastAsia="sk-SK"/>
              </w:rPr>
            </w:pPr>
          </w:p>
        </w:tc>
        <w:tc>
          <w:tcPr>
            <w:tcW w:w="1267" w:type="dxa"/>
            <w:noWrap/>
            <w:vAlign w:val="center"/>
          </w:tcPr>
          <w:p w14:paraId="3C2C5DDF" w14:textId="77777777" w:rsidR="00871C14" w:rsidRPr="00871C14" w:rsidRDefault="00871C14" w:rsidP="00871C14">
            <w:pPr>
              <w:jc w:val="right"/>
              <w:rPr>
                <w:lang w:eastAsia="sk-SK"/>
              </w:rPr>
            </w:pPr>
          </w:p>
        </w:tc>
      </w:tr>
      <w:tr w:rsidR="00871C14" w:rsidRPr="00871C14" w14:paraId="34EFB91D" w14:textId="77777777" w:rsidTr="00DA58E5">
        <w:trPr>
          <w:trHeight w:val="70"/>
          <w:jc w:val="center"/>
        </w:trPr>
        <w:tc>
          <w:tcPr>
            <w:tcW w:w="4661" w:type="dxa"/>
            <w:noWrap/>
            <w:vAlign w:val="center"/>
          </w:tcPr>
          <w:p w14:paraId="3AE2DDC2" w14:textId="77777777" w:rsidR="00871C14" w:rsidRPr="00871C14" w:rsidRDefault="00871C14" w:rsidP="00871C14">
            <w:pPr>
              <w:rPr>
                <w:b/>
                <w:bCs/>
                <w:i/>
                <w:iCs/>
                <w:lang w:eastAsia="sk-SK"/>
              </w:rPr>
            </w:pPr>
            <w:r w:rsidRPr="00871C14">
              <w:rPr>
                <w:b/>
                <w:bCs/>
                <w:i/>
                <w:iCs/>
                <w:lang w:eastAsia="sk-SK"/>
              </w:rPr>
              <w:t xml:space="preserve">z toho: </w:t>
            </w:r>
          </w:p>
        </w:tc>
        <w:tc>
          <w:tcPr>
            <w:tcW w:w="1267" w:type="dxa"/>
            <w:noWrap/>
            <w:vAlign w:val="center"/>
          </w:tcPr>
          <w:p w14:paraId="2C6223B5" w14:textId="77777777" w:rsidR="00871C14" w:rsidRPr="00871C14" w:rsidRDefault="00871C14" w:rsidP="00871C14">
            <w:pPr>
              <w:jc w:val="right"/>
              <w:rPr>
                <w:b/>
                <w:bCs/>
                <w:iCs/>
                <w:lang w:eastAsia="sk-SK"/>
              </w:rPr>
            </w:pPr>
          </w:p>
        </w:tc>
        <w:tc>
          <w:tcPr>
            <w:tcW w:w="1267" w:type="dxa"/>
            <w:noWrap/>
            <w:vAlign w:val="center"/>
          </w:tcPr>
          <w:p w14:paraId="4C00B47D" w14:textId="77777777" w:rsidR="00871C14" w:rsidRPr="00871C14" w:rsidRDefault="00871C14" w:rsidP="00871C14">
            <w:pPr>
              <w:jc w:val="right"/>
              <w:rPr>
                <w:b/>
                <w:bCs/>
                <w:iCs/>
                <w:lang w:eastAsia="sk-SK"/>
              </w:rPr>
            </w:pPr>
          </w:p>
        </w:tc>
        <w:tc>
          <w:tcPr>
            <w:tcW w:w="1267" w:type="dxa"/>
            <w:noWrap/>
            <w:vAlign w:val="center"/>
          </w:tcPr>
          <w:p w14:paraId="5219022A" w14:textId="77777777" w:rsidR="00871C14" w:rsidRPr="00871C14" w:rsidRDefault="00871C14" w:rsidP="00871C14">
            <w:pPr>
              <w:jc w:val="right"/>
              <w:rPr>
                <w:b/>
                <w:bCs/>
                <w:iCs/>
                <w:lang w:eastAsia="sk-SK"/>
              </w:rPr>
            </w:pPr>
          </w:p>
        </w:tc>
        <w:tc>
          <w:tcPr>
            <w:tcW w:w="1267" w:type="dxa"/>
            <w:noWrap/>
            <w:vAlign w:val="center"/>
          </w:tcPr>
          <w:p w14:paraId="2474EE89" w14:textId="77777777" w:rsidR="00871C14" w:rsidRPr="00871C14" w:rsidRDefault="00871C14" w:rsidP="00871C14">
            <w:pPr>
              <w:jc w:val="right"/>
              <w:rPr>
                <w:b/>
                <w:bCs/>
                <w:iCs/>
                <w:lang w:eastAsia="sk-SK"/>
              </w:rPr>
            </w:pPr>
          </w:p>
        </w:tc>
      </w:tr>
      <w:tr w:rsidR="00871C14" w:rsidRPr="00871C14" w14:paraId="6314F805" w14:textId="77777777" w:rsidTr="00DA58E5">
        <w:trPr>
          <w:trHeight w:val="70"/>
          <w:jc w:val="center"/>
        </w:trPr>
        <w:tc>
          <w:tcPr>
            <w:tcW w:w="4661" w:type="dxa"/>
            <w:noWrap/>
            <w:vAlign w:val="center"/>
          </w:tcPr>
          <w:p w14:paraId="6B9D61FA" w14:textId="77777777" w:rsidR="00871C14" w:rsidRPr="00871C14" w:rsidRDefault="00871C14" w:rsidP="00871C14">
            <w:pPr>
              <w:rPr>
                <w:b/>
                <w:bCs/>
                <w:i/>
                <w:iCs/>
                <w:lang w:eastAsia="sk-SK"/>
              </w:rPr>
            </w:pPr>
            <w:r w:rsidRPr="00871C14">
              <w:rPr>
                <w:b/>
                <w:bCs/>
                <w:i/>
                <w:iCs/>
                <w:lang w:eastAsia="sk-SK"/>
              </w:rPr>
              <w:t>- vplyv na ŠR</w:t>
            </w:r>
          </w:p>
        </w:tc>
        <w:tc>
          <w:tcPr>
            <w:tcW w:w="1267" w:type="dxa"/>
            <w:noWrap/>
            <w:vAlign w:val="center"/>
          </w:tcPr>
          <w:p w14:paraId="0FC4A8DD" w14:textId="77777777" w:rsidR="00871C14" w:rsidRPr="00871C14" w:rsidRDefault="00871C14" w:rsidP="00871C14">
            <w:pPr>
              <w:jc w:val="right"/>
              <w:rPr>
                <w:b/>
                <w:bCs/>
                <w:iCs/>
                <w:lang w:eastAsia="sk-SK"/>
              </w:rPr>
            </w:pPr>
          </w:p>
        </w:tc>
        <w:tc>
          <w:tcPr>
            <w:tcW w:w="1267" w:type="dxa"/>
            <w:noWrap/>
            <w:vAlign w:val="center"/>
          </w:tcPr>
          <w:p w14:paraId="068ECF46" w14:textId="77777777" w:rsidR="00871C14" w:rsidRPr="00871C14" w:rsidRDefault="00871C14" w:rsidP="00871C14">
            <w:pPr>
              <w:jc w:val="right"/>
              <w:rPr>
                <w:b/>
                <w:bCs/>
                <w:iCs/>
                <w:lang w:eastAsia="sk-SK"/>
              </w:rPr>
            </w:pPr>
            <w:r w:rsidRPr="00871C14">
              <w:rPr>
                <w:b/>
                <w:bCs/>
                <w:iCs/>
                <w:lang w:eastAsia="sk-SK"/>
              </w:rPr>
              <w:t>188 000</w:t>
            </w:r>
          </w:p>
        </w:tc>
        <w:tc>
          <w:tcPr>
            <w:tcW w:w="1267" w:type="dxa"/>
            <w:noWrap/>
            <w:vAlign w:val="center"/>
          </w:tcPr>
          <w:p w14:paraId="2FB2719E" w14:textId="77777777" w:rsidR="00871C14" w:rsidRPr="00871C14" w:rsidRDefault="00871C14" w:rsidP="00871C14">
            <w:pPr>
              <w:jc w:val="right"/>
              <w:rPr>
                <w:b/>
                <w:bCs/>
                <w:iCs/>
                <w:lang w:eastAsia="sk-SK"/>
              </w:rPr>
            </w:pPr>
          </w:p>
        </w:tc>
        <w:tc>
          <w:tcPr>
            <w:tcW w:w="1267" w:type="dxa"/>
            <w:noWrap/>
            <w:vAlign w:val="center"/>
          </w:tcPr>
          <w:p w14:paraId="6BBD9549" w14:textId="77777777" w:rsidR="00871C14" w:rsidRPr="00871C14" w:rsidRDefault="00871C14" w:rsidP="00871C14">
            <w:pPr>
              <w:jc w:val="right"/>
              <w:rPr>
                <w:b/>
                <w:bCs/>
                <w:iCs/>
                <w:lang w:eastAsia="sk-SK"/>
              </w:rPr>
            </w:pPr>
          </w:p>
        </w:tc>
      </w:tr>
      <w:tr w:rsidR="00871C14" w:rsidRPr="00871C14" w14:paraId="2F979E56" w14:textId="77777777" w:rsidTr="00DA58E5">
        <w:trPr>
          <w:trHeight w:val="70"/>
          <w:jc w:val="center"/>
        </w:trPr>
        <w:tc>
          <w:tcPr>
            <w:tcW w:w="4661" w:type="dxa"/>
            <w:noWrap/>
            <w:vAlign w:val="center"/>
          </w:tcPr>
          <w:p w14:paraId="367BC43D" w14:textId="77777777" w:rsidR="00871C14" w:rsidRPr="00871C14" w:rsidRDefault="00871C14" w:rsidP="00871C14">
            <w:pPr>
              <w:rPr>
                <w:bCs/>
                <w:i/>
                <w:iCs/>
                <w:lang w:eastAsia="sk-SK"/>
              </w:rPr>
            </w:pPr>
            <w:r w:rsidRPr="00871C14">
              <w:rPr>
                <w:bCs/>
                <w:i/>
                <w:iCs/>
                <w:lang w:eastAsia="sk-SK"/>
              </w:rPr>
              <w:t>Rozpočtové prostriedky</w:t>
            </w:r>
          </w:p>
        </w:tc>
        <w:tc>
          <w:tcPr>
            <w:tcW w:w="1267" w:type="dxa"/>
            <w:noWrap/>
            <w:vAlign w:val="center"/>
          </w:tcPr>
          <w:p w14:paraId="45242BA1" w14:textId="77777777" w:rsidR="00871C14" w:rsidRPr="00871C14" w:rsidRDefault="00871C14" w:rsidP="00871C14">
            <w:pPr>
              <w:jc w:val="right"/>
              <w:rPr>
                <w:b/>
                <w:bCs/>
                <w:iCs/>
                <w:lang w:eastAsia="sk-SK"/>
              </w:rPr>
            </w:pPr>
          </w:p>
        </w:tc>
        <w:tc>
          <w:tcPr>
            <w:tcW w:w="1267" w:type="dxa"/>
            <w:noWrap/>
            <w:vAlign w:val="center"/>
          </w:tcPr>
          <w:p w14:paraId="17AAA6AB" w14:textId="77777777" w:rsidR="00871C14" w:rsidRPr="00871C14" w:rsidRDefault="00871C14" w:rsidP="00871C14">
            <w:pPr>
              <w:jc w:val="right"/>
              <w:rPr>
                <w:bCs/>
                <w:iCs/>
                <w:lang w:eastAsia="sk-SK"/>
              </w:rPr>
            </w:pPr>
            <w:r w:rsidRPr="00871C14">
              <w:rPr>
                <w:bCs/>
                <w:iCs/>
                <w:lang w:eastAsia="sk-SK"/>
              </w:rPr>
              <w:t>188 000</w:t>
            </w:r>
          </w:p>
        </w:tc>
        <w:tc>
          <w:tcPr>
            <w:tcW w:w="1267" w:type="dxa"/>
            <w:noWrap/>
            <w:vAlign w:val="center"/>
          </w:tcPr>
          <w:p w14:paraId="08C8A62C" w14:textId="77777777" w:rsidR="00871C14" w:rsidRPr="00871C14" w:rsidRDefault="00871C14" w:rsidP="00871C14">
            <w:pPr>
              <w:jc w:val="right"/>
              <w:rPr>
                <w:b/>
                <w:bCs/>
                <w:iCs/>
                <w:lang w:eastAsia="sk-SK"/>
              </w:rPr>
            </w:pPr>
          </w:p>
        </w:tc>
        <w:tc>
          <w:tcPr>
            <w:tcW w:w="1267" w:type="dxa"/>
            <w:noWrap/>
            <w:vAlign w:val="center"/>
          </w:tcPr>
          <w:p w14:paraId="149B945E" w14:textId="77777777" w:rsidR="00871C14" w:rsidRPr="00871C14" w:rsidRDefault="00871C14" w:rsidP="00871C14">
            <w:pPr>
              <w:jc w:val="right"/>
              <w:rPr>
                <w:b/>
                <w:bCs/>
                <w:iCs/>
                <w:lang w:eastAsia="sk-SK"/>
              </w:rPr>
            </w:pPr>
          </w:p>
        </w:tc>
      </w:tr>
      <w:tr w:rsidR="00871C14" w:rsidRPr="00871C14" w14:paraId="2E2BA935" w14:textId="77777777" w:rsidTr="00DA58E5">
        <w:trPr>
          <w:trHeight w:val="70"/>
          <w:jc w:val="center"/>
        </w:trPr>
        <w:tc>
          <w:tcPr>
            <w:tcW w:w="4661" w:type="dxa"/>
            <w:noWrap/>
            <w:vAlign w:val="center"/>
          </w:tcPr>
          <w:p w14:paraId="66A207F5" w14:textId="77777777" w:rsidR="00871C14" w:rsidRPr="00871C14" w:rsidRDefault="00871C14" w:rsidP="00871C14">
            <w:pPr>
              <w:rPr>
                <w:bCs/>
                <w:i/>
                <w:iCs/>
                <w:lang w:eastAsia="sk-SK"/>
              </w:rPr>
            </w:pPr>
            <w:r w:rsidRPr="00871C14">
              <w:rPr>
                <w:bCs/>
                <w:i/>
                <w:iCs/>
                <w:lang w:eastAsia="sk-SK"/>
              </w:rPr>
              <w:t>EÚ zdroje</w:t>
            </w:r>
          </w:p>
        </w:tc>
        <w:tc>
          <w:tcPr>
            <w:tcW w:w="1267" w:type="dxa"/>
            <w:noWrap/>
            <w:vAlign w:val="center"/>
          </w:tcPr>
          <w:p w14:paraId="71181D1D" w14:textId="77777777" w:rsidR="00871C14" w:rsidRPr="00871C14" w:rsidRDefault="00871C14" w:rsidP="00871C14">
            <w:pPr>
              <w:jc w:val="right"/>
              <w:rPr>
                <w:i/>
                <w:lang w:eastAsia="sk-SK"/>
              </w:rPr>
            </w:pPr>
          </w:p>
        </w:tc>
        <w:tc>
          <w:tcPr>
            <w:tcW w:w="1267" w:type="dxa"/>
            <w:noWrap/>
            <w:vAlign w:val="center"/>
          </w:tcPr>
          <w:p w14:paraId="4521DCF1" w14:textId="77777777" w:rsidR="00871C14" w:rsidRPr="00871C14" w:rsidRDefault="00871C14" w:rsidP="00871C14">
            <w:pPr>
              <w:jc w:val="right"/>
              <w:rPr>
                <w:i/>
                <w:lang w:eastAsia="sk-SK"/>
              </w:rPr>
            </w:pPr>
          </w:p>
        </w:tc>
        <w:tc>
          <w:tcPr>
            <w:tcW w:w="1267" w:type="dxa"/>
            <w:noWrap/>
            <w:vAlign w:val="center"/>
          </w:tcPr>
          <w:p w14:paraId="3F25E9AF" w14:textId="77777777" w:rsidR="00871C14" w:rsidRPr="00871C14" w:rsidRDefault="00871C14" w:rsidP="00871C14">
            <w:pPr>
              <w:jc w:val="right"/>
              <w:rPr>
                <w:i/>
                <w:lang w:eastAsia="sk-SK"/>
              </w:rPr>
            </w:pPr>
          </w:p>
        </w:tc>
        <w:tc>
          <w:tcPr>
            <w:tcW w:w="1267" w:type="dxa"/>
            <w:noWrap/>
            <w:vAlign w:val="center"/>
          </w:tcPr>
          <w:p w14:paraId="2C82BA23" w14:textId="77777777" w:rsidR="00871C14" w:rsidRPr="00871C14" w:rsidRDefault="00871C14" w:rsidP="00871C14">
            <w:pPr>
              <w:jc w:val="right"/>
              <w:rPr>
                <w:b/>
                <w:bCs/>
                <w:i/>
                <w:iCs/>
                <w:lang w:eastAsia="sk-SK"/>
              </w:rPr>
            </w:pPr>
          </w:p>
        </w:tc>
      </w:tr>
      <w:tr w:rsidR="00871C14" w:rsidRPr="00871C14" w14:paraId="44FA8D55" w14:textId="77777777" w:rsidTr="00DA58E5">
        <w:trPr>
          <w:trHeight w:val="70"/>
          <w:jc w:val="center"/>
        </w:trPr>
        <w:tc>
          <w:tcPr>
            <w:tcW w:w="4661" w:type="dxa"/>
            <w:noWrap/>
            <w:vAlign w:val="center"/>
          </w:tcPr>
          <w:p w14:paraId="5C071D96" w14:textId="77777777" w:rsidR="00871C14" w:rsidRPr="00871C14" w:rsidRDefault="00871C14" w:rsidP="00871C14">
            <w:pPr>
              <w:rPr>
                <w:bCs/>
                <w:i/>
                <w:iCs/>
                <w:lang w:eastAsia="sk-SK"/>
              </w:rPr>
            </w:pPr>
            <w:r w:rsidRPr="00871C14">
              <w:rPr>
                <w:bCs/>
                <w:i/>
                <w:iCs/>
                <w:lang w:eastAsia="sk-SK"/>
              </w:rPr>
              <w:t>spolufinancovanie</w:t>
            </w:r>
          </w:p>
        </w:tc>
        <w:tc>
          <w:tcPr>
            <w:tcW w:w="1267" w:type="dxa"/>
            <w:noWrap/>
            <w:vAlign w:val="center"/>
          </w:tcPr>
          <w:p w14:paraId="1806DA56" w14:textId="77777777" w:rsidR="00871C14" w:rsidRPr="00871C14" w:rsidRDefault="00871C14" w:rsidP="00871C14">
            <w:pPr>
              <w:jc w:val="right"/>
              <w:rPr>
                <w:i/>
                <w:lang w:eastAsia="sk-SK"/>
              </w:rPr>
            </w:pPr>
          </w:p>
        </w:tc>
        <w:tc>
          <w:tcPr>
            <w:tcW w:w="1267" w:type="dxa"/>
            <w:noWrap/>
            <w:vAlign w:val="center"/>
          </w:tcPr>
          <w:p w14:paraId="59F2DCB9" w14:textId="77777777" w:rsidR="00871C14" w:rsidRPr="00871C14" w:rsidRDefault="00871C14" w:rsidP="00871C14">
            <w:pPr>
              <w:jc w:val="right"/>
              <w:rPr>
                <w:i/>
                <w:lang w:eastAsia="sk-SK"/>
              </w:rPr>
            </w:pPr>
          </w:p>
        </w:tc>
        <w:tc>
          <w:tcPr>
            <w:tcW w:w="1267" w:type="dxa"/>
            <w:noWrap/>
            <w:vAlign w:val="center"/>
          </w:tcPr>
          <w:p w14:paraId="550A89FC" w14:textId="77777777" w:rsidR="00871C14" w:rsidRPr="00871C14" w:rsidRDefault="00871C14" w:rsidP="00871C14">
            <w:pPr>
              <w:jc w:val="right"/>
              <w:rPr>
                <w:i/>
                <w:lang w:eastAsia="sk-SK"/>
              </w:rPr>
            </w:pPr>
          </w:p>
        </w:tc>
        <w:tc>
          <w:tcPr>
            <w:tcW w:w="1267" w:type="dxa"/>
            <w:noWrap/>
            <w:vAlign w:val="center"/>
          </w:tcPr>
          <w:p w14:paraId="105C6E27" w14:textId="77777777" w:rsidR="00871C14" w:rsidRPr="00871C14" w:rsidRDefault="00871C14" w:rsidP="00871C14">
            <w:pPr>
              <w:jc w:val="right"/>
              <w:rPr>
                <w:b/>
                <w:bCs/>
                <w:i/>
                <w:iCs/>
                <w:lang w:eastAsia="sk-SK"/>
              </w:rPr>
            </w:pPr>
          </w:p>
        </w:tc>
      </w:tr>
      <w:tr w:rsidR="00871C14" w:rsidRPr="00871C14" w14:paraId="4900B953" w14:textId="77777777" w:rsidTr="00DA58E5">
        <w:trPr>
          <w:trHeight w:val="70"/>
          <w:jc w:val="center"/>
        </w:trPr>
        <w:tc>
          <w:tcPr>
            <w:tcW w:w="4661" w:type="dxa"/>
            <w:noWrap/>
            <w:vAlign w:val="center"/>
          </w:tcPr>
          <w:p w14:paraId="5B0CD470" w14:textId="77777777" w:rsidR="00871C14" w:rsidRPr="00871C14" w:rsidRDefault="00871C14" w:rsidP="00871C14">
            <w:pPr>
              <w:rPr>
                <w:b/>
                <w:bCs/>
                <w:i/>
                <w:iCs/>
                <w:lang w:eastAsia="sk-SK"/>
              </w:rPr>
            </w:pPr>
            <w:r w:rsidRPr="00871C14">
              <w:rPr>
                <w:b/>
                <w:bCs/>
                <w:i/>
                <w:iCs/>
                <w:lang w:eastAsia="sk-SK"/>
              </w:rPr>
              <w:t>-vplyv na obce</w:t>
            </w:r>
          </w:p>
        </w:tc>
        <w:tc>
          <w:tcPr>
            <w:tcW w:w="1267" w:type="dxa"/>
            <w:noWrap/>
            <w:vAlign w:val="center"/>
          </w:tcPr>
          <w:p w14:paraId="163EAF5F" w14:textId="77777777" w:rsidR="00871C14" w:rsidRPr="00871C14" w:rsidRDefault="00871C14" w:rsidP="00871C14">
            <w:pPr>
              <w:jc w:val="right"/>
              <w:rPr>
                <w:i/>
                <w:lang w:eastAsia="sk-SK"/>
              </w:rPr>
            </w:pPr>
          </w:p>
        </w:tc>
        <w:tc>
          <w:tcPr>
            <w:tcW w:w="1267" w:type="dxa"/>
            <w:noWrap/>
            <w:vAlign w:val="center"/>
          </w:tcPr>
          <w:p w14:paraId="7DDA8B73" w14:textId="77777777" w:rsidR="00871C14" w:rsidRPr="00871C14" w:rsidRDefault="00871C14" w:rsidP="00871C14">
            <w:pPr>
              <w:jc w:val="right"/>
              <w:rPr>
                <w:i/>
                <w:lang w:eastAsia="sk-SK"/>
              </w:rPr>
            </w:pPr>
          </w:p>
        </w:tc>
        <w:tc>
          <w:tcPr>
            <w:tcW w:w="1267" w:type="dxa"/>
            <w:noWrap/>
            <w:vAlign w:val="center"/>
          </w:tcPr>
          <w:p w14:paraId="4424C6F8" w14:textId="77777777" w:rsidR="00871C14" w:rsidRPr="00871C14" w:rsidRDefault="00871C14" w:rsidP="00871C14">
            <w:pPr>
              <w:jc w:val="right"/>
              <w:rPr>
                <w:i/>
                <w:lang w:eastAsia="sk-SK"/>
              </w:rPr>
            </w:pPr>
          </w:p>
        </w:tc>
        <w:tc>
          <w:tcPr>
            <w:tcW w:w="1267" w:type="dxa"/>
            <w:noWrap/>
            <w:vAlign w:val="center"/>
          </w:tcPr>
          <w:p w14:paraId="51F1EC3D" w14:textId="77777777" w:rsidR="00871C14" w:rsidRPr="00871C14" w:rsidRDefault="00871C14" w:rsidP="00871C14">
            <w:pPr>
              <w:jc w:val="right"/>
              <w:rPr>
                <w:b/>
                <w:bCs/>
                <w:i/>
                <w:iCs/>
                <w:lang w:eastAsia="sk-SK"/>
              </w:rPr>
            </w:pPr>
          </w:p>
        </w:tc>
      </w:tr>
      <w:tr w:rsidR="00871C14" w:rsidRPr="00871C14" w14:paraId="324A70DB" w14:textId="77777777" w:rsidTr="00DA58E5">
        <w:trPr>
          <w:trHeight w:val="70"/>
          <w:jc w:val="center"/>
        </w:trPr>
        <w:tc>
          <w:tcPr>
            <w:tcW w:w="4661" w:type="dxa"/>
            <w:noWrap/>
            <w:vAlign w:val="center"/>
          </w:tcPr>
          <w:p w14:paraId="3BD284D6" w14:textId="77777777" w:rsidR="00871C14" w:rsidRPr="00871C14" w:rsidRDefault="00871C14" w:rsidP="00871C14">
            <w:pPr>
              <w:rPr>
                <w:b/>
                <w:bCs/>
                <w:i/>
                <w:iCs/>
                <w:lang w:eastAsia="sk-SK"/>
              </w:rPr>
            </w:pPr>
            <w:r w:rsidRPr="00871C14">
              <w:rPr>
                <w:b/>
                <w:bCs/>
                <w:i/>
                <w:iCs/>
                <w:lang w:eastAsia="sk-SK"/>
              </w:rPr>
              <w:t>- vplyv na vyššie územné celky</w:t>
            </w:r>
          </w:p>
        </w:tc>
        <w:tc>
          <w:tcPr>
            <w:tcW w:w="1267" w:type="dxa"/>
            <w:noWrap/>
            <w:vAlign w:val="center"/>
          </w:tcPr>
          <w:p w14:paraId="163EDDDC" w14:textId="77777777" w:rsidR="00871C14" w:rsidRPr="00871C14" w:rsidRDefault="00871C14" w:rsidP="00871C14">
            <w:pPr>
              <w:jc w:val="right"/>
              <w:rPr>
                <w:i/>
                <w:lang w:eastAsia="sk-SK"/>
              </w:rPr>
            </w:pPr>
          </w:p>
        </w:tc>
        <w:tc>
          <w:tcPr>
            <w:tcW w:w="1267" w:type="dxa"/>
            <w:noWrap/>
            <w:vAlign w:val="center"/>
          </w:tcPr>
          <w:p w14:paraId="04D20BC7" w14:textId="77777777" w:rsidR="00871C14" w:rsidRPr="00871C14" w:rsidRDefault="00871C14" w:rsidP="00871C14">
            <w:pPr>
              <w:jc w:val="right"/>
              <w:rPr>
                <w:i/>
                <w:lang w:eastAsia="sk-SK"/>
              </w:rPr>
            </w:pPr>
          </w:p>
        </w:tc>
        <w:tc>
          <w:tcPr>
            <w:tcW w:w="1267" w:type="dxa"/>
            <w:noWrap/>
            <w:vAlign w:val="center"/>
          </w:tcPr>
          <w:p w14:paraId="091A9661" w14:textId="77777777" w:rsidR="00871C14" w:rsidRPr="00871C14" w:rsidRDefault="00871C14" w:rsidP="00871C14">
            <w:pPr>
              <w:jc w:val="right"/>
              <w:rPr>
                <w:i/>
                <w:lang w:eastAsia="sk-SK"/>
              </w:rPr>
            </w:pPr>
          </w:p>
        </w:tc>
        <w:tc>
          <w:tcPr>
            <w:tcW w:w="1267" w:type="dxa"/>
            <w:noWrap/>
            <w:vAlign w:val="center"/>
          </w:tcPr>
          <w:p w14:paraId="5C07CCD8" w14:textId="77777777" w:rsidR="00871C14" w:rsidRPr="00871C14" w:rsidRDefault="00871C14" w:rsidP="00871C14">
            <w:pPr>
              <w:jc w:val="right"/>
              <w:rPr>
                <w:b/>
                <w:bCs/>
                <w:i/>
                <w:iCs/>
                <w:lang w:eastAsia="sk-SK"/>
              </w:rPr>
            </w:pPr>
          </w:p>
        </w:tc>
      </w:tr>
      <w:tr w:rsidR="00871C14" w:rsidRPr="00871C14" w14:paraId="6F20CEF4" w14:textId="77777777" w:rsidTr="00DA58E5">
        <w:trPr>
          <w:trHeight w:val="70"/>
          <w:jc w:val="center"/>
        </w:trPr>
        <w:tc>
          <w:tcPr>
            <w:tcW w:w="4661" w:type="dxa"/>
            <w:noWrap/>
            <w:vAlign w:val="center"/>
          </w:tcPr>
          <w:p w14:paraId="6CD85B18" w14:textId="77777777" w:rsidR="00871C14" w:rsidRPr="00871C14" w:rsidRDefault="00871C14" w:rsidP="00871C14">
            <w:pPr>
              <w:rPr>
                <w:b/>
                <w:bCs/>
                <w:i/>
                <w:iCs/>
                <w:lang w:eastAsia="sk-SK"/>
              </w:rPr>
            </w:pPr>
            <w:r w:rsidRPr="00871C14">
              <w:rPr>
                <w:b/>
                <w:bCs/>
                <w:i/>
                <w:iCs/>
                <w:lang w:eastAsia="sk-SK"/>
              </w:rPr>
              <w:t>-vplyv na ostatné subjekty verejnej správy</w:t>
            </w:r>
          </w:p>
        </w:tc>
        <w:tc>
          <w:tcPr>
            <w:tcW w:w="1267" w:type="dxa"/>
            <w:noWrap/>
            <w:vAlign w:val="center"/>
          </w:tcPr>
          <w:p w14:paraId="432BAA3E" w14:textId="77777777" w:rsidR="00871C14" w:rsidRPr="00871C14" w:rsidRDefault="00871C14" w:rsidP="00871C14">
            <w:pPr>
              <w:jc w:val="right"/>
              <w:rPr>
                <w:i/>
                <w:lang w:eastAsia="sk-SK"/>
              </w:rPr>
            </w:pPr>
          </w:p>
        </w:tc>
        <w:tc>
          <w:tcPr>
            <w:tcW w:w="1267" w:type="dxa"/>
            <w:noWrap/>
            <w:vAlign w:val="center"/>
          </w:tcPr>
          <w:p w14:paraId="7D2EF68B" w14:textId="77777777" w:rsidR="00871C14" w:rsidRPr="00871C14" w:rsidRDefault="00871C14" w:rsidP="00871C14">
            <w:pPr>
              <w:jc w:val="right"/>
              <w:rPr>
                <w:i/>
                <w:lang w:eastAsia="sk-SK"/>
              </w:rPr>
            </w:pPr>
          </w:p>
        </w:tc>
        <w:tc>
          <w:tcPr>
            <w:tcW w:w="1267" w:type="dxa"/>
            <w:noWrap/>
            <w:vAlign w:val="center"/>
          </w:tcPr>
          <w:p w14:paraId="0DB53387" w14:textId="77777777" w:rsidR="00871C14" w:rsidRPr="00871C14" w:rsidRDefault="00871C14" w:rsidP="00871C14">
            <w:pPr>
              <w:jc w:val="right"/>
              <w:rPr>
                <w:i/>
                <w:lang w:eastAsia="sk-SK"/>
              </w:rPr>
            </w:pPr>
          </w:p>
        </w:tc>
        <w:tc>
          <w:tcPr>
            <w:tcW w:w="1267" w:type="dxa"/>
            <w:noWrap/>
            <w:vAlign w:val="center"/>
          </w:tcPr>
          <w:p w14:paraId="7B866D6C" w14:textId="77777777" w:rsidR="00871C14" w:rsidRPr="00871C14" w:rsidRDefault="00871C14" w:rsidP="00871C14">
            <w:pPr>
              <w:jc w:val="right"/>
              <w:rPr>
                <w:b/>
                <w:bCs/>
                <w:i/>
                <w:iCs/>
                <w:lang w:eastAsia="sk-SK"/>
              </w:rPr>
            </w:pPr>
          </w:p>
        </w:tc>
      </w:tr>
      <w:tr w:rsidR="00871C14" w:rsidRPr="00871C14" w14:paraId="7898263B" w14:textId="77777777" w:rsidTr="00871C14">
        <w:trPr>
          <w:trHeight w:val="70"/>
          <w:jc w:val="center"/>
        </w:trPr>
        <w:tc>
          <w:tcPr>
            <w:tcW w:w="4661" w:type="dxa"/>
            <w:shd w:val="clear" w:color="auto" w:fill="BFBFBF"/>
            <w:noWrap/>
            <w:vAlign w:val="center"/>
          </w:tcPr>
          <w:p w14:paraId="58B05742" w14:textId="77777777" w:rsidR="00871C14" w:rsidRPr="00871C14" w:rsidRDefault="00871C14" w:rsidP="00871C14">
            <w:pPr>
              <w:rPr>
                <w:b/>
                <w:bCs/>
                <w:lang w:eastAsia="sk-SK"/>
              </w:rPr>
            </w:pPr>
            <w:r w:rsidRPr="00871C14">
              <w:rPr>
                <w:b/>
                <w:bCs/>
                <w:lang w:eastAsia="sk-SK"/>
              </w:rPr>
              <w:t xml:space="preserve">Vplyv na počet zamestnancov </w:t>
            </w:r>
          </w:p>
        </w:tc>
        <w:tc>
          <w:tcPr>
            <w:tcW w:w="1267" w:type="dxa"/>
            <w:shd w:val="clear" w:color="auto" w:fill="BFBFBF"/>
            <w:noWrap/>
            <w:vAlign w:val="center"/>
          </w:tcPr>
          <w:p w14:paraId="0010591F" w14:textId="77777777" w:rsidR="00871C14" w:rsidRPr="00871C14" w:rsidRDefault="00871C14" w:rsidP="00871C14">
            <w:pPr>
              <w:jc w:val="right"/>
              <w:rPr>
                <w:b/>
                <w:bCs/>
                <w:lang w:eastAsia="sk-SK"/>
              </w:rPr>
            </w:pPr>
            <w:r w:rsidRPr="00871C14">
              <w:rPr>
                <w:b/>
                <w:bCs/>
                <w:lang w:eastAsia="sk-SK"/>
              </w:rPr>
              <w:t>0</w:t>
            </w:r>
          </w:p>
        </w:tc>
        <w:tc>
          <w:tcPr>
            <w:tcW w:w="1267" w:type="dxa"/>
            <w:shd w:val="clear" w:color="auto" w:fill="BFBFBF"/>
            <w:noWrap/>
            <w:vAlign w:val="center"/>
          </w:tcPr>
          <w:p w14:paraId="0E379B15" w14:textId="77777777" w:rsidR="00871C14" w:rsidRPr="00871C14" w:rsidRDefault="00871C14" w:rsidP="00871C14">
            <w:pPr>
              <w:jc w:val="right"/>
              <w:rPr>
                <w:b/>
                <w:bCs/>
                <w:lang w:eastAsia="sk-SK"/>
              </w:rPr>
            </w:pPr>
            <w:r w:rsidRPr="00871C14">
              <w:rPr>
                <w:b/>
                <w:bCs/>
                <w:lang w:eastAsia="sk-SK"/>
              </w:rPr>
              <w:t>0</w:t>
            </w:r>
          </w:p>
        </w:tc>
        <w:tc>
          <w:tcPr>
            <w:tcW w:w="1267" w:type="dxa"/>
            <w:shd w:val="clear" w:color="auto" w:fill="BFBFBF"/>
            <w:noWrap/>
            <w:vAlign w:val="center"/>
          </w:tcPr>
          <w:p w14:paraId="06453D8A" w14:textId="77777777" w:rsidR="00871C14" w:rsidRPr="00871C14" w:rsidRDefault="00871C14" w:rsidP="00871C14">
            <w:pPr>
              <w:jc w:val="right"/>
              <w:rPr>
                <w:b/>
                <w:bCs/>
                <w:lang w:eastAsia="sk-SK"/>
              </w:rPr>
            </w:pPr>
            <w:r w:rsidRPr="00871C14">
              <w:rPr>
                <w:b/>
                <w:bCs/>
                <w:lang w:eastAsia="sk-SK"/>
              </w:rPr>
              <w:t>0</w:t>
            </w:r>
          </w:p>
        </w:tc>
        <w:tc>
          <w:tcPr>
            <w:tcW w:w="1267" w:type="dxa"/>
            <w:shd w:val="clear" w:color="auto" w:fill="BFBFBF"/>
            <w:noWrap/>
            <w:vAlign w:val="center"/>
          </w:tcPr>
          <w:p w14:paraId="29568E27" w14:textId="77777777" w:rsidR="00871C14" w:rsidRPr="00871C14" w:rsidRDefault="00871C14" w:rsidP="00871C14">
            <w:pPr>
              <w:jc w:val="right"/>
              <w:rPr>
                <w:b/>
                <w:bCs/>
                <w:lang w:eastAsia="sk-SK"/>
              </w:rPr>
            </w:pPr>
            <w:r w:rsidRPr="00871C14">
              <w:rPr>
                <w:b/>
                <w:bCs/>
                <w:lang w:eastAsia="sk-SK"/>
              </w:rPr>
              <w:t>0</w:t>
            </w:r>
          </w:p>
        </w:tc>
      </w:tr>
      <w:tr w:rsidR="00871C14" w:rsidRPr="00871C14" w14:paraId="35E8C909" w14:textId="77777777" w:rsidTr="00DA58E5">
        <w:trPr>
          <w:trHeight w:val="70"/>
          <w:jc w:val="center"/>
        </w:trPr>
        <w:tc>
          <w:tcPr>
            <w:tcW w:w="4661" w:type="dxa"/>
            <w:noWrap/>
            <w:vAlign w:val="center"/>
          </w:tcPr>
          <w:p w14:paraId="7FFF98AB" w14:textId="77777777" w:rsidR="00871C14" w:rsidRPr="00871C14" w:rsidRDefault="00871C14" w:rsidP="00871C14">
            <w:pPr>
              <w:rPr>
                <w:b/>
                <w:bCs/>
                <w:i/>
                <w:iCs/>
                <w:lang w:eastAsia="sk-SK"/>
              </w:rPr>
            </w:pPr>
            <w:r w:rsidRPr="00871C14">
              <w:rPr>
                <w:b/>
                <w:bCs/>
                <w:i/>
                <w:iCs/>
                <w:lang w:eastAsia="sk-SK"/>
              </w:rPr>
              <w:t>- vplyv na ŠR</w:t>
            </w:r>
          </w:p>
        </w:tc>
        <w:tc>
          <w:tcPr>
            <w:tcW w:w="1267" w:type="dxa"/>
            <w:noWrap/>
            <w:vAlign w:val="center"/>
          </w:tcPr>
          <w:p w14:paraId="0B90E66A" w14:textId="77777777" w:rsidR="00871C14" w:rsidRPr="00871C14" w:rsidRDefault="00871C14" w:rsidP="00871C14">
            <w:pPr>
              <w:jc w:val="right"/>
              <w:rPr>
                <w:b/>
                <w:bCs/>
                <w:iCs/>
                <w:lang w:eastAsia="sk-SK"/>
              </w:rPr>
            </w:pPr>
          </w:p>
        </w:tc>
        <w:tc>
          <w:tcPr>
            <w:tcW w:w="1267" w:type="dxa"/>
            <w:noWrap/>
            <w:vAlign w:val="center"/>
          </w:tcPr>
          <w:p w14:paraId="50E42196" w14:textId="77777777" w:rsidR="00871C14" w:rsidRPr="00871C14" w:rsidRDefault="00871C14" w:rsidP="00871C14">
            <w:pPr>
              <w:jc w:val="right"/>
              <w:rPr>
                <w:b/>
                <w:bCs/>
                <w:iCs/>
                <w:lang w:eastAsia="sk-SK"/>
              </w:rPr>
            </w:pPr>
          </w:p>
        </w:tc>
        <w:tc>
          <w:tcPr>
            <w:tcW w:w="1267" w:type="dxa"/>
            <w:noWrap/>
            <w:vAlign w:val="center"/>
          </w:tcPr>
          <w:p w14:paraId="5AE9505B" w14:textId="77777777" w:rsidR="00871C14" w:rsidRPr="00871C14" w:rsidRDefault="00871C14" w:rsidP="00871C14">
            <w:pPr>
              <w:jc w:val="right"/>
              <w:rPr>
                <w:b/>
                <w:bCs/>
                <w:iCs/>
                <w:lang w:eastAsia="sk-SK"/>
              </w:rPr>
            </w:pPr>
          </w:p>
        </w:tc>
        <w:tc>
          <w:tcPr>
            <w:tcW w:w="1267" w:type="dxa"/>
            <w:noWrap/>
            <w:vAlign w:val="center"/>
          </w:tcPr>
          <w:p w14:paraId="43BC9D3B" w14:textId="77777777" w:rsidR="00871C14" w:rsidRPr="00871C14" w:rsidRDefault="00871C14" w:rsidP="00871C14">
            <w:pPr>
              <w:jc w:val="right"/>
              <w:rPr>
                <w:b/>
                <w:bCs/>
                <w:iCs/>
                <w:lang w:eastAsia="sk-SK"/>
              </w:rPr>
            </w:pPr>
          </w:p>
        </w:tc>
      </w:tr>
      <w:tr w:rsidR="00871C14" w:rsidRPr="00871C14" w14:paraId="4C3BF782" w14:textId="77777777" w:rsidTr="00DA58E5">
        <w:trPr>
          <w:trHeight w:val="70"/>
          <w:jc w:val="center"/>
        </w:trPr>
        <w:tc>
          <w:tcPr>
            <w:tcW w:w="4661" w:type="dxa"/>
            <w:noWrap/>
            <w:vAlign w:val="center"/>
          </w:tcPr>
          <w:p w14:paraId="3E7527A0" w14:textId="77777777" w:rsidR="00871C14" w:rsidRPr="00871C14" w:rsidRDefault="00871C14" w:rsidP="00871C14">
            <w:pPr>
              <w:rPr>
                <w:b/>
                <w:bCs/>
                <w:i/>
                <w:iCs/>
                <w:lang w:eastAsia="sk-SK"/>
              </w:rPr>
            </w:pPr>
            <w:r w:rsidRPr="00871C14">
              <w:rPr>
                <w:b/>
                <w:bCs/>
                <w:i/>
                <w:iCs/>
                <w:lang w:eastAsia="sk-SK"/>
              </w:rPr>
              <w:t>- vplyv na obce</w:t>
            </w:r>
          </w:p>
        </w:tc>
        <w:tc>
          <w:tcPr>
            <w:tcW w:w="1267" w:type="dxa"/>
            <w:noWrap/>
            <w:vAlign w:val="center"/>
          </w:tcPr>
          <w:p w14:paraId="2F7DF84C" w14:textId="77777777" w:rsidR="00871C14" w:rsidRPr="00871C14" w:rsidRDefault="00871C14" w:rsidP="00871C14">
            <w:pPr>
              <w:jc w:val="right"/>
              <w:rPr>
                <w:b/>
                <w:bCs/>
                <w:iCs/>
                <w:lang w:eastAsia="sk-SK"/>
              </w:rPr>
            </w:pPr>
          </w:p>
        </w:tc>
        <w:tc>
          <w:tcPr>
            <w:tcW w:w="1267" w:type="dxa"/>
            <w:noWrap/>
            <w:vAlign w:val="center"/>
          </w:tcPr>
          <w:p w14:paraId="0EAB46EA" w14:textId="77777777" w:rsidR="00871C14" w:rsidRPr="00871C14" w:rsidRDefault="00871C14" w:rsidP="00871C14">
            <w:pPr>
              <w:jc w:val="right"/>
              <w:rPr>
                <w:b/>
                <w:bCs/>
                <w:iCs/>
                <w:lang w:eastAsia="sk-SK"/>
              </w:rPr>
            </w:pPr>
          </w:p>
        </w:tc>
        <w:tc>
          <w:tcPr>
            <w:tcW w:w="1267" w:type="dxa"/>
            <w:noWrap/>
            <w:vAlign w:val="center"/>
          </w:tcPr>
          <w:p w14:paraId="5BCC4789" w14:textId="77777777" w:rsidR="00871C14" w:rsidRPr="00871C14" w:rsidRDefault="00871C14" w:rsidP="00871C14">
            <w:pPr>
              <w:jc w:val="right"/>
              <w:rPr>
                <w:b/>
                <w:bCs/>
                <w:iCs/>
                <w:lang w:eastAsia="sk-SK"/>
              </w:rPr>
            </w:pPr>
          </w:p>
        </w:tc>
        <w:tc>
          <w:tcPr>
            <w:tcW w:w="1267" w:type="dxa"/>
            <w:noWrap/>
            <w:vAlign w:val="center"/>
          </w:tcPr>
          <w:p w14:paraId="46E14C61" w14:textId="77777777" w:rsidR="00871C14" w:rsidRPr="00871C14" w:rsidRDefault="00871C14" w:rsidP="00871C14">
            <w:pPr>
              <w:jc w:val="right"/>
              <w:rPr>
                <w:b/>
                <w:bCs/>
                <w:iCs/>
                <w:lang w:eastAsia="sk-SK"/>
              </w:rPr>
            </w:pPr>
          </w:p>
        </w:tc>
      </w:tr>
      <w:tr w:rsidR="00871C14" w:rsidRPr="00871C14" w14:paraId="43236199" w14:textId="77777777" w:rsidTr="00DA58E5">
        <w:trPr>
          <w:trHeight w:val="70"/>
          <w:jc w:val="center"/>
        </w:trPr>
        <w:tc>
          <w:tcPr>
            <w:tcW w:w="4661" w:type="dxa"/>
            <w:noWrap/>
            <w:vAlign w:val="center"/>
          </w:tcPr>
          <w:p w14:paraId="33932100" w14:textId="77777777" w:rsidR="00871C14" w:rsidRPr="00871C14" w:rsidRDefault="00871C14" w:rsidP="00871C14">
            <w:pPr>
              <w:rPr>
                <w:b/>
                <w:bCs/>
                <w:i/>
                <w:iCs/>
                <w:lang w:eastAsia="sk-SK"/>
              </w:rPr>
            </w:pPr>
            <w:r w:rsidRPr="00871C14">
              <w:rPr>
                <w:b/>
                <w:bCs/>
                <w:i/>
                <w:iCs/>
                <w:lang w:eastAsia="sk-SK"/>
              </w:rPr>
              <w:t>- vplyv na vyššie územné celky</w:t>
            </w:r>
          </w:p>
        </w:tc>
        <w:tc>
          <w:tcPr>
            <w:tcW w:w="1267" w:type="dxa"/>
            <w:noWrap/>
            <w:vAlign w:val="center"/>
          </w:tcPr>
          <w:p w14:paraId="2E65D09F" w14:textId="77777777" w:rsidR="00871C14" w:rsidRPr="00871C14" w:rsidRDefault="00871C14" w:rsidP="00871C14">
            <w:pPr>
              <w:jc w:val="right"/>
              <w:rPr>
                <w:b/>
                <w:bCs/>
                <w:iCs/>
                <w:lang w:eastAsia="sk-SK"/>
              </w:rPr>
            </w:pPr>
          </w:p>
        </w:tc>
        <w:tc>
          <w:tcPr>
            <w:tcW w:w="1267" w:type="dxa"/>
            <w:noWrap/>
            <w:vAlign w:val="center"/>
          </w:tcPr>
          <w:p w14:paraId="13013284" w14:textId="77777777" w:rsidR="00871C14" w:rsidRPr="00871C14" w:rsidRDefault="00871C14" w:rsidP="00871C14">
            <w:pPr>
              <w:jc w:val="right"/>
              <w:rPr>
                <w:b/>
                <w:bCs/>
                <w:iCs/>
                <w:lang w:eastAsia="sk-SK"/>
              </w:rPr>
            </w:pPr>
          </w:p>
        </w:tc>
        <w:tc>
          <w:tcPr>
            <w:tcW w:w="1267" w:type="dxa"/>
            <w:noWrap/>
            <w:vAlign w:val="center"/>
          </w:tcPr>
          <w:p w14:paraId="2FFBA1C2" w14:textId="77777777" w:rsidR="00871C14" w:rsidRPr="00871C14" w:rsidRDefault="00871C14" w:rsidP="00871C14">
            <w:pPr>
              <w:jc w:val="right"/>
              <w:rPr>
                <w:b/>
                <w:bCs/>
                <w:iCs/>
                <w:lang w:eastAsia="sk-SK"/>
              </w:rPr>
            </w:pPr>
          </w:p>
        </w:tc>
        <w:tc>
          <w:tcPr>
            <w:tcW w:w="1267" w:type="dxa"/>
            <w:noWrap/>
            <w:vAlign w:val="center"/>
          </w:tcPr>
          <w:p w14:paraId="637964F8" w14:textId="77777777" w:rsidR="00871C14" w:rsidRPr="00871C14" w:rsidRDefault="00871C14" w:rsidP="00871C14">
            <w:pPr>
              <w:jc w:val="right"/>
              <w:rPr>
                <w:b/>
                <w:bCs/>
                <w:iCs/>
                <w:lang w:eastAsia="sk-SK"/>
              </w:rPr>
            </w:pPr>
          </w:p>
        </w:tc>
      </w:tr>
      <w:tr w:rsidR="00871C14" w:rsidRPr="00871C14" w14:paraId="089F0C68" w14:textId="77777777" w:rsidTr="00DA58E5">
        <w:trPr>
          <w:trHeight w:val="70"/>
          <w:jc w:val="center"/>
        </w:trPr>
        <w:tc>
          <w:tcPr>
            <w:tcW w:w="4661" w:type="dxa"/>
            <w:noWrap/>
            <w:vAlign w:val="center"/>
          </w:tcPr>
          <w:p w14:paraId="3F640CD0" w14:textId="77777777" w:rsidR="00871C14" w:rsidRPr="00871C14" w:rsidRDefault="00871C14" w:rsidP="00871C14">
            <w:pPr>
              <w:rPr>
                <w:b/>
                <w:bCs/>
                <w:i/>
                <w:iCs/>
                <w:lang w:eastAsia="sk-SK"/>
              </w:rPr>
            </w:pPr>
            <w:r w:rsidRPr="00871C14">
              <w:rPr>
                <w:b/>
                <w:bCs/>
                <w:i/>
                <w:iCs/>
                <w:lang w:eastAsia="sk-SK"/>
              </w:rPr>
              <w:t>- vplyv na ostatné subjekty verejnej správy</w:t>
            </w:r>
          </w:p>
        </w:tc>
        <w:tc>
          <w:tcPr>
            <w:tcW w:w="1267" w:type="dxa"/>
            <w:noWrap/>
            <w:vAlign w:val="center"/>
          </w:tcPr>
          <w:p w14:paraId="7C4C666B" w14:textId="77777777" w:rsidR="00871C14" w:rsidRPr="00871C14" w:rsidRDefault="00871C14" w:rsidP="00871C14">
            <w:pPr>
              <w:jc w:val="right"/>
              <w:rPr>
                <w:b/>
                <w:bCs/>
                <w:iCs/>
                <w:lang w:eastAsia="sk-SK"/>
              </w:rPr>
            </w:pPr>
          </w:p>
        </w:tc>
        <w:tc>
          <w:tcPr>
            <w:tcW w:w="1267" w:type="dxa"/>
            <w:noWrap/>
            <w:vAlign w:val="center"/>
          </w:tcPr>
          <w:p w14:paraId="1A02156D" w14:textId="77777777" w:rsidR="00871C14" w:rsidRPr="00871C14" w:rsidRDefault="00871C14" w:rsidP="00871C14">
            <w:pPr>
              <w:jc w:val="right"/>
              <w:rPr>
                <w:b/>
                <w:bCs/>
                <w:iCs/>
                <w:lang w:eastAsia="sk-SK"/>
              </w:rPr>
            </w:pPr>
          </w:p>
        </w:tc>
        <w:tc>
          <w:tcPr>
            <w:tcW w:w="1267" w:type="dxa"/>
            <w:noWrap/>
            <w:vAlign w:val="center"/>
          </w:tcPr>
          <w:p w14:paraId="5CFCC87E" w14:textId="77777777" w:rsidR="00871C14" w:rsidRPr="00871C14" w:rsidRDefault="00871C14" w:rsidP="00871C14">
            <w:pPr>
              <w:jc w:val="right"/>
              <w:rPr>
                <w:b/>
                <w:bCs/>
                <w:iCs/>
                <w:lang w:eastAsia="sk-SK"/>
              </w:rPr>
            </w:pPr>
          </w:p>
        </w:tc>
        <w:tc>
          <w:tcPr>
            <w:tcW w:w="1267" w:type="dxa"/>
            <w:noWrap/>
            <w:vAlign w:val="center"/>
          </w:tcPr>
          <w:p w14:paraId="68A47811" w14:textId="77777777" w:rsidR="00871C14" w:rsidRPr="00871C14" w:rsidRDefault="00871C14" w:rsidP="00871C14">
            <w:pPr>
              <w:jc w:val="right"/>
              <w:rPr>
                <w:b/>
                <w:bCs/>
                <w:iCs/>
                <w:lang w:eastAsia="sk-SK"/>
              </w:rPr>
            </w:pPr>
          </w:p>
        </w:tc>
      </w:tr>
      <w:tr w:rsidR="00871C14" w:rsidRPr="00871C14" w14:paraId="2961344B" w14:textId="77777777" w:rsidTr="00871C14">
        <w:trPr>
          <w:trHeight w:val="70"/>
          <w:jc w:val="center"/>
        </w:trPr>
        <w:tc>
          <w:tcPr>
            <w:tcW w:w="4661" w:type="dxa"/>
            <w:shd w:val="clear" w:color="auto" w:fill="BFBFBF"/>
            <w:noWrap/>
            <w:vAlign w:val="center"/>
          </w:tcPr>
          <w:p w14:paraId="58AB984B" w14:textId="77777777" w:rsidR="00871C14" w:rsidRPr="00871C14" w:rsidRDefault="00871C14" w:rsidP="00871C14">
            <w:pPr>
              <w:rPr>
                <w:b/>
                <w:lang w:eastAsia="sk-SK"/>
              </w:rPr>
            </w:pPr>
            <w:r w:rsidRPr="00871C14">
              <w:rPr>
                <w:b/>
                <w:lang w:eastAsia="sk-SK"/>
              </w:rPr>
              <w:t>Vplyv na mzdové výdavky</w:t>
            </w:r>
          </w:p>
        </w:tc>
        <w:tc>
          <w:tcPr>
            <w:tcW w:w="1267" w:type="dxa"/>
            <w:shd w:val="clear" w:color="auto" w:fill="BFBFBF"/>
            <w:noWrap/>
            <w:vAlign w:val="center"/>
          </w:tcPr>
          <w:p w14:paraId="49FE5D06" w14:textId="77777777" w:rsidR="00871C14" w:rsidRPr="00871C14" w:rsidRDefault="00871C14" w:rsidP="00871C14">
            <w:pPr>
              <w:jc w:val="right"/>
              <w:rPr>
                <w:b/>
                <w:lang w:eastAsia="sk-SK"/>
              </w:rPr>
            </w:pPr>
            <w:r w:rsidRPr="00871C14">
              <w:rPr>
                <w:b/>
                <w:lang w:eastAsia="sk-SK"/>
              </w:rPr>
              <w:t>0</w:t>
            </w:r>
          </w:p>
        </w:tc>
        <w:tc>
          <w:tcPr>
            <w:tcW w:w="1267" w:type="dxa"/>
            <w:shd w:val="clear" w:color="auto" w:fill="BFBFBF"/>
            <w:noWrap/>
            <w:vAlign w:val="center"/>
          </w:tcPr>
          <w:p w14:paraId="3E43789C" w14:textId="77777777" w:rsidR="00871C14" w:rsidRPr="00871C14" w:rsidRDefault="00871C14" w:rsidP="00871C14">
            <w:pPr>
              <w:jc w:val="right"/>
              <w:rPr>
                <w:b/>
                <w:lang w:eastAsia="sk-SK"/>
              </w:rPr>
            </w:pPr>
            <w:r w:rsidRPr="00871C14">
              <w:rPr>
                <w:b/>
                <w:lang w:eastAsia="sk-SK"/>
              </w:rPr>
              <w:t>0</w:t>
            </w:r>
          </w:p>
        </w:tc>
        <w:tc>
          <w:tcPr>
            <w:tcW w:w="1267" w:type="dxa"/>
            <w:shd w:val="clear" w:color="auto" w:fill="BFBFBF"/>
            <w:noWrap/>
            <w:vAlign w:val="center"/>
          </w:tcPr>
          <w:p w14:paraId="3D76D2D0" w14:textId="77777777" w:rsidR="00871C14" w:rsidRPr="00871C14" w:rsidRDefault="00871C14" w:rsidP="00871C14">
            <w:pPr>
              <w:jc w:val="right"/>
              <w:rPr>
                <w:b/>
                <w:lang w:eastAsia="sk-SK"/>
              </w:rPr>
            </w:pPr>
            <w:r w:rsidRPr="00871C14">
              <w:rPr>
                <w:b/>
                <w:lang w:eastAsia="sk-SK"/>
              </w:rPr>
              <w:t>0</w:t>
            </w:r>
          </w:p>
        </w:tc>
        <w:tc>
          <w:tcPr>
            <w:tcW w:w="1267" w:type="dxa"/>
            <w:shd w:val="clear" w:color="auto" w:fill="BFBFBF"/>
            <w:noWrap/>
            <w:vAlign w:val="center"/>
          </w:tcPr>
          <w:p w14:paraId="12823CBF" w14:textId="77777777" w:rsidR="00871C14" w:rsidRPr="00871C14" w:rsidRDefault="00871C14" w:rsidP="00871C14">
            <w:pPr>
              <w:jc w:val="right"/>
              <w:rPr>
                <w:b/>
                <w:lang w:eastAsia="sk-SK"/>
              </w:rPr>
            </w:pPr>
            <w:r w:rsidRPr="00871C14">
              <w:rPr>
                <w:b/>
                <w:lang w:eastAsia="sk-SK"/>
              </w:rPr>
              <w:t>0</w:t>
            </w:r>
          </w:p>
        </w:tc>
      </w:tr>
      <w:tr w:rsidR="00871C14" w:rsidRPr="00871C14" w14:paraId="45625377" w14:textId="77777777" w:rsidTr="00DA58E5">
        <w:trPr>
          <w:trHeight w:val="70"/>
          <w:jc w:val="center"/>
        </w:trPr>
        <w:tc>
          <w:tcPr>
            <w:tcW w:w="4661" w:type="dxa"/>
            <w:noWrap/>
            <w:vAlign w:val="center"/>
          </w:tcPr>
          <w:p w14:paraId="111FF0F9" w14:textId="77777777" w:rsidR="00871C14" w:rsidRPr="00871C14" w:rsidRDefault="00871C14" w:rsidP="00871C14">
            <w:pPr>
              <w:rPr>
                <w:b/>
                <w:bCs/>
                <w:i/>
                <w:iCs/>
                <w:lang w:eastAsia="sk-SK"/>
              </w:rPr>
            </w:pPr>
            <w:r w:rsidRPr="00871C14">
              <w:rPr>
                <w:b/>
                <w:bCs/>
                <w:i/>
                <w:iCs/>
                <w:lang w:eastAsia="sk-SK"/>
              </w:rPr>
              <w:t>- vplyv na ŠR</w:t>
            </w:r>
          </w:p>
        </w:tc>
        <w:tc>
          <w:tcPr>
            <w:tcW w:w="1267" w:type="dxa"/>
            <w:noWrap/>
            <w:vAlign w:val="center"/>
          </w:tcPr>
          <w:p w14:paraId="116C3E20" w14:textId="77777777" w:rsidR="00871C14" w:rsidRPr="00871C14" w:rsidRDefault="00871C14" w:rsidP="00871C14">
            <w:pPr>
              <w:jc w:val="right"/>
              <w:rPr>
                <w:b/>
                <w:bCs/>
                <w:iCs/>
                <w:lang w:eastAsia="sk-SK"/>
              </w:rPr>
            </w:pPr>
          </w:p>
        </w:tc>
        <w:tc>
          <w:tcPr>
            <w:tcW w:w="1267" w:type="dxa"/>
            <w:noWrap/>
            <w:vAlign w:val="center"/>
          </w:tcPr>
          <w:p w14:paraId="009817E9" w14:textId="77777777" w:rsidR="00871C14" w:rsidRPr="00871C14" w:rsidRDefault="00871C14" w:rsidP="00871C14">
            <w:pPr>
              <w:jc w:val="right"/>
              <w:rPr>
                <w:b/>
                <w:bCs/>
                <w:iCs/>
                <w:lang w:eastAsia="sk-SK"/>
              </w:rPr>
            </w:pPr>
          </w:p>
        </w:tc>
        <w:tc>
          <w:tcPr>
            <w:tcW w:w="1267" w:type="dxa"/>
            <w:noWrap/>
            <w:vAlign w:val="center"/>
          </w:tcPr>
          <w:p w14:paraId="65DA07A8" w14:textId="77777777" w:rsidR="00871C14" w:rsidRPr="00871C14" w:rsidRDefault="00871C14" w:rsidP="00871C14">
            <w:pPr>
              <w:jc w:val="right"/>
              <w:rPr>
                <w:b/>
                <w:bCs/>
                <w:iCs/>
                <w:lang w:eastAsia="sk-SK"/>
              </w:rPr>
            </w:pPr>
          </w:p>
        </w:tc>
        <w:tc>
          <w:tcPr>
            <w:tcW w:w="1267" w:type="dxa"/>
            <w:noWrap/>
            <w:vAlign w:val="center"/>
          </w:tcPr>
          <w:p w14:paraId="786492D8" w14:textId="77777777" w:rsidR="00871C14" w:rsidRPr="00871C14" w:rsidRDefault="00871C14" w:rsidP="00871C14">
            <w:pPr>
              <w:jc w:val="right"/>
              <w:rPr>
                <w:b/>
                <w:bCs/>
                <w:iCs/>
                <w:lang w:eastAsia="sk-SK"/>
              </w:rPr>
            </w:pPr>
          </w:p>
        </w:tc>
      </w:tr>
      <w:tr w:rsidR="00871C14" w:rsidRPr="00871C14" w14:paraId="48E69555" w14:textId="77777777" w:rsidTr="00DA58E5">
        <w:trPr>
          <w:trHeight w:val="70"/>
          <w:jc w:val="center"/>
        </w:trPr>
        <w:tc>
          <w:tcPr>
            <w:tcW w:w="4661" w:type="dxa"/>
            <w:noWrap/>
            <w:vAlign w:val="center"/>
          </w:tcPr>
          <w:p w14:paraId="6828E4C1" w14:textId="77777777" w:rsidR="00871C14" w:rsidRPr="00871C14" w:rsidRDefault="00871C14" w:rsidP="00871C14">
            <w:pPr>
              <w:rPr>
                <w:b/>
                <w:bCs/>
                <w:i/>
                <w:iCs/>
                <w:lang w:eastAsia="sk-SK"/>
              </w:rPr>
            </w:pPr>
            <w:r w:rsidRPr="00871C14">
              <w:rPr>
                <w:b/>
                <w:bCs/>
                <w:i/>
                <w:iCs/>
                <w:lang w:eastAsia="sk-SK"/>
              </w:rPr>
              <w:t>- vplyv na obce</w:t>
            </w:r>
          </w:p>
        </w:tc>
        <w:tc>
          <w:tcPr>
            <w:tcW w:w="1267" w:type="dxa"/>
            <w:noWrap/>
            <w:vAlign w:val="center"/>
          </w:tcPr>
          <w:p w14:paraId="03DCA8DE" w14:textId="77777777" w:rsidR="00871C14" w:rsidRPr="00871C14" w:rsidRDefault="00871C14" w:rsidP="00871C14">
            <w:pPr>
              <w:jc w:val="right"/>
              <w:rPr>
                <w:b/>
                <w:bCs/>
                <w:iCs/>
                <w:lang w:eastAsia="sk-SK"/>
              </w:rPr>
            </w:pPr>
          </w:p>
        </w:tc>
        <w:tc>
          <w:tcPr>
            <w:tcW w:w="1267" w:type="dxa"/>
            <w:noWrap/>
            <w:vAlign w:val="center"/>
          </w:tcPr>
          <w:p w14:paraId="4346FD94" w14:textId="77777777" w:rsidR="00871C14" w:rsidRPr="00871C14" w:rsidRDefault="00871C14" w:rsidP="00871C14">
            <w:pPr>
              <w:jc w:val="right"/>
              <w:rPr>
                <w:b/>
                <w:bCs/>
                <w:iCs/>
                <w:lang w:eastAsia="sk-SK"/>
              </w:rPr>
            </w:pPr>
          </w:p>
        </w:tc>
        <w:tc>
          <w:tcPr>
            <w:tcW w:w="1267" w:type="dxa"/>
            <w:noWrap/>
            <w:vAlign w:val="center"/>
          </w:tcPr>
          <w:p w14:paraId="157AE1B2" w14:textId="77777777" w:rsidR="00871C14" w:rsidRPr="00871C14" w:rsidRDefault="00871C14" w:rsidP="00871C14">
            <w:pPr>
              <w:jc w:val="right"/>
              <w:rPr>
                <w:b/>
                <w:bCs/>
                <w:iCs/>
                <w:lang w:eastAsia="sk-SK"/>
              </w:rPr>
            </w:pPr>
          </w:p>
        </w:tc>
        <w:tc>
          <w:tcPr>
            <w:tcW w:w="1267" w:type="dxa"/>
            <w:noWrap/>
            <w:vAlign w:val="center"/>
          </w:tcPr>
          <w:p w14:paraId="263135B8" w14:textId="77777777" w:rsidR="00871C14" w:rsidRPr="00871C14" w:rsidRDefault="00871C14" w:rsidP="00871C14">
            <w:pPr>
              <w:jc w:val="right"/>
              <w:rPr>
                <w:b/>
                <w:bCs/>
                <w:iCs/>
                <w:lang w:eastAsia="sk-SK"/>
              </w:rPr>
            </w:pPr>
          </w:p>
        </w:tc>
      </w:tr>
      <w:tr w:rsidR="00871C14" w:rsidRPr="00871C14" w14:paraId="260B3C37" w14:textId="77777777" w:rsidTr="00DA58E5">
        <w:trPr>
          <w:trHeight w:val="70"/>
          <w:jc w:val="center"/>
        </w:trPr>
        <w:tc>
          <w:tcPr>
            <w:tcW w:w="4661" w:type="dxa"/>
            <w:noWrap/>
            <w:vAlign w:val="center"/>
          </w:tcPr>
          <w:p w14:paraId="50FBAE47" w14:textId="77777777" w:rsidR="00871C14" w:rsidRPr="00871C14" w:rsidRDefault="00871C14" w:rsidP="00871C14">
            <w:pPr>
              <w:rPr>
                <w:b/>
                <w:bCs/>
                <w:i/>
                <w:iCs/>
                <w:lang w:eastAsia="sk-SK"/>
              </w:rPr>
            </w:pPr>
            <w:r w:rsidRPr="00871C14">
              <w:rPr>
                <w:b/>
                <w:bCs/>
                <w:i/>
                <w:iCs/>
                <w:lang w:eastAsia="sk-SK"/>
              </w:rPr>
              <w:t>- vplyv na vyššie územné celky</w:t>
            </w:r>
          </w:p>
        </w:tc>
        <w:tc>
          <w:tcPr>
            <w:tcW w:w="1267" w:type="dxa"/>
            <w:noWrap/>
            <w:vAlign w:val="center"/>
          </w:tcPr>
          <w:p w14:paraId="6259AFCF" w14:textId="77777777" w:rsidR="00871C14" w:rsidRPr="00871C14" w:rsidRDefault="00871C14" w:rsidP="00871C14">
            <w:pPr>
              <w:jc w:val="right"/>
              <w:rPr>
                <w:b/>
                <w:bCs/>
                <w:iCs/>
                <w:lang w:eastAsia="sk-SK"/>
              </w:rPr>
            </w:pPr>
          </w:p>
        </w:tc>
        <w:tc>
          <w:tcPr>
            <w:tcW w:w="1267" w:type="dxa"/>
            <w:noWrap/>
            <w:vAlign w:val="center"/>
          </w:tcPr>
          <w:p w14:paraId="25BA861F" w14:textId="77777777" w:rsidR="00871C14" w:rsidRPr="00871C14" w:rsidRDefault="00871C14" w:rsidP="00871C14">
            <w:pPr>
              <w:jc w:val="right"/>
              <w:rPr>
                <w:b/>
                <w:bCs/>
                <w:iCs/>
                <w:lang w:eastAsia="sk-SK"/>
              </w:rPr>
            </w:pPr>
          </w:p>
        </w:tc>
        <w:tc>
          <w:tcPr>
            <w:tcW w:w="1267" w:type="dxa"/>
            <w:noWrap/>
            <w:vAlign w:val="center"/>
          </w:tcPr>
          <w:p w14:paraId="7FB818A4" w14:textId="77777777" w:rsidR="00871C14" w:rsidRPr="00871C14" w:rsidRDefault="00871C14" w:rsidP="00871C14">
            <w:pPr>
              <w:jc w:val="right"/>
              <w:rPr>
                <w:b/>
                <w:bCs/>
                <w:iCs/>
                <w:lang w:eastAsia="sk-SK"/>
              </w:rPr>
            </w:pPr>
          </w:p>
        </w:tc>
        <w:tc>
          <w:tcPr>
            <w:tcW w:w="1267" w:type="dxa"/>
            <w:noWrap/>
            <w:vAlign w:val="center"/>
          </w:tcPr>
          <w:p w14:paraId="5496536C" w14:textId="77777777" w:rsidR="00871C14" w:rsidRPr="00871C14" w:rsidRDefault="00871C14" w:rsidP="00871C14">
            <w:pPr>
              <w:jc w:val="right"/>
              <w:rPr>
                <w:b/>
                <w:bCs/>
                <w:iCs/>
                <w:lang w:eastAsia="sk-SK"/>
              </w:rPr>
            </w:pPr>
          </w:p>
        </w:tc>
      </w:tr>
      <w:tr w:rsidR="00871C14" w:rsidRPr="00871C14" w14:paraId="578A76C6" w14:textId="77777777" w:rsidTr="00DA58E5">
        <w:trPr>
          <w:trHeight w:val="70"/>
          <w:jc w:val="center"/>
        </w:trPr>
        <w:tc>
          <w:tcPr>
            <w:tcW w:w="4661" w:type="dxa"/>
            <w:noWrap/>
            <w:vAlign w:val="center"/>
          </w:tcPr>
          <w:p w14:paraId="1811C5A0" w14:textId="77777777" w:rsidR="00871C14" w:rsidRPr="00871C14" w:rsidRDefault="00871C14" w:rsidP="00871C14">
            <w:pPr>
              <w:rPr>
                <w:b/>
                <w:bCs/>
                <w:lang w:eastAsia="sk-SK"/>
              </w:rPr>
            </w:pPr>
            <w:r w:rsidRPr="00871C14">
              <w:rPr>
                <w:b/>
                <w:bCs/>
                <w:i/>
                <w:iCs/>
                <w:lang w:eastAsia="sk-SK"/>
              </w:rPr>
              <w:t>- vplyv na ostatné subjekty verejnej správy</w:t>
            </w:r>
          </w:p>
        </w:tc>
        <w:tc>
          <w:tcPr>
            <w:tcW w:w="1267" w:type="dxa"/>
            <w:noWrap/>
            <w:vAlign w:val="center"/>
          </w:tcPr>
          <w:p w14:paraId="7CD75513" w14:textId="77777777" w:rsidR="00871C14" w:rsidRPr="00871C14" w:rsidRDefault="00871C14" w:rsidP="00871C14">
            <w:pPr>
              <w:jc w:val="right"/>
              <w:rPr>
                <w:b/>
                <w:bCs/>
                <w:iCs/>
                <w:lang w:eastAsia="sk-SK"/>
              </w:rPr>
            </w:pPr>
          </w:p>
        </w:tc>
        <w:tc>
          <w:tcPr>
            <w:tcW w:w="1267" w:type="dxa"/>
            <w:noWrap/>
            <w:vAlign w:val="center"/>
          </w:tcPr>
          <w:p w14:paraId="6BE7C4D1" w14:textId="77777777" w:rsidR="00871C14" w:rsidRPr="00871C14" w:rsidRDefault="00871C14" w:rsidP="00871C14">
            <w:pPr>
              <w:jc w:val="right"/>
              <w:rPr>
                <w:b/>
                <w:bCs/>
                <w:iCs/>
                <w:lang w:eastAsia="sk-SK"/>
              </w:rPr>
            </w:pPr>
          </w:p>
        </w:tc>
        <w:tc>
          <w:tcPr>
            <w:tcW w:w="1267" w:type="dxa"/>
            <w:noWrap/>
            <w:vAlign w:val="center"/>
          </w:tcPr>
          <w:p w14:paraId="35767D23" w14:textId="77777777" w:rsidR="00871C14" w:rsidRPr="00871C14" w:rsidRDefault="00871C14" w:rsidP="00871C14">
            <w:pPr>
              <w:jc w:val="right"/>
              <w:rPr>
                <w:b/>
                <w:bCs/>
                <w:iCs/>
                <w:lang w:eastAsia="sk-SK"/>
              </w:rPr>
            </w:pPr>
          </w:p>
        </w:tc>
        <w:tc>
          <w:tcPr>
            <w:tcW w:w="1267" w:type="dxa"/>
            <w:noWrap/>
            <w:vAlign w:val="center"/>
          </w:tcPr>
          <w:p w14:paraId="1DAB8142" w14:textId="77777777" w:rsidR="00871C14" w:rsidRPr="00871C14" w:rsidRDefault="00871C14" w:rsidP="00871C14">
            <w:pPr>
              <w:jc w:val="right"/>
              <w:rPr>
                <w:b/>
                <w:bCs/>
                <w:iCs/>
                <w:lang w:eastAsia="sk-SK"/>
              </w:rPr>
            </w:pPr>
          </w:p>
        </w:tc>
      </w:tr>
      <w:tr w:rsidR="00871C14" w:rsidRPr="00871C14" w14:paraId="0EBDEC5D" w14:textId="77777777" w:rsidTr="00DA58E5">
        <w:trPr>
          <w:trHeight w:val="70"/>
          <w:jc w:val="center"/>
        </w:trPr>
        <w:tc>
          <w:tcPr>
            <w:tcW w:w="4661" w:type="dxa"/>
            <w:shd w:val="clear" w:color="auto" w:fill="C0C0C0"/>
            <w:noWrap/>
            <w:vAlign w:val="center"/>
          </w:tcPr>
          <w:p w14:paraId="75FB73CD" w14:textId="77777777" w:rsidR="00871C14" w:rsidRPr="00871C14" w:rsidRDefault="00871C14" w:rsidP="00871C14">
            <w:pPr>
              <w:rPr>
                <w:b/>
                <w:bCs/>
                <w:lang w:eastAsia="sk-SK"/>
              </w:rPr>
            </w:pPr>
            <w:r w:rsidRPr="00871C14">
              <w:rPr>
                <w:b/>
                <w:bCs/>
                <w:lang w:eastAsia="sk-SK"/>
              </w:rPr>
              <w:t>Financovanie zabezpečené v rozpočte</w:t>
            </w:r>
          </w:p>
        </w:tc>
        <w:tc>
          <w:tcPr>
            <w:tcW w:w="1267" w:type="dxa"/>
            <w:shd w:val="clear" w:color="auto" w:fill="C0C0C0"/>
            <w:noWrap/>
            <w:vAlign w:val="center"/>
          </w:tcPr>
          <w:p w14:paraId="4A967290" w14:textId="77777777" w:rsidR="00871C14" w:rsidRPr="00871C14" w:rsidRDefault="00871C14" w:rsidP="00871C14">
            <w:pPr>
              <w:jc w:val="right"/>
              <w:rPr>
                <w:b/>
                <w:bCs/>
                <w:lang w:eastAsia="sk-SK"/>
              </w:rPr>
            </w:pPr>
            <w:r w:rsidRPr="00871C14">
              <w:rPr>
                <w:b/>
                <w:bCs/>
                <w:lang w:eastAsia="sk-SK"/>
              </w:rPr>
              <w:t>0</w:t>
            </w:r>
          </w:p>
        </w:tc>
        <w:tc>
          <w:tcPr>
            <w:tcW w:w="1267" w:type="dxa"/>
            <w:shd w:val="clear" w:color="auto" w:fill="C0C0C0"/>
            <w:noWrap/>
            <w:vAlign w:val="center"/>
          </w:tcPr>
          <w:p w14:paraId="08B5D828" w14:textId="77777777" w:rsidR="00871C14" w:rsidRPr="00871C14" w:rsidRDefault="00871C14" w:rsidP="00871C14">
            <w:pPr>
              <w:jc w:val="right"/>
              <w:rPr>
                <w:b/>
                <w:bCs/>
                <w:lang w:eastAsia="sk-SK"/>
              </w:rPr>
            </w:pPr>
            <w:r w:rsidRPr="00871C14">
              <w:rPr>
                <w:b/>
                <w:bCs/>
                <w:lang w:eastAsia="sk-SK"/>
              </w:rPr>
              <w:t>188 000</w:t>
            </w:r>
          </w:p>
        </w:tc>
        <w:tc>
          <w:tcPr>
            <w:tcW w:w="1267" w:type="dxa"/>
            <w:shd w:val="clear" w:color="auto" w:fill="C0C0C0"/>
            <w:noWrap/>
            <w:vAlign w:val="center"/>
          </w:tcPr>
          <w:p w14:paraId="433221D7" w14:textId="77777777" w:rsidR="00871C14" w:rsidRPr="00871C14" w:rsidRDefault="00871C14" w:rsidP="00871C14">
            <w:pPr>
              <w:jc w:val="right"/>
              <w:rPr>
                <w:b/>
                <w:bCs/>
                <w:lang w:eastAsia="sk-SK"/>
              </w:rPr>
            </w:pPr>
            <w:r w:rsidRPr="00871C14">
              <w:rPr>
                <w:b/>
                <w:bCs/>
                <w:lang w:eastAsia="sk-SK"/>
              </w:rPr>
              <w:t>0</w:t>
            </w:r>
          </w:p>
        </w:tc>
        <w:tc>
          <w:tcPr>
            <w:tcW w:w="1267" w:type="dxa"/>
            <w:shd w:val="clear" w:color="auto" w:fill="C0C0C0"/>
            <w:noWrap/>
            <w:vAlign w:val="center"/>
          </w:tcPr>
          <w:p w14:paraId="75490E7E" w14:textId="77777777" w:rsidR="00871C14" w:rsidRPr="00871C14" w:rsidRDefault="00871C14" w:rsidP="00871C14">
            <w:pPr>
              <w:jc w:val="right"/>
              <w:rPr>
                <w:b/>
                <w:bCs/>
                <w:lang w:eastAsia="sk-SK"/>
              </w:rPr>
            </w:pPr>
            <w:r w:rsidRPr="00871C14">
              <w:rPr>
                <w:b/>
                <w:bCs/>
                <w:lang w:eastAsia="sk-SK"/>
              </w:rPr>
              <w:t>0</w:t>
            </w:r>
          </w:p>
        </w:tc>
      </w:tr>
      <w:tr w:rsidR="00871C14" w:rsidRPr="00871C14" w14:paraId="7D2D07B7" w14:textId="77777777" w:rsidTr="00DA58E5">
        <w:trPr>
          <w:trHeight w:val="70"/>
          <w:jc w:val="center"/>
        </w:trPr>
        <w:tc>
          <w:tcPr>
            <w:tcW w:w="4661" w:type="dxa"/>
            <w:noWrap/>
            <w:vAlign w:val="center"/>
          </w:tcPr>
          <w:p w14:paraId="2721778A" w14:textId="77777777" w:rsidR="00871C14" w:rsidRPr="00871C14" w:rsidRDefault="00871C14" w:rsidP="00871C14">
            <w:pPr>
              <w:rPr>
                <w:lang w:eastAsia="sk-SK"/>
              </w:rPr>
            </w:pPr>
            <w:r w:rsidRPr="00871C14">
              <w:rPr>
                <w:lang w:eastAsia="sk-SK"/>
              </w:rPr>
              <w:t>v tom: MPSVR SR  - 0EK0H03</w:t>
            </w:r>
          </w:p>
        </w:tc>
        <w:tc>
          <w:tcPr>
            <w:tcW w:w="1267" w:type="dxa"/>
            <w:noWrap/>
            <w:vAlign w:val="center"/>
          </w:tcPr>
          <w:p w14:paraId="49F3B51C" w14:textId="77777777" w:rsidR="00871C14" w:rsidRPr="00871C14" w:rsidRDefault="00871C14" w:rsidP="00871C14">
            <w:pPr>
              <w:jc w:val="right"/>
              <w:rPr>
                <w:lang w:eastAsia="sk-SK"/>
              </w:rPr>
            </w:pPr>
            <w:r w:rsidRPr="00871C14">
              <w:rPr>
                <w:lang w:eastAsia="sk-SK"/>
              </w:rPr>
              <w:t>0</w:t>
            </w:r>
          </w:p>
        </w:tc>
        <w:tc>
          <w:tcPr>
            <w:tcW w:w="1267" w:type="dxa"/>
            <w:noWrap/>
            <w:vAlign w:val="center"/>
          </w:tcPr>
          <w:p w14:paraId="2577D40E" w14:textId="77777777" w:rsidR="00871C14" w:rsidRPr="00871C14" w:rsidRDefault="00871C14" w:rsidP="00871C14">
            <w:pPr>
              <w:jc w:val="right"/>
              <w:rPr>
                <w:lang w:eastAsia="sk-SK"/>
              </w:rPr>
            </w:pPr>
            <w:r w:rsidRPr="00871C14">
              <w:rPr>
                <w:lang w:eastAsia="sk-SK"/>
              </w:rPr>
              <w:t>88 000</w:t>
            </w:r>
          </w:p>
        </w:tc>
        <w:tc>
          <w:tcPr>
            <w:tcW w:w="1267" w:type="dxa"/>
            <w:noWrap/>
            <w:vAlign w:val="center"/>
          </w:tcPr>
          <w:p w14:paraId="010EF19C" w14:textId="77777777" w:rsidR="00871C14" w:rsidRPr="00871C14" w:rsidRDefault="00871C14" w:rsidP="00871C14">
            <w:pPr>
              <w:jc w:val="right"/>
              <w:rPr>
                <w:lang w:eastAsia="sk-SK"/>
              </w:rPr>
            </w:pPr>
          </w:p>
        </w:tc>
        <w:tc>
          <w:tcPr>
            <w:tcW w:w="1267" w:type="dxa"/>
            <w:noWrap/>
            <w:vAlign w:val="center"/>
          </w:tcPr>
          <w:p w14:paraId="35579CF4" w14:textId="77777777" w:rsidR="00871C14" w:rsidRPr="00871C14" w:rsidRDefault="00871C14" w:rsidP="00871C14">
            <w:pPr>
              <w:jc w:val="right"/>
              <w:rPr>
                <w:lang w:eastAsia="sk-SK"/>
              </w:rPr>
            </w:pPr>
            <w:r w:rsidRPr="00871C14">
              <w:rPr>
                <w:lang w:eastAsia="sk-SK"/>
              </w:rPr>
              <w:t>0</w:t>
            </w:r>
          </w:p>
        </w:tc>
      </w:tr>
      <w:tr w:rsidR="00871C14" w:rsidRPr="00871C14" w14:paraId="75AFAD05" w14:textId="77777777" w:rsidTr="00DA58E5">
        <w:trPr>
          <w:trHeight w:val="70"/>
          <w:jc w:val="center"/>
        </w:trPr>
        <w:tc>
          <w:tcPr>
            <w:tcW w:w="4661" w:type="dxa"/>
            <w:noWrap/>
            <w:vAlign w:val="center"/>
          </w:tcPr>
          <w:p w14:paraId="438E0356" w14:textId="77777777" w:rsidR="00871C14" w:rsidRPr="00871C14" w:rsidRDefault="00871C14" w:rsidP="00871C14">
            <w:pPr>
              <w:rPr>
                <w:lang w:eastAsia="sk-SK"/>
              </w:rPr>
            </w:pPr>
            <w:r w:rsidRPr="00871C14">
              <w:rPr>
                <w:lang w:eastAsia="sk-SK"/>
              </w:rPr>
              <w:t xml:space="preserve">v tom: MV SR- </w:t>
            </w:r>
            <w:r w:rsidRPr="00871C14" w:rsidDel="00BA0DAE">
              <w:rPr>
                <w:lang w:eastAsia="sk-SK"/>
              </w:rPr>
              <w:t xml:space="preserve"> </w:t>
            </w:r>
            <w:r w:rsidRPr="00871C14">
              <w:rPr>
                <w:lang w:eastAsia="sk-SK"/>
              </w:rPr>
              <w:t>0EK0B04</w:t>
            </w:r>
          </w:p>
        </w:tc>
        <w:tc>
          <w:tcPr>
            <w:tcW w:w="1267" w:type="dxa"/>
            <w:noWrap/>
            <w:vAlign w:val="center"/>
          </w:tcPr>
          <w:p w14:paraId="3A22C240" w14:textId="77777777" w:rsidR="00871C14" w:rsidRPr="00871C14" w:rsidRDefault="00871C14" w:rsidP="00871C14">
            <w:pPr>
              <w:jc w:val="right"/>
              <w:rPr>
                <w:lang w:eastAsia="sk-SK"/>
              </w:rPr>
            </w:pPr>
            <w:r w:rsidRPr="00871C14">
              <w:rPr>
                <w:lang w:eastAsia="sk-SK"/>
              </w:rPr>
              <w:t>0</w:t>
            </w:r>
          </w:p>
        </w:tc>
        <w:tc>
          <w:tcPr>
            <w:tcW w:w="1267" w:type="dxa"/>
            <w:noWrap/>
            <w:vAlign w:val="center"/>
          </w:tcPr>
          <w:p w14:paraId="6282DA14" w14:textId="77777777" w:rsidR="00871C14" w:rsidRPr="00871C14" w:rsidRDefault="00871C14" w:rsidP="00871C14">
            <w:pPr>
              <w:jc w:val="right"/>
              <w:rPr>
                <w:lang w:eastAsia="sk-SK"/>
              </w:rPr>
            </w:pPr>
            <w:r w:rsidRPr="00871C14">
              <w:rPr>
                <w:lang w:eastAsia="sk-SK"/>
              </w:rPr>
              <w:t>100 000</w:t>
            </w:r>
          </w:p>
        </w:tc>
        <w:tc>
          <w:tcPr>
            <w:tcW w:w="1267" w:type="dxa"/>
            <w:noWrap/>
            <w:vAlign w:val="center"/>
          </w:tcPr>
          <w:p w14:paraId="50F52062" w14:textId="77777777" w:rsidR="00871C14" w:rsidRPr="00871C14" w:rsidRDefault="00871C14" w:rsidP="00871C14">
            <w:pPr>
              <w:jc w:val="right"/>
              <w:rPr>
                <w:lang w:eastAsia="sk-SK"/>
              </w:rPr>
            </w:pPr>
          </w:p>
        </w:tc>
        <w:tc>
          <w:tcPr>
            <w:tcW w:w="1267" w:type="dxa"/>
            <w:noWrap/>
            <w:vAlign w:val="center"/>
          </w:tcPr>
          <w:p w14:paraId="66E837C0" w14:textId="77777777" w:rsidR="00871C14" w:rsidRPr="00871C14" w:rsidRDefault="00871C14" w:rsidP="00871C14">
            <w:pPr>
              <w:jc w:val="right"/>
              <w:rPr>
                <w:lang w:eastAsia="sk-SK"/>
              </w:rPr>
            </w:pPr>
            <w:r w:rsidRPr="00871C14">
              <w:rPr>
                <w:lang w:eastAsia="sk-SK"/>
              </w:rPr>
              <w:t>0</w:t>
            </w:r>
          </w:p>
        </w:tc>
      </w:tr>
      <w:tr w:rsidR="00871C14" w:rsidRPr="00871C14" w14:paraId="454986EF" w14:textId="77777777" w:rsidTr="00871C14">
        <w:trPr>
          <w:trHeight w:val="70"/>
          <w:jc w:val="center"/>
        </w:trPr>
        <w:tc>
          <w:tcPr>
            <w:tcW w:w="4661" w:type="dxa"/>
            <w:shd w:val="clear" w:color="auto" w:fill="BFBFBF"/>
            <w:noWrap/>
            <w:vAlign w:val="center"/>
          </w:tcPr>
          <w:p w14:paraId="6F8D84B6" w14:textId="77777777" w:rsidR="00871C14" w:rsidRPr="00871C14" w:rsidRDefault="00871C14" w:rsidP="00871C14">
            <w:pPr>
              <w:rPr>
                <w:b/>
                <w:lang w:eastAsia="sk-SK"/>
              </w:rPr>
            </w:pPr>
            <w:r w:rsidRPr="00871C14">
              <w:rPr>
                <w:b/>
                <w:lang w:eastAsia="sk-SK"/>
              </w:rPr>
              <w:t>Iné ako rozpočtové zdroje</w:t>
            </w:r>
          </w:p>
        </w:tc>
        <w:tc>
          <w:tcPr>
            <w:tcW w:w="1267" w:type="dxa"/>
            <w:shd w:val="clear" w:color="auto" w:fill="BFBFBF"/>
            <w:noWrap/>
            <w:vAlign w:val="center"/>
          </w:tcPr>
          <w:p w14:paraId="2329298A" w14:textId="77777777" w:rsidR="00871C14" w:rsidRPr="00871C14" w:rsidRDefault="00871C14" w:rsidP="00871C14">
            <w:pPr>
              <w:jc w:val="right"/>
              <w:rPr>
                <w:b/>
                <w:bCs/>
                <w:lang w:eastAsia="sk-SK"/>
              </w:rPr>
            </w:pPr>
            <w:r w:rsidRPr="00871C14">
              <w:rPr>
                <w:b/>
                <w:bCs/>
                <w:lang w:eastAsia="sk-SK"/>
              </w:rPr>
              <w:t>0</w:t>
            </w:r>
          </w:p>
        </w:tc>
        <w:tc>
          <w:tcPr>
            <w:tcW w:w="1267" w:type="dxa"/>
            <w:shd w:val="clear" w:color="auto" w:fill="BFBFBF"/>
            <w:noWrap/>
            <w:vAlign w:val="center"/>
          </w:tcPr>
          <w:p w14:paraId="7D2B4A80" w14:textId="77777777" w:rsidR="00871C14" w:rsidRPr="00871C14" w:rsidRDefault="00871C14" w:rsidP="00871C14">
            <w:pPr>
              <w:jc w:val="right"/>
              <w:rPr>
                <w:b/>
                <w:bCs/>
                <w:lang w:eastAsia="sk-SK"/>
              </w:rPr>
            </w:pPr>
            <w:r w:rsidRPr="00871C14">
              <w:rPr>
                <w:b/>
                <w:bCs/>
                <w:lang w:eastAsia="sk-SK"/>
              </w:rPr>
              <w:t>0</w:t>
            </w:r>
          </w:p>
        </w:tc>
        <w:tc>
          <w:tcPr>
            <w:tcW w:w="1267" w:type="dxa"/>
            <w:shd w:val="clear" w:color="auto" w:fill="BFBFBF"/>
            <w:noWrap/>
            <w:vAlign w:val="center"/>
          </w:tcPr>
          <w:p w14:paraId="00D6199F" w14:textId="77777777" w:rsidR="00871C14" w:rsidRPr="00871C14" w:rsidRDefault="00871C14" w:rsidP="00871C14">
            <w:pPr>
              <w:jc w:val="right"/>
              <w:rPr>
                <w:b/>
                <w:bCs/>
                <w:lang w:eastAsia="sk-SK"/>
              </w:rPr>
            </w:pPr>
            <w:r w:rsidRPr="00871C14">
              <w:rPr>
                <w:b/>
                <w:bCs/>
                <w:lang w:eastAsia="sk-SK"/>
              </w:rPr>
              <w:t>0</w:t>
            </w:r>
          </w:p>
        </w:tc>
        <w:tc>
          <w:tcPr>
            <w:tcW w:w="1267" w:type="dxa"/>
            <w:shd w:val="clear" w:color="auto" w:fill="BFBFBF"/>
            <w:noWrap/>
            <w:vAlign w:val="center"/>
          </w:tcPr>
          <w:p w14:paraId="30A1ABD3" w14:textId="77777777" w:rsidR="00871C14" w:rsidRPr="00871C14" w:rsidRDefault="00871C14" w:rsidP="00871C14">
            <w:pPr>
              <w:jc w:val="right"/>
              <w:rPr>
                <w:b/>
                <w:bCs/>
                <w:lang w:eastAsia="sk-SK"/>
              </w:rPr>
            </w:pPr>
            <w:r w:rsidRPr="00871C14">
              <w:rPr>
                <w:b/>
                <w:bCs/>
                <w:lang w:eastAsia="sk-SK"/>
              </w:rPr>
              <w:t>0</w:t>
            </w:r>
          </w:p>
        </w:tc>
      </w:tr>
      <w:tr w:rsidR="00871C14" w:rsidRPr="00871C14" w14:paraId="0346DB3E" w14:textId="77777777" w:rsidTr="00871C14">
        <w:trPr>
          <w:trHeight w:val="70"/>
          <w:jc w:val="center"/>
        </w:trPr>
        <w:tc>
          <w:tcPr>
            <w:tcW w:w="4661" w:type="dxa"/>
            <w:shd w:val="clear" w:color="auto" w:fill="A6A6A6"/>
            <w:noWrap/>
            <w:vAlign w:val="center"/>
          </w:tcPr>
          <w:p w14:paraId="30CA5687" w14:textId="77777777" w:rsidR="00871C14" w:rsidRPr="00871C14" w:rsidRDefault="00871C14" w:rsidP="00871C14">
            <w:pPr>
              <w:rPr>
                <w:b/>
                <w:lang w:eastAsia="sk-SK"/>
              </w:rPr>
            </w:pPr>
            <w:r w:rsidRPr="00871C14">
              <w:rPr>
                <w:b/>
                <w:lang w:eastAsia="sk-SK"/>
              </w:rPr>
              <w:t>Rozpočtovo nekrytý vplyv / úspora</w:t>
            </w:r>
          </w:p>
        </w:tc>
        <w:tc>
          <w:tcPr>
            <w:tcW w:w="1267" w:type="dxa"/>
            <w:shd w:val="clear" w:color="auto" w:fill="A6A6A6"/>
            <w:noWrap/>
            <w:vAlign w:val="center"/>
          </w:tcPr>
          <w:p w14:paraId="5D665727" w14:textId="77777777" w:rsidR="00871C14" w:rsidRPr="00871C14" w:rsidRDefault="00871C14" w:rsidP="00871C14">
            <w:pPr>
              <w:jc w:val="right"/>
              <w:rPr>
                <w:b/>
                <w:lang w:eastAsia="sk-SK"/>
              </w:rPr>
            </w:pPr>
            <w:r w:rsidRPr="00871C14">
              <w:rPr>
                <w:b/>
                <w:lang w:eastAsia="sk-SK"/>
              </w:rPr>
              <w:t>0</w:t>
            </w:r>
          </w:p>
        </w:tc>
        <w:tc>
          <w:tcPr>
            <w:tcW w:w="1267" w:type="dxa"/>
            <w:shd w:val="clear" w:color="auto" w:fill="A6A6A6"/>
            <w:noWrap/>
            <w:vAlign w:val="center"/>
          </w:tcPr>
          <w:p w14:paraId="3A2A5267" w14:textId="77777777" w:rsidR="00871C14" w:rsidRPr="00871C14" w:rsidRDefault="00871C14" w:rsidP="00871C14">
            <w:pPr>
              <w:jc w:val="right"/>
              <w:rPr>
                <w:b/>
                <w:lang w:eastAsia="sk-SK"/>
              </w:rPr>
            </w:pPr>
            <w:r w:rsidRPr="00871C14">
              <w:rPr>
                <w:b/>
                <w:bCs/>
                <w:lang w:eastAsia="sk-SK"/>
              </w:rPr>
              <w:t>0</w:t>
            </w:r>
          </w:p>
        </w:tc>
        <w:tc>
          <w:tcPr>
            <w:tcW w:w="1267" w:type="dxa"/>
            <w:shd w:val="clear" w:color="auto" w:fill="A6A6A6"/>
            <w:noWrap/>
            <w:vAlign w:val="center"/>
          </w:tcPr>
          <w:p w14:paraId="04A80E17" w14:textId="77777777" w:rsidR="00871C14" w:rsidRPr="00871C14" w:rsidRDefault="00871C14" w:rsidP="00871C14">
            <w:pPr>
              <w:jc w:val="right"/>
              <w:rPr>
                <w:b/>
                <w:bCs/>
                <w:lang w:eastAsia="sk-SK"/>
              </w:rPr>
            </w:pPr>
            <w:r w:rsidRPr="00871C14">
              <w:rPr>
                <w:b/>
                <w:bCs/>
                <w:iCs/>
                <w:lang w:eastAsia="sk-SK"/>
              </w:rPr>
              <w:t>0</w:t>
            </w:r>
          </w:p>
        </w:tc>
        <w:tc>
          <w:tcPr>
            <w:tcW w:w="1267" w:type="dxa"/>
            <w:shd w:val="clear" w:color="auto" w:fill="A6A6A6"/>
            <w:noWrap/>
            <w:vAlign w:val="center"/>
          </w:tcPr>
          <w:p w14:paraId="3E314593" w14:textId="77777777" w:rsidR="00871C14" w:rsidRPr="00871C14" w:rsidRDefault="00871C14" w:rsidP="00871C14">
            <w:pPr>
              <w:jc w:val="right"/>
              <w:rPr>
                <w:b/>
                <w:bCs/>
                <w:lang w:eastAsia="sk-SK"/>
              </w:rPr>
            </w:pPr>
            <w:r w:rsidRPr="00871C14">
              <w:rPr>
                <w:b/>
                <w:bCs/>
                <w:iCs/>
                <w:lang w:eastAsia="sk-SK"/>
              </w:rPr>
              <w:t>0</w:t>
            </w:r>
          </w:p>
        </w:tc>
      </w:tr>
      <w:bookmarkEnd w:id="0"/>
    </w:tbl>
    <w:p w14:paraId="50558DE6" w14:textId="77777777" w:rsidR="00871C14" w:rsidRPr="00871C14" w:rsidRDefault="00871C14" w:rsidP="00871C14">
      <w:pPr>
        <w:rPr>
          <w:b/>
          <w:bCs/>
          <w:lang w:eastAsia="sk-SK"/>
        </w:rPr>
      </w:pPr>
    </w:p>
    <w:p w14:paraId="7D31891E" w14:textId="77777777" w:rsidR="00871C14" w:rsidRPr="00871C14" w:rsidRDefault="00871C14" w:rsidP="00871C14">
      <w:pPr>
        <w:jc w:val="both"/>
        <w:rPr>
          <w:lang w:eastAsia="en-US"/>
        </w:rPr>
      </w:pPr>
      <w:r w:rsidRPr="00871C14">
        <w:rPr>
          <w:b/>
          <w:bCs/>
          <w:lang w:eastAsia="sk-SK"/>
        </w:rPr>
        <w:br w:type="page"/>
      </w:r>
    </w:p>
    <w:p w14:paraId="70664F90" w14:textId="77777777" w:rsidR="00871C14" w:rsidRPr="00871C14" w:rsidRDefault="00871C14" w:rsidP="00871C14">
      <w:pPr>
        <w:jc w:val="both"/>
        <w:rPr>
          <w:b/>
          <w:bCs/>
          <w:lang w:eastAsia="en-US"/>
        </w:rPr>
      </w:pPr>
      <w:r w:rsidRPr="00871C14">
        <w:rPr>
          <w:b/>
          <w:bCs/>
          <w:lang w:eastAsia="en-US"/>
        </w:rPr>
        <w:lastRenderedPageBreak/>
        <w:t>2.1.1. Financovanie návrhu - Návrh na riešenie úbytku príjmov alebo zvýšených výdavkov podľa § 33 ods. 1 zákona č. 523/2004 Z. z. o rozpočtových pravidlách verejnej správy:</w:t>
      </w:r>
    </w:p>
    <w:p w14:paraId="20073755" w14:textId="77777777" w:rsidR="00871C14" w:rsidRPr="00871C14" w:rsidRDefault="00871C14" w:rsidP="00871C14">
      <w:pPr>
        <w:jc w:val="both"/>
        <w:rPr>
          <w:b/>
          <w:bCs/>
          <w:lang w:eastAsia="en-US"/>
        </w:rPr>
      </w:pPr>
    </w:p>
    <w:tbl>
      <w:tblPr>
        <w:tblStyle w:val="Mriekatabuky2"/>
        <w:tblW w:w="0" w:type="auto"/>
        <w:tblLook w:val="04A0" w:firstRow="1" w:lastRow="0" w:firstColumn="1" w:lastColumn="0" w:noHBand="0" w:noVBand="1"/>
      </w:tblPr>
      <w:tblGrid>
        <w:gridCol w:w="9062"/>
      </w:tblGrid>
      <w:tr w:rsidR="00871C14" w:rsidRPr="00871C14" w14:paraId="7D1C65AD" w14:textId="77777777" w:rsidTr="00DA58E5">
        <w:tc>
          <w:tcPr>
            <w:tcW w:w="9212" w:type="dxa"/>
          </w:tcPr>
          <w:p w14:paraId="4FE280A2" w14:textId="77777777" w:rsidR="00871C14" w:rsidRPr="00871C14" w:rsidRDefault="00871C14" w:rsidP="00871C14">
            <w:pPr>
              <w:rPr>
                <w:lang w:eastAsia="en-US"/>
              </w:rPr>
            </w:pPr>
          </w:p>
          <w:p w14:paraId="3F6DAF01" w14:textId="77777777" w:rsidR="00871C14" w:rsidRPr="00A11B60" w:rsidRDefault="00871C14" w:rsidP="00A11B60">
            <w:pPr>
              <w:jc w:val="both"/>
              <w:rPr>
                <w:lang w:val="sk-SK" w:eastAsia="en-US"/>
              </w:rPr>
            </w:pPr>
            <w:r w:rsidRPr="00A11B60">
              <w:rPr>
                <w:lang w:val="sk-SK" w:eastAsia="en-US"/>
              </w:rPr>
              <w:t xml:space="preserve">V súvislosti s navrhovanou právnou úpravou budú potrebné náklady na obstaranie zariadenia na diaľkovú včasnú detekciu potrebným na komunikáciu údajov s tachografom vozidla pri vykonávaní cielených cestných kontrol. </w:t>
            </w:r>
          </w:p>
          <w:p w14:paraId="6DDF7F45" w14:textId="77777777" w:rsidR="00871C14" w:rsidRPr="00A11B60" w:rsidRDefault="00871C14" w:rsidP="00A11B60">
            <w:pPr>
              <w:jc w:val="both"/>
              <w:rPr>
                <w:lang w:val="sk-SK" w:eastAsia="en-US"/>
              </w:rPr>
            </w:pPr>
            <w:r w:rsidRPr="00A11B60">
              <w:rPr>
                <w:lang w:val="sk-SK" w:eastAsia="en-US"/>
              </w:rPr>
              <w:t xml:space="preserve">Nariadenie Európskeho parlamentu (EÚ) č. 165/2014 o tachografoch v cestnej doprave, ktorým sa ruší nariadenie Rady (EHS) č. 3821/85 o záznamovom zariadení v cestnej doprave a mení nariadenie Európskeho parlamentu a Rady (ES) č. 561/2006 o harmonizácii niektorých právnych predpisov v sociálnej oblasti, ktoré sa týkajú cestnej dopravy v platnom znení ustanovuje povinnosť v článku 9 pre členské štáty vybaviť svoje kontrolné orgány zariadením na diaľkovú včasnú detekciu potrebným na komunikáciu údajov pri vykonávaní cielených cestných kontrol. Termín na vybavenie kontrolných orgánov týmto zariadením je 21. august 2024. Dovtedy sa môžu členské štáty rozhodnúť, či svoje kontrolné orgány vybavia takýmto zariadením na diaľkovú včasnú detekciu. Vo všeobecnosti takéto zariadenie pomôže inšpektorom práce a policajnému zboru v selekcii vozidla podľa porušení v tachografe pre vykonanie cestnej kontroly. Odhadujeme výdavok z verejných zdrojov na 8 kusov takéhoto zariadenia pre inšpektorov práce vo výške 88 000 eur na rok 2023. Pre policajný zbor vzhľadom na iného dodávateľa  vo výške 100 000 eur za 16 kusov.    </w:t>
            </w:r>
          </w:p>
          <w:p w14:paraId="322265F7" w14:textId="77777777" w:rsidR="00871C14" w:rsidRPr="00871C14" w:rsidRDefault="00871C14" w:rsidP="00A11B60">
            <w:pPr>
              <w:jc w:val="both"/>
              <w:rPr>
                <w:bCs/>
                <w:lang w:eastAsia="en-US"/>
              </w:rPr>
            </w:pPr>
            <w:r w:rsidRPr="00A11B60">
              <w:rPr>
                <w:lang w:val="sk-SK" w:eastAsia="en-US"/>
              </w:rPr>
              <w:t>Finančné prostriedky budú zabezpečené v rámci disponibilných prostriedkov rozpočtu verejnej správy a budú kryté efektívnejším výberom pokút na pozemných komunikáciách.</w:t>
            </w:r>
            <w:r w:rsidRPr="00871C14">
              <w:rPr>
                <w:lang w:eastAsia="en-US"/>
              </w:rPr>
              <w:t xml:space="preserve"> </w:t>
            </w:r>
          </w:p>
          <w:p w14:paraId="6CAE7DC8" w14:textId="77777777" w:rsidR="00871C14" w:rsidRPr="00871C14" w:rsidRDefault="00871C14" w:rsidP="00871C14">
            <w:pPr>
              <w:rPr>
                <w:lang w:eastAsia="en-US"/>
              </w:rPr>
            </w:pPr>
          </w:p>
        </w:tc>
      </w:tr>
    </w:tbl>
    <w:p w14:paraId="4575A026" w14:textId="77777777" w:rsidR="00871C14" w:rsidRPr="00871C14" w:rsidRDefault="00871C14" w:rsidP="00871C14">
      <w:pPr>
        <w:jc w:val="both"/>
        <w:rPr>
          <w:lang w:eastAsia="en-US"/>
        </w:rPr>
      </w:pPr>
    </w:p>
    <w:p w14:paraId="4C8DA6D9" w14:textId="77777777" w:rsidR="00871C14" w:rsidRPr="00871C14" w:rsidRDefault="00871C14" w:rsidP="00871C14">
      <w:pPr>
        <w:jc w:val="both"/>
        <w:rPr>
          <w:lang w:eastAsia="en-US"/>
        </w:rPr>
      </w:pPr>
    </w:p>
    <w:p w14:paraId="7146B2E3" w14:textId="77777777" w:rsidR="00871C14" w:rsidRPr="00871C14" w:rsidRDefault="00871C14" w:rsidP="00871C14">
      <w:pPr>
        <w:jc w:val="both"/>
        <w:rPr>
          <w:b/>
          <w:bCs/>
          <w:lang w:eastAsia="en-US"/>
        </w:rPr>
      </w:pPr>
      <w:r w:rsidRPr="00871C14">
        <w:rPr>
          <w:b/>
          <w:bCs/>
          <w:lang w:eastAsia="en-US"/>
        </w:rPr>
        <w:t>2.2. Popis a charakteristika návrhu</w:t>
      </w:r>
    </w:p>
    <w:p w14:paraId="4049A96C" w14:textId="77777777" w:rsidR="00871C14" w:rsidRPr="00871C14" w:rsidRDefault="00871C14" w:rsidP="00871C14">
      <w:pPr>
        <w:jc w:val="both"/>
        <w:rPr>
          <w:lang w:eastAsia="en-US"/>
        </w:rPr>
      </w:pPr>
    </w:p>
    <w:p w14:paraId="64F570EB" w14:textId="77777777" w:rsidR="00871C14" w:rsidRPr="00871C14" w:rsidRDefault="00871C14" w:rsidP="00871C14">
      <w:pPr>
        <w:jc w:val="both"/>
        <w:rPr>
          <w:b/>
          <w:bCs/>
          <w:lang w:eastAsia="en-US"/>
        </w:rPr>
      </w:pPr>
      <w:r w:rsidRPr="00871C14">
        <w:rPr>
          <w:b/>
          <w:bCs/>
          <w:lang w:eastAsia="en-US"/>
        </w:rPr>
        <w:t>2.2.1. Popis návrhu:</w:t>
      </w:r>
    </w:p>
    <w:p w14:paraId="36F9DBA9" w14:textId="77777777" w:rsidR="00871C14" w:rsidRPr="00871C14" w:rsidRDefault="00871C14" w:rsidP="00871C14">
      <w:pPr>
        <w:jc w:val="both"/>
        <w:rPr>
          <w:lang w:eastAsia="en-US"/>
        </w:rPr>
      </w:pPr>
    </w:p>
    <w:p w14:paraId="2A6CB8A3" w14:textId="77777777" w:rsidR="00871C14" w:rsidRPr="00871C14" w:rsidRDefault="00871C14" w:rsidP="00871C14">
      <w:pPr>
        <w:spacing w:before="120"/>
        <w:jc w:val="both"/>
        <w:rPr>
          <w:lang w:eastAsia="en-US"/>
        </w:rPr>
      </w:pPr>
      <w:r w:rsidRPr="00871C14">
        <w:rPr>
          <w:lang w:eastAsia="en-US"/>
        </w:rPr>
        <w:t xml:space="preserve">Hlavným dôvodom predloženia návrhu je transpozícia smernice Európskeho parlamentu a Rady (EÚ) 2020/1057 z 15. júla 2020, ktorou sa stanovujú špecifické pravidlá vo vzťahu k smernici 96/71/ES a smernici 2014/67/EÚ pre vysielanie vodičov v odvetví cestnej dopravy a ktorou sa mení smernica 2006/22/ES, pokiaľ ide o požiadavky týkajúce sa dodržiavania predpisov, a nariadenie (EÚ) č. 1024/2012 (ďalej len „smernica Európskeho parlamentu a Rady (EÚ) 2020/1057“). </w:t>
      </w:r>
    </w:p>
    <w:p w14:paraId="27F421AE" w14:textId="77777777" w:rsidR="00871C14" w:rsidRPr="00871C14" w:rsidRDefault="00871C14" w:rsidP="00871C14">
      <w:pPr>
        <w:spacing w:before="120"/>
        <w:jc w:val="both"/>
        <w:rPr>
          <w:lang w:eastAsia="en-US"/>
        </w:rPr>
      </w:pPr>
      <w:r w:rsidRPr="00871C14">
        <w:rPr>
          <w:lang w:eastAsia="en-US"/>
        </w:rPr>
        <w:t xml:space="preserve">Zároveň návrhom novely zákona č. 462/2007 Z. z. sa zabezpečí vykonanie Nariadenia Európskeho parlamentu a Rady (EÚ) 2020/1054 z 15. júla 2020, ktorým sa mení nariadenie (ES) č. 561/2006, pokiaľ ide o minimálne požiadavky na maximálne denné a týždenné časy jazdy, minimálne prestávky a doby denného a týždenného odpočinku, a nariadenie (EÚ) č. 165/2014, pokiaľ ide o určovanie polohy prostredníctvom tachografov. </w:t>
      </w:r>
    </w:p>
    <w:p w14:paraId="5BBCC93B" w14:textId="77777777" w:rsidR="00871C14" w:rsidRPr="00871C14" w:rsidRDefault="00871C14" w:rsidP="00871C14">
      <w:pPr>
        <w:jc w:val="both"/>
        <w:rPr>
          <w:lang w:eastAsia="en-US"/>
        </w:rPr>
      </w:pPr>
    </w:p>
    <w:p w14:paraId="7480BF09" w14:textId="77777777" w:rsidR="00871C14" w:rsidRPr="00871C14" w:rsidRDefault="00871C14" w:rsidP="00871C14">
      <w:pPr>
        <w:jc w:val="both"/>
        <w:rPr>
          <w:lang w:eastAsia="en-US"/>
        </w:rPr>
      </w:pPr>
      <w:r w:rsidRPr="00871C14">
        <w:rPr>
          <w:lang w:eastAsia="en-US"/>
        </w:rPr>
        <w:t>.......................................................................................................................................................</w:t>
      </w:r>
    </w:p>
    <w:p w14:paraId="0A2DBDF9" w14:textId="77777777" w:rsidR="00871C14" w:rsidRPr="00871C14" w:rsidRDefault="00871C14" w:rsidP="00871C14">
      <w:pPr>
        <w:jc w:val="both"/>
        <w:rPr>
          <w:lang w:eastAsia="en-US"/>
        </w:rPr>
      </w:pPr>
    </w:p>
    <w:p w14:paraId="17DDBD1F" w14:textId="77777777" w:rsidR="00871C14" w:rsidRPr="00871C14" w:rsidRDefault="00871C14" w:rsidP="00871C14">
      <w:pPr>
        <w:jc w:val="both"/>
        <w:rPr>
          <w:b/>
          <w:bCs/>
          <w:lang w:eastAsia="en-US"/>
        </w:rPr>
      </w:pPr>
      <w:r w:rsidRPr="00871C14">
        <w:rPr>
          <w:b/>
          <w:bCs/>
          <w:lang w:eastAsia="en-US"/>
        </w:rPr>
        <w:t>2.2.2. Charakteristika návrhu:</w:t>
      </w:r>
    </w:p>
    <w:p w14:paraId="30AD0290" w14:textId="77777777" w:rsidR="00871C14" w:rsidRPr="00871C14" w:rsidRDefault="00871C14" w:rsidP="00871C14">
      <w:pPr>
        <w:jc w:val="both"/>
        <w:rPr>
          <w:lang w:eastAsia="en-US"/>
        </w:rPr>
      </w:pPr>
    </w:p>
    <w:p w14:paraId="78481FE8" w14:textId="77777777" w:rsidR="00871C14" w:rsidRPr="00871C14" w:rsidRDefault="00871C14" w:rsidP="00871C14">
      <w:pPr>
        <w:jc w:val="both"/>
        <w:rPr>
          <w:lang w:eastAsia="en-US"/>
        </w:rPr>
      </w:pPr>
      <w:r w:rsidRPr="00871C14">
        <w:rPr>
          <w:b/>
          <w:lang w:eastAsia="en-US"/>
        </w:rPr>
        <w:t xml:space="preserve">       </w:t>
      </w:r>
      <w:r w:rsidRPr="00871C14">
        <w:rPr>
          <w:lang w:eastAsia="en-US"/>
        </w:rPr>
        <w:t>zmena sadzby</w:t>
      </w:r>
    </w:p>
    <w:p w14:paraId="01FD0012" w14:textId="77777777" w:rsidR="00871C14" w:rsidRPr="00871C14" w:rsidRDefault="00871C14" w:rsidP="00871C14">
      <w:pPr>
        <w:jc w:val="both"/>
        <w:rPr>
          <w:lang w:eastAsia="en-US"/>
        </w:rPr>
      </w:pPr>
      <w:r w:rsidRPr="00871C14">
        <w:rPr>
          <w:lang w:eastAsia="en-US"/>
        </w:rPr>
        <w:t xml:space="preserve">       zmena v nároku</w:t>
      </w:r>
    </w:p>
    <w:p w14:paraId="61F85E85" w14:textId="77777777" w:rsidR="00871C14" w:rsidRPr="00871C14" w:rsidRDefault="00871C14" w:rsidP="00871C14">
      <w:pPr>
        <w:jc w:val="both"/>
        <w:rPr>
          <w:lang w:eastAsia="en-US"/>
        </w:rPr>
      </w:pPr>
      <w:r w:rsidRPr="00871C14">
        <w:rPr>
          <w:lang w:eastAsia="en-US"/>
        </w:rPr>
        <w:t xml:space="preserve">       nová služba alebo nariadenie (alebo ich zrušenie)</w:t>
      </w:r>
    </w:p>
    <w:p w14:paraId="104F0610" w14:textId="77777777" w:rsidR="00871C14" w:rsidRPr="00871C14" w:rsidRDefault="00871C14" w:rsidP="00871C14">
      <w:pPr>
        <w:jc w:val="both"/>
        <w:rPr>
          <w:lang w:eastAsia="en-US"/>
        </w:rPr>
      </w:pPr>
      <w:r w:rsidRPr="00871C14">
        <w:rPr>
          <w:lang w:eastAsia="en-US"/>
        </w:rPr>
        <w:t xml:space="preserve">       kombinovaný návrh</w:t>
      </w:r>
    </w:p>
    <w:p w14:paraId="42A853F4" w14:textId="77777777" w:rsidR="00871C14" w:rsidRPr="00871C14" w:rsidRDefault="00871C14" w:rsidP="00871C14">
      <w:pPr>
        <w:jc w:val="both"/>
        <w:rPr>
          <w:lang w:eastAsia="en-US"/>
        </w:rPr>
      </w:pPr>
      <w:r w:rsidRPr="00871C14">
        <w:rPr>
          <w:lang w:eastAsia="en-US"/>
        </w:rPr>
        <w:t xml:space="preserve">  x   iné </w:t>
      </w:r>
    </w:p>
    <w:p w14:paraId="4EA97DB3" w14:textId="77777777" w:rsidR="00871C14" w:rsidRPr="00871C14" w:rsidRDefault="00871C14" w:rsidP="00871C14">
      <w:pPr>
        <w:jc w:val="both"/>
        <w:rPr>
          <w:lang w:eastAsia="en-US"/>
        </w:rPr>
      </w:pPr>
    </w:p>
    <w:p w14:paraId="57480F7F" w14:textId="77777777" w:rsidR="00871C14" w:rsidRPr="00871C14" w:rsidRDefault="00871C14" w:rsidP="00871C14">
      <w:pPr>
        <w:jc w:val="both"/>
        <w:rPr>
          <w:lang w:eastAsia="en-US"/>
        </w:rPr>
      </w:pPr>
    </w:p>
    <w:p w14:paraId="02876251" w14:textId="77777777" w:rsidR="00871C14" w:rsidRPr="00871C14" w:rsidRDefault="00871C14" w:rsidP="00871C14">
      <w:pPr>
        <w:jc w:val="both"/>
        <w:rPr>
          <w:b/>
          <w:bCs/>
          <w:lang w:eastAsia="en-US"/>
        </w:rPr>
      </w:pPr>
      <w:r w:rsidRPr="00871C14">
        <w:rPr>
          <w:b/>
          <w:bCs/>
          <w:lang w:eastAsia="en-US"/>
        </w:rPr>
        <w:t>2.2.4. Výpočty vplyvov na verejné financie</w:t>
      </w:r>
    </w:p>
    <w:p w14:paraId="1ED37579" w14:textId="77777777" w:rsidR="00871C14" w:rsidRPr="00871C14" w:rsidRDefault="00871C14" w:rsidP="00871C14">
      <w:pPr>
        <w:jc w:val="both"/>
        <w:rPr>
          <w:lang w:eastAsia="en-US"/>
        </w:rPr>
      </w:pPr>
    </w:p>
    <w:p w14:paraId="314E77B4" w14:textId="77777777" w:rsidR="00871C14" w:rsidRPr="00871C14" w:rsidRDefault="00871C14" w:rsidP="00871C14">
      <w:pPr>
        <w:jc w:val="both"/>
        <w:rPr>
          <w:lang w:eastAsia="en-US"/>
        </w:rPr>
      </w:pPr>
      <w:r w:rsidRPr="00871C14">
        <w:rPr>
          <w:lang w:eastAsia="en-US"/>
        </w:rPr>
        <w:t xml:space="preserve">Nariadenie Európskeho parlamentu (EÚ) č. 165/2014 o tachografoch v cestnej doprave, ktorým sa ruší nariadenie Rady (EHS) č. 3821/85 o záznamovom zariadení v cestnej doprave a mení nariadenie Európskeho parlamentu a Rady (ES) č. 561/2006 o harmonizácii niektorých právnych predpisov v sociálnej oblasti, ktoré sa týkajú cestnej dopravy v platnom znení ustanovuje povinnosť v článku 9 pre členské štáty vybaviť svoje kontrolné orgány zariadením na diaľkovú včasnú detekciu potrebným na komunikáciu údajov pri vykonávaní cielených cestných kontrol. Termín na vybavenie kontrolných orgánov týmto zariadením je 21. august 2024. Dovtedy sa môžu členské štáty rozhodnúť, či svoje kontrolné orgány vybavia takýmto zariadením na diaľkovú včasnú detekciu. Vo všeobecnosti takéto zariadenie pomôže inšpektorom práce a policajnému zboru v selekcii vozidla pre vykonanie cestnej kontroly, a to najmä u tých vozidiel, kde už na základe diaľkového prenosu dát zo záznamového zariadenia je predpoklad porušení. Odhadujeme výdavok z verejných zdrojov na 8 kusov takéhoto zariadenia pre inšpektorov práce vo výške 88 000 eur na rok 2023. Pre policajný zbor vzhľadom na iného dodávateľa  vo výške 100 000 eur za 16 kusov.    </w:t>
      </w:r>
    </w:p>
    <w:p w14:paraId="2A530F94" w14:textId="77777777" w:rsidR="00871C14" w:rsidRPr="00871C14" w:rsidRDefault="00871C14" w:rsidP="00871C14">
      <w:pPr>
        <w:jc w:val="both"/>
        <w:rPr>
          <w:lang w:eastAsia="en-US"/>
        </w:rPr>
      </w:pPr>
      <w:r w:rsidRPr="00871C14">
        <w:rPr>
          <w:lang w:eastAsia="en-US"/>
        </w:rPr>
        <w:t>Finančné prostriedky budú zabezpečené v rámci disponibilných prostriedkov rozpočtu verejnej správy na príslušný rok.</w:t>
      </w:r>
    </w:p>
    <w:p w14:paraId="4F897CC7" w14:textId="77777777" w:rsidR="00871C14" w:rsidRPr="00871C14" w:rsidRDefault="00871C14" w:rsidP="00871C14">
      <w:pPr>
        <w:jc w:val="both"/>
        <w:rPr>
          <w:lang w:eastAsia="en-US"/>
        </w:rPr>
      </w:pPr>
      <w:r w:rsidRPr="00871C14">
        <w:rPr>
          <w:lang w:eastAsia="en-US"/>
        </w:rPr>
        <w:t>Finančné prostriedky pre MV SR v sume 100 000 eur budú v roku 2023 uvoľnené zo zdrojov kapitoly Všeobecnej pokladničnej správy, kde sa momentálne všetky kapitálové výdavky rozpočtujú.</w:t>
      </w:r>
    </w:p>
    <w:p w14:paraId="6884BA3A" w14:textId="77777777" w:rsidR="00871C14" w:rsidRPr="00871C14" w:rsidRDefault="00871C14" w:rsidP="00871C14">
      <w:pPr>
        <w:jc w:val="both"/>
        <w:rPr>
          <w:lang w:eastAsia="en-US"/>
        </w:rPr>
      </w:pPr>
    </w:p>
    <w:p w14:paraId="46E93E67" w14:textId="77777777" w:rsidR="00871C14" w:rsidRPr="00871C14" w:rsidRDefault="00871C14" w:rsidP="00871C14">
      <w:pPr>
        <w:jc w:val="both"/>
        <w:rPr>
          <w:lang w:eastAsia="en-US"/>
        </w:rPr>
      </w:pPr>
      <w:r w:rsidRPr="00871C14">
        <w:rPr>
          <w:lang w:eastAsia="en-US"/>
        </w:rPr>
        <w:t>Návrh zákona môže mať pozitívny vplyv na rozpočet verejnej správy. Zvyšujú sa pokuty za porušenie zákona ukladané v blokovom konaní z výšky 330 eur na 700 eur a pokuty za porušenie zákona ukladané v </w:t>
      </w:r>
      <w:proofErr w:type="spellStart"/>
      <w:r w:rsidRPr="00871C14">
        <w:rPr>
          <w:lang w:eastAsia="en-US"/>
        </w:rPr>
        <w:t>rozkaznom</w:t>
      </w:r>
      <w:proofErr w:type="spellEnd"/>
      <w:r w:rsidRPr="00871C14">
        <w:rPr>
          <w:lang w:eastAsia="en-US"/>
        </w:rPr>
        <w:t xml:space="preserve"> konaní z 500 eur na 1000 eur. Podľa štatistických údajov Národného inšpektorátu práce v sledovanom období od 01. 01. 2020 do 31. 12. 2020 inšpektori práce uložili vodičom na pozemných komunikáciách 619 blokových pokút v celkovej výške 57 915 EUR (priemer 94 eur) pri kontrolách vodičov v dopravných podnikoch bolo vodičom uložených 73 pokút v celkovej výške 5 870 eur. Inšpektori práce uložili v roku 2020 celkovo 830 pokút v celkovej výške 418 045 eur. Ak počítame navýšenie priemeru ukladaných pokút v blokovom konaní na priemer cca 130 eur, tak očakávame pozitívny vplyv na verejné financie vo výške 80 470 eur, čo je navýšenie o 22 555 eur ročne (130 eur x 619 – 57 915 eur).  </w:t>
      </w:r>
    </w:p>
    <w:p w14:paraId="7D0BCE81" w14:textId="77777777" w:rsidR="00871C14" w:rsidRPr="00871C14" w:rsidRDefault="00871C14" w:rsidP="00871C14">
      <w:pPr>
        <w:jc w:val="both"/>
        <w:rPr>
          <w:lang w:eastAsia="en-US"/>
        </w:rPr>
      </w:pPr>
    </w:p>
    <w:p w14:paraId="48FE29F1" w14:textId="77777777" w:rsidR="00871C14" w:rsidRPr="00871C14" w:rsidRDefault="00871C14" w:rsidP="00871C14">
      <w:pPr>
        <w:jc w:val="both"/>
        <w:rPr>
          <w:lang w:eastAsia="en-US"/>
        </w:rPr>
      </w:pPr>
      <w:r w:rsidRPr="00871C14">
        <w:rPr>
          <w:lang w:eastAsia="en-US"/>
        </w:rPr>
        <w:t xml:space="preserve">Podľa štatistických údajov Prezídia policajného zboru MV SR v sledovanom období od 01. 01. 2020 do 31. 12. 2020 policajti v oblasti sociálnej legislatívy uložili vodičom na pozemných komunikáciách 2 362 pokút v celkovej výške 174 735 eur (priemer 74 eur). Ak počítame navýšenie priemeru ukladaných pokút v blokovom konaní na priemer cca 110 eur tak očakávame pozitívny vplyv na verejné financie vo výške 259 820 eur, čo je navýšenie o 85 085  eur ročne (110 eur x 2 362 – 174 735 eur).  </w:t>
      </w:r>
    </w:p>
    <w:p w14:paraId="599BDEC9" w14:textId="77777777" w:rsidR="00871C14" w:rsidRPr="00871C14" w:rsidRDefault="00871C14" w:rsidP="00871C14">
      <w:pPr>
        <w:jc w:val="both"/>
        <w:rPr>
          <w:lang w:eastAsia="en-US"/>
        </w:rPr>
      </w:pPr>
    </w:p>
    <w:p w14:paraId="4BBEB5DC" w14:textId="77777777" w:rsidR="00871C14" w:rsidRPr="00871C14" w:rsidRDefault="00871C14" w:rsidP="00871C14">
      <w:pPr>
        <w:spacing w:before="120" w:after="120"/>
        <w:rPr>
          <w:rFonts w:ascii="Arial" w:hAnsi="Arial"/>
          <w:b/>
          <w:lang w:eastAsia="en-US"/>
        </w:rPr>
      </w:pPr>
    </w:p>
    <w:p w14:paraId="6E53A7E3" w14:textId="77777777" w:rsidR="00871C14" w:rsidRPr="00871C14" w:rsidRDefault="00871C14" w:rsidP="00871C14">
      <w:pPr>
        <w:spacing w:before="120" w:after="120"/>
        <w:rPr>
          <w:rFonts w:ascii="Arial" w:hAnsi="Arial"/>
          <w:b/>
          <w:lang w:eastAsia="en-US"/>
        </w:rPr>
      </w:pPr>
    </w:p>
    <w:p w14:paraId="1A5CB00B" w14:textId="77777777" w:rsidR="00871C14" w:rsidRPr="00871C14" w:rsidRDefault="00871C14" w:rsidP="00871C14">
      <w:pPr>
        <w:jc w:val="both"/>
        <w:rPr>
          <w:bCs/>
          <w:lang w:eastAsia="en-US"/>
        </w:rPr>
      </w:pPr>
    </w:p>
    <w:p w14:paraId="70DA6425" w14:textId="77777777" w:rsidR="00871C14" w:rsidRPr="00871C14" w:rsidRDefault="00871C14" w:rsidP="00871C14">
      <w:pPr>
        <w:jc w:val="both"/>
        <w:rPr>
          <w:bCs/>
          <w:lang w:eastAsia="en-US"/>
        </w:rPr>
        <w:sectPr w:rsidR="00871C14" w:rsidRPr="00871C14" w:rsidSect="00EA50BD">
          <w:headerReference w:type="even" r:id="rId17"/>
          <w:footerReference w:type="even" r:id="rId18"/>
          <w:footerReference w:type="default" r:id="rId19"/>
          <w:footerReference w:type="first" r:id="rId20"/>
          <w:pgSz w:w="11906" w:h="16838"/>
          <w:pgMar w:top="1417" w:right="1417" w:bottom="1276" w:left="1417" w:header="708" w:footer="708" w:gutter="0"/>
          <w:pgNumType w:start="1"/>
          <w:cols w:space="708"/>
          <w:docGrid w:linePitch="360"/>
        </w:sectPr>
      </w:pPr>
    </w:p>
    <w:p w14:paraId="0540CA98" w14:textId="77777777" w:rsidR="00871C14" w:rsidRPr="00871C14" w:rsidRDefault="00871C14" w:rsidP="00871C14">
      <w:pPr>
        <w:jc w:val="both"/>
        <w:rPr>
          <w:b/>
          <w:bCs/>
          <w:lang w:eastAsia="en-US"/>
        </w:rPr>
      </w:pPr>
      <w:r w:rsidRPr="00871C14">
        <w:rPr>
          <w:b/>
          <w:bCs/>
          <w:lang w:eastAsia="en-US"/>
        </w:rPr>
        <w:lastRenderedPageBreak/>
        <w:t xml:space="preserve">MPSVR SR </w:t>
      </w:r>
    </w:p>
    <w:p w14:paraId="21A8D31B" w14:textId="77777777" w:rsidR="00871C14" w:rsidRPr="00871C14" w:rsidRDefault="00871C14" w:rsidP="00871C14">
      <w:pPr>
        <w:jc w:val="both"/>
        <w:rPr>
          <w:b/>
          <w:bCs/>
          <w:lang w:eastAsia="en-US"/>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871C14" w:rsidRPr="00871C14" w14:paraId="5AD06AC9" w14:textId="77777777" w:rsidTr="00871C14">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64B77AE3" w14:textId="77777777" w:rsidR="00871C14" w:rsidRPr="00871C14" w:rsidRDefault="00871C14" w:rsidP="00871C14">
            <w:pPr>
              <w:jc w:val="both"/>
              <w:rPr>
                <w:b/>
                <w:bCs/>
                <w:lang w:eastAsia="en-US"/>
              </w:rPr>
            </w:pPr>
            <w:r w:rsidRPr="00871C14">
              <w:rPr>
                <w:b/>
                <w:bCs/>
                <w:lang w:eastAsia="en-U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cPr>
          <w:p w14:paraId="6DF24CA0" w14:textId="77777777" w:rsidR="00871C14" w:rsidRPr="00871C14" w:rsidRDefault="00871C14" w:rsidP="00871C14">
            <w:pPr>
              <w:jc w:val="both"/>
              <w:rPr>
                <w:b/>
                <w:bCs/>
                <w:lang w:eastAsia="en-US"/>
              </w:rPr>
            </w:pPr>
            <w:r w:rsidRPr="00871C14">
              <w:rPr>
                <w:b/>
                <w:bCs/>
                <w:lang w:eastAsia="en-U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03728120" w14:textId="77777777" w:rsidR="00871C14" w:rsidRPr="00871C14" w:rsidRDefault="00871C14" w:rsidP="00871C14">
            <w:pPr>
              <w:jc w:val="both"/>
              <w:rPr>
                <w:b/>
                <w:bCs/>
                <w:lang w:eastAsia="en-US"/>
              </w:rPr>
            </w:pPr>
            <w:r w:rsidRPr="00871C14">
              <w:rPr>
                <w:b/>
                <w:bCs/>
                <w:lang w:eastAsia="en-US"/>
              </w:rPr>
              <w:t>poznámka</w:t>
            </w:r>
          </w:p>
        </w:tc>
      </w:tr>
      <w:tr w:rsidR="00871C14" w:rsidRPr="00871C14" w14:paraId="48742677" w14:textId="77777777" w:rsidTr="00871C14">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089D89C6" w14:textId="77777777" w:rsidR="00871C14" w:rsidRPr="00871C14" w:rsidRDefault="00871C14" w:rsidP="00871C14">
            <w:pPr>
              <w:jc w:val="both"/>
              <w:rPr>
                <w:b/>
                <w:bCs/>
                <w:lang w:eastAsia="en-US"/>
              </w:rPr>
            </w:pPr>
          </w:p>
        </w:tc>
        <w:tc>
          <w:tcPr>
            <w:tcW w:w="1500" w:type="dxa"/>
            <w:tcBorders>
              <w:top w:val="nil"/>
              <w:left w:val="nil"/>
              <w:bottom w:val="single" w:sz="4" w:space="0" w:color="auto"/>
              <w:right w:val="single" w:sz="4" w:space="0" w:color="auto"/>
            </w:tcBorders>
            <w:shd w:val="clear" w:color="auto" w:fill="BFBFBF"/>
          </w:tcPr>
          <w:p w14:paraId="1EBB21DC" w14:textId="77777777" w:rsidR="00871C14" w:rsidRPr="00871C14" w:rsidRDefault="00871C14" w:rsidP="00871C14">
            <w:pPr>
              <w:jc w:val="both"/>
              <w:rPr>
                <w:b/>
                <w:bCs/>
                <w:lang w:eastAsia="en-US"/>
              </w:rPr>
            </w:pPr>
            <w:r w:rsidRPr="00871C14">
              <w:rPr>
                <w:b/>
                <w:bCs/>
                <w:lang w:eastAsia="en-US"/>
              </w:rPr>
              <w:t>2022</w:t>
            </w:r>
          </w:p>
        </w:tc>
        <w:tc>
          <w:tcPr>
            <w:tcW w:w="1500" w:type="dxa"/>
            <w:tcBorders>
              <w:top w:val="nil"/>
              <w:left w:val="nil"/>
              <w:bottom w:val="single" w:sz="4" w:space="0" w:color="auto"/>
              <w:right w:val="single" w:sz="4" w:space="0" w:color="auto"/>
            </w:tcBorders>
            <w:shd w:val="clear" w:color="auto" w:fill="BFBFBF"/>
          </w:tcPr>
          <w:p w14:paraId="0C0EBFDB" w14:textId="77777777" w:rsidR="00871C14" w:rsidRPr="00871C14" w:rsidRDefault="00871C14" w:rsidP="00871C14">
            <w:pPr>
              <w:jc w:val="both"/>
              <w:rPr>
                <w:b/>
                <w:bCs/>
                <w:lang w:eastAsia="en-US"/>
              </w:rPr>
            </w:pPr>
            <w:r w:rsidRPr="00871C14">
              <w:rPr>
                <w:b/>
                <w:bCs/>
                <w:lang w:eastAsia="en-US"/>
              </w:rPr>
              <w:t>2023</w:t>
            </w:r>
          </w:p>
        </w:tc>
        <w:tc>
          <w:tcPr>
            <w:tcW w:w="1500" w:type="dxa"/>
            <w:tcBorders>
              <w:top w:val="nil"/>
              <w:left w:val="nil"/>
              <w:bottom w:val="single" w:sz="4" w:space="0" w:color="auto"/>
              <w:right w:val="single" w:sz="4" w:space="0" w:color="auto"/>
            </w:tcBorders>
            <w:shd w:val="clear" w:color="auto" w:fill="BFBFBF"/>
          </w:tcPr>
          <w:p w14:paraId="2CE2DA40" w14:textId="77777777" w:rsidR="00871C14" w:rsidRPr="00871C14" w:rsidRDefault="00871C14" w:rsidP="00871C14">
            <w:pPr>
              <w:jc w:val="both"/>
              <w:rPr>
                <w:b/>
                <w:bCs/>
                <w:lang w:eastAsia="en-US"/>
              </w:rPr>
            </w:pPr>
            <w:r w:rsidRPr="00871C14">
              <w:rPr>
                <w:b/>
                <w:bCs/>
                <w:lang w:eastAsia="en-US"/>
              </w:rPr>
              <w:t>2024</w:t>
            </w:r>
          </w:p>
        </w:tc>
        <w:tc>
          <w:tcPr>
            <w:tcW w:w="1500" w:type="dxa"/>
            <w:tcBorders>
              <w:top w:val="nil"/>
              <w:left w:val="nil"/>
              <w:bottom w:val="single" w:sz="4" w:space="0" w:color="auto"/>
              <w:right w:val="single" w:sz="4" w:space="0" w:color="auto"/>
            </w:tcBorders>
            <w:shd w:val="clear" w:color="auto" w:fill="BFBFBF"/>
          </w:tcPr>
          <w:p w14:paraId="15DB8ABD" w14:textId="77777777" w:rsidR="00871C14" w:rsidRPr="00871C14" w:rsidRDefault="00871C14" w:rsidP="00871C14">
            <w:pPr>
              <w:jc w:val="both"/>
              <w:rPr>
                <w:b/>
                <w:bCs/>
                <w:lang w:eastAsia="en-US"/>
              </w:rPr>
            </w:pPr>
            <w:r w:rsidRPr="00871C14">
              <w:rPr>
                <w:b/>
                <w:bCs/>
                <w:lang w:eastAsia="en-US"/>
              </w:rPr>
              <w:t>2025</w:t>
            </w:r>
          </w:p>
        </w:tc>
        <w:tc>
          <w:tcPr>
            <w:tcW w:w="3000" w:type="dxa"/>
            <w:vMerge/>
            <w:tcBorders>
              <w:top w:val="single" w:sz="4" w:space="0" w:color="auto"/>
              <w:left w:val="single" w:sz="4" w:space="0" w:color="auto"/>
              <w:bottom w:val="single" w:sz="4" w:space="0" w:color="auto"/>
              <w:right w:val="single" w:sz="4" w:space="0" w:color="auto"/>
            </w:tcBorders>
            <w:vAlign w:val="center"/>
          </w:tcPr>
          <w:p w14:paraId="2266450F" w14:textId="77777777" w:rsidR="00871C14" w:rsidRPr="00871C14" w:rsidRDefault="00871C14" w:rsidP="00871C14">
            <w:pPr>
              <w:jc w:val="both"/>
              <w:rPr>
                <w:b/>
                <w:bCs/>
                <w:lang w:eastAsia="en-US"/>
              </w:rPr>
            </w:pPr>
          </w:p>
        </w:tc>
      </w:tr>
      <w:tr w:rsidR="00871C14" w:rsidRPr="00871C14" w14:paraId="2F650866" w14:textId="77777777" w:rsidTr="00DA58E5">
        <w:trPr>
          <w:trHeight w:val="255"/>
        </w:trPr>
        <w:tc>
          <w:tcPr>
            <w:tcW w:w="4950" w:type="dxa"/>
            <w:tcBorders>
              <w:top w:val="nil"/>
              <w:left w:val="single" w:sz="4" w:space="0" w:color="auto"/>
              <w:bottom w:val="single" w:sz="4" w:space="0" w:color="auto"/>
              <w:right w:val="single" w:sz="4" w:space="0" w:color="auto"/>
            </w:tcBorders>
          </w:tcPr>
          <w:p w14:paraId="2AF49127" w14:textId="77777777" w:rsidR="00871C14" w:rsidRPr="00871C14" w:rsidRDefault="00871C14" w:rsidP="00871C14">
            <w:pPr>
              <w:jc w:val="both"/>
              <w:rPr>
                <w:b/>
                <w:bCs/>
                <w:vertAlign w:val="superscript"/>
                <w:lang w:eastAsia="en-US"/>
              </w:rPr>
            </w:pPr>
            <w:r w:rsidRPr="00871C14">
              <w:rPr>
                <w:b/>
                <w:bCs/>
                <w:lang w:eastAsia="en-US"/>
              </w:rPr>
              <w:t>Daňové príjmy (100)</w:t>
            </w:r>
            <w:r w:rsidRPr="00871C14">
              <w:rPr>
                <w:b/>
                <w:bCs/>
                <w:vertAlign w:val="superscript"/>
                <w:lang w:eastAsia="en-US"/>
              </w:rPr>
              <w:t>1</w:t>
            </w:r>
          </w:p>
        </w:tc>
        <w:tc>
          <w:tcPr>
            <w:tcW w:w="1500" w:type="dxa"/>
            <w:tcBorders>
              <w:top w:val="nil"/>
              <w:left w:val="nil"/>
              <w:bottom w:val="single" w:sz="4" w:space="0" w:color="auto"/>
              <w:right w:val="single" w:sz="4" w:space="0" w:color="auto"/>
            </w:tcBorders>
          </w:tcPr>
          <w:p w14:paraId="03714A8E" w14:textId="77777777" w:rsidR="00871C14" w:rsidRPr="00871C14" w:rsidRDefault="00871C14" w:rsidP="00871C14">
            <w:pPr>
              <w:jc w:val="both"/>
              <w:rPr>
                <w:b/>
                <w:bCs/>
                <w:lang w:eastAsia="en-US"/>
              </w:rPr>
            </w:pPr>
          </w:p>
        </w:tc>
        <w:tc>
          <w:tcPr>
            <w:tcW w:w="1500" w:type="dxa"/>
            <w:tcBorders>
              <w:top w:val="nil"/>
              <w:left w:val="nil"/>
              <w:bottom w:val="single" w:sz="4" w:space="0" w:color="auto"/>
              <w:right w:val="single" w:sz="4" w:space="0" w:color="auto"/>
            </w:tcBorders>
          </w:tcPr>
          <w:p w14:paraId="2C45E4B5" w14:textId="77777777" w:rsidR="00871C14" w:rsidRPr="00871C14" w:rsidRDefault="00871C14" w:rsidP="00871C14">
            <w:pPr>
              <w:jc w:val="both"/>
              <w:rPr>
                <w:b/>
                <w:bCs/>
                <w:lang w:eastAsia="en-US"/>
              </w:rPr>
            </w:pPr>
          </w:p>
        </w:tc>
        <w:tc>
          <w:tcPr>
            <w:tcW w:w="1500" w:type="dxa"/>
            <w:tcBorders>
              <w:top w:val="nil"/>
              <w:left w:val="nil"/>
              <w:bottom w:val="single" w:sz="4" w:space="0" w:color="auto"/>
              <w:right w:val="single" w:sz="4" w:space="0" w:color="auto"/>
            </w:tcBorders>
          </w:tcPr>
          <w:p w14:paraId="1063B34C" w14:textId="77777777" w:rsidR="00871C14" w:rsidRPr="00871C14" w:rsidRDefault="00871C14" w:rsidP="00871C14">
            <w:pPr>
              <w:jc w:val="both"/>
              <w:rPr>
                <w:b/>
                <w:bCs/>
                <w:lang w:eastAsia="en-US"/>
              </w:rPr>
            </w:pPr>
          </w:p>
        </w:tc>
        <w:tc>
          <w:tcPr>
            <w:tcW w:w="1500" w:type="dxa"/>
            <w:tcBorders>
              <w:top w:val="nil"/>
              <w:left w:val="nil"/>
              <w:bottom w:val="single" w:sz="4" w:space="0" w:color="auto"/>
              <w:right w:val="single" w:sz="4" w:space="0" w:color="auto"/>
            </w:tcBorders>
          </w:tcPr>
          <w:p w14:paraId="5BE21F48" w14:textId="77777777" w:rsidR="00871C14" w:rsidRPr="00871C14" w:rsidRDefault="00871C14" w:rsidP="00871C14">
            <w:pPr>
              <w:jc w:val="both"/>
              <w:rPr>
                <w:b/>
                <w:bCs/>
                <w:lang w:eastAsia="en-US"/>
              </w:rPr>
            </w:pPr>
          </w:p>
        </w:tc>
        <w:tc>
          <w:tcPr>
            <w:tcW w:w="3000" w:type="dxa"/>
            <w:tcBorders>
              <w:top w:val="nil"/>
              <w:left w:val="nil"/>
              <w:bottom w:val="single" w:sz="4" w:space="0" w:color="auto"/>
              <w:right w:val="single" w:sz="4" w:space="0" w:color="auto"/>
            </w:tcBorders>
            <w:noWrap/>
            <w:vAlign w:val="bottom"/>
          </w:tcPr>
          <w:p w14:paraId="0CD70199" w14:textId="77777777" w:rsidR="00871C14" w:rsidRPr="00871C14" w:rsidRDefault="00871C14" w:rsidP="00871C14">
            <w:pPr>
              <w:jc w:val="both"/>
              <w:rPr>
                <w:lang w:eastAsia="en-US"/>
              </w:rPr>
            </w:pPr>
            <w:r w:rsidRPr="00871C14">
              <w:rPr>
                <w:lang w:eastAsia="en-US"/>
              </w:rPr>
              <w:t> </w:t>
            </w:r>
          </w:p>
        </w:tc>
      </w:tr>
      <w:tr w:rsidR="00871C14" w:rsidRPr="00871C14" w14:paraId="4C92DD19" w14:textId="77777777" w:rsidTr="00DA58E5">
        <w:trPr>
          <w:trHeight w:val="255"/>
        </w:trPr>
        <w:tc>
          <w:tcPr>
            <w:tcW w:w="4950" w:type="dxa"/>
            <w:tcBorders>
              <w:top w:val="nil"/>
              <w:left w:val="single" w:sz="4" w:space="0" w:color="auto"/>
              <w:bottom w:val="single" w:sz="4" w:space="0" w:color="auto"/>
              <w:right w:val="single" w:sz="4" w:space="0" w:color="auto"/>
            </w:tcBorders>
          </w:tcPr>
          <w:p w14:paraId="52000546" w14:textId="77777777" w:rsidR="00871C14" w:rsidRPr="00871C14" w:rsidRDefault="00871C14" w:rsidP="00871C14">
            <w:pPr>
              <w:jc w:val="both"/>
              <w:rPr>
                <w:b/>
                <w:bCs/>
                <w:lang w:eastAsia="en-US"/>
              </w:rPr>
            </w:pPr>
            <w:r w:rsidRPr="00871C14">
              <w:rPr>
                <w:b/>
                <w:bCs/>
                <w:lang w:eastAsia="en-US"/>
              </w:rPr>
              <w:t>Nedaňové príjmy (200)</w:t>
            </w:r>
            <w:r w:rsidRPr="00871C14">
              <w:rPr>
                <w:b/>
                <w:bCs/>
                <w:vertAlign w:val="superscript"/>
                <w:lang w:eastAsia="en-US"/>
              </w:rPr>
              <w:t>1</w:t>
            </w:r>
          </w:p>
        </w:tc>
        <w:tc>
          <w:tcPr>
            <w:tcW w:w="1500" w:type="dxa"/>
            <w:tcBorders>
              <w:top w:val="nil"/>
              <w:left w:val="nil"/>
              <w:bottom w:val="single" w:sz="4" w:space="0" w:color="auto"/>
              <w:right w:val="single" w:sz="4" w:space="0" w:color="auto"/>
            </w:tcBorders>
          </w:tcPr>
          <w:p w14:paraId="65D72E90" w14:textId="77777777" w:rsidR="00871C14" w:rsidRPr="00871C14" w:rsidRDefault="00871C14" w:rsidP="00871C14">
            <w:pPr>
              <w:jc w:val="both"/>
              <w:rPr>
                <w:b/>
                <w:bCs/>
                <w:lang w:eastAsia="en-US"/>
              </w:rPr>
            </w:pPr>
          </w:p>
        </w:tc>
        <w:tc>
          <w:tcPr>
            <w:tcW w:w="1500" w:type="dxa"/>
            <w:tcBorders>
              <w:top w:val="nil"/>
              <w:left w:val="nil"/>
              <w:bottom w:val="single" w:sz="4" w:space="0" w:color="auto"/>
              <w:right w:val="single" w:sz="4" w:space="0" w:color="auto"/>
            </w:tcBorders>
          </w:tcPr>
          <w:p w14:paraId="0B2225E1" w14:textId="77777777" w:rsidR="00871C14" w:rsidRPr="00871C14" w:rsidRDefault="00871C14" w:rsidP="00871C14">
            <w:pPr>
              <w:jc w:val="both"/>
              <w:rPr>
                <w:b/>
                <w:bCs/>
                <w:lang w:eastAsia="en-US"/>
              </w:rPr>
            </w:pPr>
            <w:r w:rsidRPr="00871C14">
              <w:rPr>
                <w:b/>
                <w:bCs/>
                <w:lang w:eastAsia="en-US"/>
              </w:rPr>
              <w:t>22 555</w:t>
            </w:r>
          </w:p>
        </w:tc>
        <w:tc>
          <w:tcPr>
            <w:tcW w:w="1500" w:type="dxa"/>
            <w:tcBorders>
              <w:top w:val="nil"/>
              <w:left w:val="nil"/>
              <w:bottom w:val="single" w:sz="4" w:space="0" w:color="auto"/>
              <w:right w:val="single" w:sz="4" w:space="0" w:color="auto"/>
            </w:tcBorders>
          </w:tcPr>
          <w:p w14:paraId="3813DADE" w14:textId="77777777" w:rsidR="00871C14" w:rsidRPr="00871C14" w:rsidRDefault="00871C14" w:rsidP="00871C14">
            <w:pPr>
              <w:jc w:val="both"/>
              <w:rPr>
                <w:b/>
                <w:bCs/>
                <w:lang w:eastAsia="en-US"/>
              </w:rPr>
            </w:pPr>
            <w:r w:rsidRPr="00871C14">
              <w:rPr>
                <w:b/>
                <w:bCs/>
                <w:lang w:eastAsia="en-US"/>
              </w:rPr>
              <w:t>22 555</w:t>
            </w:r>
          </w:p>
        </w:tc>
        <w:tc>
          <w:tcPr>
            <w:tcW w:w="1500" w:type="dxa"/>
            <w:tcBorders>
              <w:top w:val="nil"/>
              <w:left w:val="nil"/>
              <w:bottom w:val="single" w:sz="4" w:space="0" w:color="auto"/>
              <w:right w:val="single" w:sz="4" w:space="0" w:color="auto"/>
            </w:tcBorders>
          </w:tcPr>
          <w:p w14:paraId="6CC03DFA" w14:textId="77777777" w:rsidR="00871C14" w:rsidRPr="00871C14" w:rsidRDefault="00871C14" w:rsidP="00871C14">
            <w:pPr>
              <w:jc w:val="both"/>
              <w:rPr>
                <w:b/>
                <w:bCs/>
                <w:lang w:eastAsia="en-US"/>
              </w:rPr>
            </w:pPr>
            <w:r w:rsidRPr="00871C14">
              <w:rPr>
                <w:b/>
                <w:bCs/>
                <w:lang w:eastAsia="en-US"/>
              </w:rPr>
              <w:t>22 555</w:t>
            </w:r>
          </w:p>
        </w:tc>
        <w:tc>
          <w:tcPr>
            <w:tcW w:w="3000" w:type="dxa"/>
            <w:tcBorders>
              <w:top w:val="nil"/>
              <w:left w:val="nil"/>
              <w:bottom w:val="single" w:sz="4" w:space="0" w:color="auto"/>
              <w:right w:val="single" w:sz="4" w:space="0" w:color="auto"/>
            </w:tcBorders>
            <w:noWrap/>
            <w:vAlign w:val="bottom"/>
          </w:tcPr>
          <w:p w14:paraId="26169D07" w14:textId="77777777" w:rsidR="00871C14" w:rsidRPr="00871C14" w:rsidRDefault="00871C14" w:rsidP="00871C14">
            <w:pPr>
              <w:jc w:val="both"/>
              <w:rPr>
                <w:lang w:eastAsia="en-US"/>
              </w:rPr>
            </w:pPr>
            <w:r w:rsidRPr="00871C14">
              <w:rPr>
                <w:lang w:eastAsia="en-US"/>
              </w:rPr>
              <w:t> </w:t>
            </w:r>
          </w:p>
        </w:tc>
      </w:tr>
      <w:tr w:rsidR="00871C14" w:rsidRPr="00871C14" w14:paraId="51EC3D35" w14:textId="77777777" w:rsidTr="00DA58E5">
        <w:trPr>
          <w:trHeight w:val="255"/>
        </w:trPr>
        <w:tc>
          <w:tcPr>
            <w:tcW w:w="4950" w:type="dxa"/>
            <w:tcBorders>
              <w:top w:val="nil"/>
              <w:left w:val="single" w:sz="4" w:space="0" w:color="auto"/>
              <w:bottom w:val="single" w:sz="4" w:space="0" w:color="auto"/>
              <w:right w:val="single" w:sz="4" w:space="0" w:color="auto"/>
            </w:tcBorders>
          </w:tcPr>
          <w:p w14:paraId="3938F3D4" w14:textId="77777777" w:rsidR="00871C14" w:rsidRPr="00871C14" w:rsidRDefault="00871C14" w:rsidP="00871C14">
            <w:pPr>
              <w:jc w:val="both"/>
              <w:rPr>
                <w:b/>
                <w:bCs/>
                <w:lang w:eastAsia="en-US"/>
              </w:rPr>
            </w:pPr>
            <w:r w:rsidRPr="00871C14">
              <w:rPr>
                <w:b/>
                <w:bCs/>
                <w:lang w:eastAsia="en-US"/>
              </w:rPr>
              <w:t>v tom: 221 004 – Ostatné poplatky</w:t>
            </w:r>
          </w:p>
        </w:tc>
        <w:tc>
          <w:tcPr>
            <w:tcW w:w="1500" w:type="dxa"/>
            <w:tcBorders>
              <w:top w:val="nil"/>
              <w:left w:val="nil"/>
              <w:bottom w:val="single" w:sz="4" w:space="0" w:color="auto"/>
              <w:right w:val="single" w:sz="4" w:space="0" w:color="auto"/>
            </w:tcBorders>
          </w:tcPr>
          <w:p w14:paraId="58EEED7F" w14:textId="77777777" w:rsidR="00871C14" w:rsidRPr="00871C14" w:rsidRDefault="00871C14" w:rsidP="00871C14">
            <w:pPr>
              <w:jc w:val="both"/>
              <w:rPr>
                <w:b/>
                <w:bCs/>
                <w:lang w:eastAsia="en-US"/>
              </w:rPr>
            </w:pPr>
          </w:p>
        </w:tc>
        <w:tc>
          <w:tcPr>
            <w:tcW w:w="1500" w:type="dxa"/>
            <w:tcBorders>
              <w:top w:val="nil"/>
              <w:left w:val="nil"/>
              <w:bottom w:val="single" w:sz="4" w:space="0" w:color="auto"/>
              <w:right w:val="single" w:sz="4" w:space="0" w:color="auto"/>
            </w:tcBorders>
          </w:tcPr>
          <w:p w14:paraId="611A070A" w14:textId="77777777" w:rsidR="00871C14" w:rsidRPr="00871C14" w:rsidRDefault="00871C14" w:rsidP="00871C14">
            <w:pPr>
              <w:jc w:val="both"/>
              <w:rPr>
                <w:b/>
                <w:bCs/>
                <w:lang w:eastAsia="en-US"/>
              </w:rPr>
            </w:pPr>
            <w:r w:rsidRPr="00871C14">
              <w:rPr>
                <w:b/>
                <w:bCs/>
                <w:lang w:eastAsia="en-US"/>
              </w:rPr>
              <w:t>0</w:t>
            </w:r>
          </w:p>
        </w:tc>
        <w:tc>
          <w:tcPr>
            <w:tcW w:w="1500" w:type="dxa"/>
            <w:tcBorders>
              <w:top w:val="nil"/>
              <w:left w:val="nil"/>
              <w:bottom w:val="single" w:sz="4" w:space="0" w:color="auto"/>
              <w:right w:val="single" w:sz="4" w:space="0" w:color="auto"/>
            </w:tcBorders>
          </w:tcPr>
          <w:p w14:paraId="3E8CE5AC" w14:textId="77777777" w:rsidR="00871C14" w:rsidRPr="00871C14" w:rsidRDefault="00871C14" w:rsidP="00871C14">
            <w:pPr>
              <w:jc w:val="both"/>
              <w:rPr>
                <w:b/>
                <w:bCs/>
                <w:lang w:eastAsia="en-US"/>
              </w:rPr>
            </w:pPr>
            <w:r w:rsidRPr="00871C14">
              <w:rPr>
                <w:b/>
                <w:bCs/>
                <w:lang w:eastAsia="en-US"/>
              </w:rPr>
              <w:t xml:space="preserve"> 0</w:t>
            </w:r>
          </w:p>
        </w:tc>
        <w:tc>
          <w:tcPr>
            <w:tcW w:w="1500" w:type="dxa"/>
            <w:tcBorders>
              <w:top w:val="nil"/>
              <w:left w:val="nil"/>
              <w:bottom w:val="single" w:sz="4" w:space="0" w:color="auto"/>
              <w:right w:val="single" w:sz="4" w:space="0" w:color="auto"/>
            </w:tcBorders>
          </w:tcPr>
          <w:p w14:paraId="3E53C58F" w14:textId="77777777" w:rsidR="00871C14" w:rsidRPr="00871C14" w:rsidRDefault="00871C14" w:rsidP="00871C14">
            <w:pPr>
              <w:jc w:val="both"/>
              <w:rPr>
                <w:b/>
                <w:bCs/>
                <w:lang w:eastAsia="en-US"/>
              </w:rPr>
            </w:pPr>
            <w:r w:rsidRPr="00871C14">
              <w:rPr>
                <w:b/>
                <w:bCs/>
                <w:lang w:eastAsia="en-US"/>
              </w:rPr>
              <w:t>0</w:t>
            </w:r>
          </w:p>
        </w:tc>
        <w:tc>
          <w:tcPr>
            <w:tcW w:w="3000" w:type="dxa"/>
            <w:tcBorders>
              <w:top w:val="nil"/>
              <w:left w:val="nil"/>
              <w:bottom w:val="single" w:sz="4" w:space="0" w:color="auto"/>
              <w:right w:val="single" w:sz="4" w:space="0" w:color="auto"/>
            </w:tcBorders>
            <w:noWrap/>
            <w:vAlign w:val="bottom"/>
          </w:tcPr>
          <w:p w14:paraId="2ECEE321" w14:textId="77777777" w:rsidR="00871C14" w:rsidRPr="00871C14" w:rsidRDefault="00871C14" w:rsidP="00871C14">
            <w:pPr>
              <w:jc w:val="both"/>
              <w:rPr>
                <w:lang w:eastAsia="en-US"/>
              </w:rPr>
            </w:pPr>
          </w:p>
        </w:tc>
      </w:tr>
      <w:tr w:rsidR="00871C14" w:rsidRPr="00871C14" w14:paraId="689B1A4D" w14:textId="77777777" w:rsidTr="00DA58E5">
        <w:trPr>
          <w:trHeight w:val="255"/>
        </w:trPr>
        <w:tc>
          <w:tcPr>
            <w:tcW w:w="4950" w:type="dxa"/>
            <w:tcBorders>
              <w:top w:val="nil"/>
              <w:left w:val="single" w:sz="4" w:space="0" w:color="auto"/>
              <w:bottom w:val="single" w:sz="4" w:space="0" w:color="auto"/>
              <w:right w:val="single" w:sz="4" w:space="0" w:color="auto"/>
            </w:tcBorders>
          </w:tcPr>
          <w:p w14:paraId="6EF4FA62" w14:textId="77777777" w:rsidR="00871C14" w:rsidRPr="00871C14" w:rsidRDefault="00871C14" w:rsidP="00871C14">
            <w:pPr>
              <w:jc w:val="both"/>
              <w:rPr>
                <w:b/>
                <w:bCs/>
                <w:lang w:eastAsia="en-US"/>
              </w:rPr>
            </w:pPr>
            <w:r w:rsidRPr="00871C14">
              <w:rPr>
                <w:b/>
                <w:bCs/>
                <w:lang w:eastAsia="en-US"/>
              </w:rPr>
              <w:t xml:space="preserve">            222 003 – Za porušenie predpisov</w:t>
            </w:r>
          </w:p>
        </w:tc>
        <w:tc>
          <w:tcPr>
            <w:tcW w:w="1500" w:type="dxa"/>
            <w:tcBorders>
              <w:top w:val="nil"/>
              <w:left w:val="nil"/>
              <w:bottom w:val="single" w:sz="4" w:space="0" w:color="auto"/>
              <w:right w:val="single" w:sz="4" w:space="0" w:color="auto"/>
            </w:tcBorders>
          </w:tcPr>
          <w:p w14:paraId="47368387" w14:textId="77777777" w:rsidR="00871C14" w:rsidRPr="00871C14" w:rsidRDefault="00871C14" w:rsidP="00871C14">
            <w:pPr>
              <w:jc w:val="both"/>
              <w:rPr>
                <w:b/>
                <w:bCs/>
                <w:lang w:eastAsia="en-US"/>
              </w:rPr>
            </w:pPr>
          </w:p>
        </w:tc>
        <w:tc>
          <w:tcPr>
            <w:tcW w:w="1500" w:type="dxa"/>
            <w:tcBorders>
              <w:top w:val="nil"/>
              <w:left w:val="nil"/>
              <w:bottom w:val="single" w:sz="4" w:space="0" w:color="auto"/>
              <w:right w:val="single" w:sz="4" w:space="0" w:color="auto"/>
            </w:tcBorders>
          </w:tcPr>
          <w:p w14:paraId="1160AAB0" w14:textId="77777777" w:rsidR="00871C14" w:rsidRPr="00871C14" w:rsidRDefault="00871C14" w:rsidP="00871C14">
            <w:pPr>
              <w:jc w:val="both"/>
              <w:rPr>
                <w:b/>
                <w:bCs/>
                <w:lang w:eastAsia="en-US"/>
              </w:rPr>
            </w:pPr>
            <w:r w:rsidRPr="00871C14">
              <w:rPr>
                <w:b/>
                <w:bCs/>
                <w:lang w:eastAsia="en-US"/>
              </w:rPr>
              <w:t>22 555</w:t>
            </w:r>
          </w:p>
        </w:tc>
        <w:tc>
          <w:tcPr>
            <w:tcW w:w="1500" w:type="dxa"/>
            <w:tcBorders>
              <w:top w:val="nil"/>
              <w:left w:val="nil"/>
              <w:bottom w:val="single" w:sz="4" w:space="0" w:color="auto"/>
              <w:right w:val="single" w:sz="4" w:space="0" w:color="auto"/>
            </w:tcBorders>
          </w:tcPr>
          <w:p w14:paraId="4480D0D8" w14:textId="77777777" w:rsidR="00871C14" w:rsidRPr="00871C14" w:rsidRDefault="00871C14" w:rsidP="00871C14">
            <w:pPr>
              <w:jc w:val="both"/>
              <w:rPr>
                <w:b/>
                <w:bCs/>
                <w:lang w:eastAsia="en-US"/>
              </w:rPr>
            </w:pPr>
            <w:r w:rsidRPr="00871C14">
              <w:rPr>
                <w:b/>
                <w:bCs/>
                <w:lang w:eastAsia="en-US"/>
              </w:rPr>
              <w:t>22 555</w:t>
            </w:r>
          </w:p>
        </w:tc>
        <w:tc>
          <w:tcPr>
            <w:tcW w:w="1500" w:type="dxa"/>
            <w:tcBorders>
              <w:top w:val="nil"/>
              <w:left w:val="nil"/>
              <w:bottom w:val="single" w:sz="4" w:space="0" w:color="auto"/>
              <w:right w:val="single" w:sz="4" w:space="0" w:color="auto"/>
            </w:tcBorders>
          </w:tcPr>
          <w:p w14:paraId="1CD8BD12" w14:textId="77777777" w:rsidR="00871C14" w:rsidRPr="00871C14" w:rsidRDefault="00871C14" w:rsidP="00871C14">
            <w:pPr>
              <w:jc w:val="both"/>
              <w:rPr>
                <w:b/>
                <w:bCs/>
                <w:lang w:eastAsia="en-US"/>
              </w:rPr>
            </w:pPr>
            <w:r w:rsidRPr="00871C14">
              <w:rPr>
                <w:b/>
                <w:bCs/>
                <w:lang w:eastAsia="en-US"/>
              </w:rPr>
              <w:t>22 555</w:t>
            </w:r>
          </w:p>
        </w:tc>
        <w:tc>
          <w:tcPr>
            <w:tcW w:w="3000" w:type="dxa"/>
            <w:tcBorders>
              <w:top w:val="nil"/>
              <w:left w:val="nil"/>
              <w:bottom w:val="single" w:sz="4" w:space="0" w:color="auto"/>
              <w:right w:val="single" w:sz="4" w:space="0" w:color="auto"/>
            </w:tcBorders>
            <w:noWrap/>
            <w:vAlign w:val="bottom"/>
          </w:tcPr>
          <w:p w14:paraId="41DA23C5" w14:textId="77777777" w:rsidR="00871C14" w:rsidRPr="00871C14" w:rsidRDefault="00871C14" w:rsidP="00871C14">
            <w:pPr>
              <w:jc w:val="both"/>
              <w:rPr>
                <w:lang w:eastAsia="en-US"/>
              </w:rPr>
            </w:pPr>
          </w:p>
        </w:tc>
      </w:tr>
      <w:tr w:rsidR="00871C14" w:rsidRPr="00871C14" w14:paraId="65C23C03" w14:textId="77777777" w:rsidTr="00DA58E5">
        <w:trPr>
          <w:trHeight w:val="255"/>
        </w:trPr>
        <w:tc>
          <w:tcPr>
            <w:tcW w:w="4950" w:type="dxa"/>
            <w:tcBorders>
              <w:top w:val="nil"/>
              <w:left w:val="single" w:sz="4" w:space="0" w:color="auto"/>
              <w:bottom w:val="single" w:sz="4" w:space="0" w:color="auto"/>
              <w:right w:val="single" w:sz="4" w:space="0" w:color="auto"/>
            </w:tcBorders>
          </w:tcPr>
          <w:p w14:paraId="214CDEBB" w14:textId="77777777" w:rsidR="00871C14" w:rsidRPr="00871C14" w:rsidRDefault="00871C14" w:rsidP="00871C14">
            <w:pPr>
              <w:jc w:val="both"/>
              <w:rPr>
                <w:b/>
                <w:bCs/>
                <w:lang w:eastAsia="en-US"/>
              </w:rPr>
            </w:pPr>
            <w:r w:rsidRPr="00871C14">
              <w:rPr>
                <w:b/>
                <w:bCs/>
                <w:lang w:eastAsia="en-US"/>
              </w:rPr>
              <w:t>Granty a transfery (300)</w:t>
            </w:r>
            <w:r w:rsidRPr="00871C14">
              <w:rPr>
                <w:b/>
                <w:bCs/>
                <w:vertAlign w:val="superscript"/>
                <w:lang w:eastAsia="en-US"/>
              </w:rPr>
              <w:t>1</w:t>
            </w:r>
          </w:p>
        </w:tc>
        <w:tc>
          <w:tcPr>
            <w:tcW w:w="1500" w:type="dxa"/>
            <w:tcBorders>
              <w:top w:val="nil"/>
              <w:left w:val="nil"/>
              <w:bottom w:val="single" w:sz="4" w:space="0" w:color="auto"/>
              <w:right w:val="single" w:sz="4" w:space="0" w:color="auto"/>
            </w:tcBorders>
          </w:tcPr>
          <w:p w14:paraId="1D096ED9" w14:textId="77777777" w:rsidR="00871C14" w:rsidRPr="00871C14" w:rsidRDefault="00871C14" w:rsidP="00871C14">
            <w:pPr>
              <w:jc w:val="both"/>
              <w:rPr>
                <w:b/>
                <w:bCs/>
                <w:lang w:eastAsia="en-US"/>
              </w:rPr>
            </w:pPr>
          </w:p>
        </w:tc>
        <w:tc>
          <w:tcPr>
            <w:tcW w:w="1500" w:type="dxa"/>
            <w:tcBorders>
              <w:top w:val="nil"/>
              <w:left w:val="nil"/>
              <w:bottom w:val="single" w:sz="4" w:space="0" w:color="auto"/>
              <w:right w:val="single" w:sz="4" w:space="0" w:color="auto"/>
            </w:tcBorders>
          </w:tcPr>
          <w:p w14:paraId="0DEE362E" w14:textId="77777777" w:rsidR="00871C14" w:rsidRPr="00871C14" w:rsidRDefault="00871C14" w:rsidP="00871C14">
            <w:pPr>
              <w:jc w:val="both"/>
              <w:rPr>
                <w:b/>
                <w:bCs/>
                <w:lang w:eastAsia="en-US"/>
              </w:rPr>
            </w:pPr>
          </w:p>
        </w:tc>
        <w:tc>
          <w:tcPr>
            <w:tcW w:w="1500" w:type="dxa"/>
            <w:tcBorders>
              <w:top w:val="nil"/>
              <w:left w:val="nil"/>
              <w:bottom w:val="single" w:sz="4" w:space="0" w:color="auto"/>
              <w:right w:val="single" w:sz="4" w:space="0" w:color="auto"/>
            </w:tcBorders>
          </w:tcPr>
          <w:p w14:paraId="06A130CC" w14:textId="77777777" w:rsidR="00871C14" w:rsidRPr="00871C14" w:rsidRDefault="00871C14" w:rsidP="00871C14">
            <w:pPr>
              <w:jc w:val="both"/>
              <w:rPr>
                <w:b/>
                <w:bCs/>
                <w:lang w:eastAsia="en-US"/>
              </w:rPr>
            </w:pPr>
          </w:p>
        </w:tc>
        <w:tc>
          <w:tcPr>
            <w:tcW w:w="1500" w:type="dxa"/>
            <w:tcBorders>
              <w:top w:val="nil"/>
              <w:left w:val="nil"/>
              <w:bottom w:val="single" w:sz="4" w:space="0" w:color="auto"/>
              <w:right w:val="single" w:sz="4" w:space="0" w:color="auto"/>
            </w:tcBorders>
          </w:tcPr>
          <w:p w14:paraId="70D9AA6B" w14:textId="77777777" w:rsidR="00871C14" w:rsidRPr="00871C14" w:rsidRDefault="00871C14" w:rsidP="00871C14">
            <w:pPr>
              <w:jc w:val="both"/>
              <w:rPr>
                <w:b/>
                <w:bCs/>
                <w:lang w:eastAsia="en-US"/>
              </w:rPr>
            </w:pPr>
          </w:p>
        </w:tc>
        <w:tc>
          <w:tcPr>
            <w:tcW w:w="3000" w:type="dxa"/>
            <w:tcBorders>
              <w:top w:val="nil"/>
              <w:left w:val="nil"/>
              <w:bottom w:val="single" w:sz="4" w:space="0" w:color="auto"/>
              <w:right w:val="single" w:sz="4" w:space="0" w:color="auto"/>
            </w:tcBorders>
            <w:noWrap/>
            <w:vAlign w:val="bottom"/>
          </w:tcPr>
          <w:p w14:paraId="696BC06E" w14:textId="77777777" w:rsidR="00871C14" w:rsidRPr="00871C14" w:rsidRDefault="00871C14" w:rsidP="00871C14">
            <w:pPr>
              <w:jc w:val="both"/>
              <w:rPr>
                <w:lang w:eastAsia="en-US"/>
              </w:rPr>
            </w:pPr>
            <w:r w:rsidRPr="00871C14">
              <w:rPr>
                <w:lang w:eastAsia="en-US"/>
              </w:rPr>
              <w:t> </w:t>
            </w:r>
          </w:p>
        </w:tc>
      </w:tr>
      <w:tr w:rsidR="00871C14" w:rsidRPr="00871C14" w14:paraId="62E95969" w14:textId="77777777" w:rsidTr="00DA58E5">
        <w:trPr>
          <w:trHeight w:val="255"/>
        </w:trPr>
        <w:tc>
          <w:tcPr>
            <w:tcW w:w="4950" w:type="dxa"/>
            <w:tcBorders>
              <w:top w:val="nil"/>
              <w:left w:val="single" w:sz="4" w:space="0" w:color="auto"/>
              <w:bottom w:val="single" w:sz="4" w:space="0" w:color="auto"/>
              <w:right w:val="single" w:sz="4" w:space="0" w:color="auto"/>
            </w:tcBorders>
          </w:tcPr>
          <w:p w14:paraId="67852930" w14:textId="77777777" w:rsidR="00871C14" w:rsidRPr="00871C14" w:rsidRDefault="00871C14" w:rsidP="00871C14">
            <w:pPr>
              <w:jc w:val="both"/>
              <w:rPr>
                <w:b/>
                <w:bCs/>
                <w:lang w:eastAsia="en-US"/>
              </w:rPr>
            </w:pPr>
            <w:r w:rsidRPr="00871C14">
              <w:rPr>
                <w:b/>
                <w:bCs/>
                <w:lang w:eastAsia="en-U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14:paraId="7A89F811" w14:textId="77777777" w:rsidR="00871C14" w:rsidRPr="00871C14" w:rsidRDefault="00871C14" w:rsidP="00871C14">
            <w:pPr>
              <w:jc w:val="both"/>
              <w:rPr>
                <w:b/>
                <w:bCs/>
                <w:lang w:eastAsia="en-US"/>
              </w:rPr>
            </w:pPr>
            <w:r w:rsidRPr="00871C14">
              <w:rPr>
                <w:b/>
                <w:bCs/>
                <w:lang w:eastAsia="en-US"/>
              </w:rPr>
              <w:t> </w:t>
            </w:r>
          </w:p>
        </w:tc>
        <w:tc>
          <w:tcPr>
            <w:tcW w:w="1500" w:type="dxa"/>
            <w:tcBorders>
              <w:top w:val="nil"/>
              <w:left w:val="nil"/>
              <w:bottom w:val="single" w:sz="4" w:space="0" w:color="auto"/>
              <w:right w:val="single" w:sz="4" w:space="0" w:color="auto"/>
            </w:tcBorders>
            <w:shd w:val="clear" w:color="auto" w:fill="FFFF99"/>
          </w:tcPr>
          <w:p w14:paraId="19FE9805" w14:textId="77777777" w:rsidR="00871C14" w:rsidRPr="00871C14" w:rsidRDefault="00871C14" w:rsidP="00871C14">
            <w:pPr>
              <w:jc w:val="both"/>
              <w:rPr>
                <w:b/>
                <w:bCs/>
                <w:lang w:eastAsia="en-US"/>
              </w:rPr>
            </w:pPr>
            <w:r w:rsidRPr="00871C14">
              <w:rPr>
                <w:b/>
                <w:bCs/>
                <w:lang w:eastAsia="en-US"/>
              </w:rPr>
              <w:t> </w:t>
            </w:r>
          </w:p>
        </w:tc>
        <w:tc>
          <w:tcPr>
            <w:tcW w:w="1500" w:type="dxa"/>
            <w:tcBorders>
              <w:top w:val="nil"/>
              <w:left w:val="nil"/>
              <w:bottom w:val="single" w:sz="4" w:space="0" w:color="auto"/>
              <w:right w:val="single" w:sz="4" w:space="0" w:color="auto"/>
            </w:tcBorders>
            <w:shd w:val="clear" w:color="auto" w:fill="FFFF99"/>
          </w:tcPr>
          <w:p w14:paraId="571AA466" w14:textId="77777777" w:rsidR="00871C14" w:rsidRPr="00871C14" w:rsidRDefault="00871C14" w:rsidP="00871C14">
            <w:pPr>
              <w:jc w:val="both"/>
              <w:rPr>
                <w:b/>
                <w:bCs/>
                <w:lang w:eastAsia="en-US"/>
              </w:rPr>
            </w:pPr>
            <w:r w:rsidRPr="00871C14">
              <w:rPr>
                <w:b/>
                <w:bCs/>
                <w:lang w:eastAsia="en-US"/>
              </w:rPr>
              <w:t> </w:t>
            </w:r>
          </w:p>
        </w:tc>
        <w:tc>
          <w:tcPr>
            <w:tcW w:w="1500" w:type="dxa"/>
            <w:tcBorders>
              <w:top w:val="nil"/>
              <w:left w:val="nil"/>
              <w:bottom w:val="single" w:sz="4" w:space="0" w:color="auto"/>
              <w:right w:val="single" w:sz="4" w:space="0" w:color="auto"/>
            </w:tcBorders>
            <w:shd w:val="clear" w:color="auto" w:fill="FFFF99"/>
          </w:tcPr>
          <w:p w14:paraId="3421B9D1" w14:textId="77777777" w:rsidR="00871C14" w:rsidRPr="00871C14" w:rsidRDefault="00871C14" w:rsidP="00871C14">
            <w:pPr>
              <w:jc w:val="both"/>
              <w:rPr>
                <w:b/>
                <w:bCs/>
                <w:lang w:eastAsia="en-US"/>
              </w:rPr>
            </w:pPr>
            <w:r w:rsidRPr="00871C14">
              <w:rPr>
                <w:b/>
                <w:bCs/>
                <w:lang w:eastAsia="en-US"/>
              </w:rPr>
              <w:t> </w:t>
            </w:r>
          </w:p>
        </w:tc>
        <w:tc>
          <w:tcPr>
            <w:tcW w:w="3000" w:type="dxa"/>
            <w:tcBorders>
              <w:top w:val="nil"/>
              <w:left w:val="nil"/>
              <w:bottom w:val="single" w:sz="4" w:space="0" w:color="auto"/>
              <w:right w:val="single" w:sz="4" w:space="0" w:color="auto"/>
            </w:tcBorders>
            <w:noWrap/>
            <w:vAlign w:val="bottom"/>
          </w:tcPr>
          <w:p w14:paraId="0CE25BD3" w14:textId="77777777" w:rsidR="00871C14" w:rsidRPr="00871C14" w:rsidRDefault="00871C14" w:rsidP="00871C14">
            <w:pPr>
              <w:jc w:val="both"/>
              <w:rPr>
                <w:lang w:eastAsia="en-US"/>
              </w:rPr>
            </w:pPr>
            <w:r w:rsidRPr="00871C14">
              <w:rPr>
                <w:lang w:eastAsia="en-US"/>
              </w:rPr>
              <w:t> </w:t>
            </w:r>
          </w:p>
        </w:tc>
      </w:tr>
      <w:tr w:rsidR="00871C14" w:rsidRPr="00871C14" w14:paraId="223FC109" w14:textId="77777777" w:rsidTr="00DA58E5">
        <w:trPr>
          <w:trHeight w:val="255"/>
        </w:trPr>
        <w:tc>
          <w:tcPr>
            <w:tcW w:w="4950" w:type="dxa"/>
            <w:tcBorders>
              <w:top w:val="nil"/>
              <w:left w:val="single" w:sz="4" w:space="0" w:color="auto"/>
              <w:bottom w:val="single" w:sz="4" w:space="0" w:color="auto"/>
              <w:right w:val="single" w:sz="4" w:space="0" w:color="auto"/>
            </w:tcBorders>
          </w:tcPr>
          <w:p w14:paraId="2D17EDFB" w14:textId="77777777" w:rsidR="00871C14" w:rsidRPr="00871C14" w:rsidRDefault="00871C14" w:rsidP="00871C14">
            <w:pPr>
              <w:jc w:val="both"/>
              <w:rPr>
                <w:b/>
                <w:bCs/>
                <w:lang w:eastAsia="en-US"/>
              </w:rPr>
            </w:pPr>
            <w:r w:rsidRPr="00871C14">
              <w:rPr>
                <w:b/>
                <w:bCs/>
                <w:lang w:eastAsia="en-U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14:paraId="0A11920D" w14:textId="77777777" w:rsidR="00871C14" w:rsidRPr="00871C14" w:rsidRDefault="00871C14" w:rsidP="00871C14">
            <w:pPr>
              <w:jc w:val="both"/>
              <w:rPr>
                <w:b/>
                <w:bCs/>
                <w:lang w:eastAsia="en-US"/>
              </w:rPr>
            </w:pPr>
            <w:r w:rsidRPr="00871C14">
              <w:rPr>
                <w:b/>
                <w:bCs/>
                <w:lang w:eastAsia="en-US"/>
              </w:rPr>
              <w:t> </w:t>
            </w:r>
          </w:p>
        </w:tc>
        <w:tc>
          <w:tcPr>
            <w:tcW w:w="1500" w:type="dxa"/>
            <w:tcBorders>
              <w:top w:val="nil"/>
              <w:left w:val="nil"/>
              <w:bottom w:val="single" w:sz="4" w:space="0" w:color="auto"/>
              <w:right w:val="single" w:sz="4" w:space="0" w:color="auto"/>
            </w:tcBorders>
            <w:shd w:val="clear" w:color="auto" w:fill="FFFF99"/>
          </w:tcPr>
          <w:p w14:paraId="5F1CA45C" w14:textId="77777777" w:rsidR="00871C14" w:rsidRPr="00871C14" w:rsidRDefault="00871C14" w:rsidP="00871C14">
            <w:pPr>
              <w:jc w:val="both"/>
              <w:rPr>
                <w:b/>
                <w:bCs/>
                <w:lang w:eastAsia="en-US"/>
              </w:rPr>
            </w:pPr>
            <w:r w:rsidRPr="00871C14">
              <w:rPr>
                <w:b/>
                <w:bCs/>
                <w:lang w:eastAsia="en-US"/>
              </w:rPr>
              <w:t> </w:t>
            </w:r>
          </w:p>
        </w:tc>
        <w:tc>
          <w:tcPr>
            <w:tcW w:w="1500" w:type="dxa"/>
            <w:tcBorders>
              <w:top w:val="nil"/>
              <w:left w:val="nil"/>
              <w:bottom w:val="single" w:sz="4" w:space="0" w:color="auto"/>
              <w:right w:val="single" w:sz="4" w:space="0" w:color="auto"/>
            </w:tcBorders>
            <w:shd w:val="clear" w:color="auto" w:fill="FFFF99"/>
          </w:tcPr>
          <w:p w14:paraId="68DA3AA1" w14:textId="77777777" w:rsidR="00871C14" w:rsidRPr="00871C14" w:rsidRDefault="00871C14" w:rsidP="00871C14">
            <w:pPr>
              <w:jc w:val="both"/>
              <w:rPr>
                <w:b/>
                <w:bCs/>
                <w:lang w:eastAsia="en-US"/>
              </w:rPr>
            </w:pPr>
            <w:r w:rsidRPr="00871C14">
              <w:rPr>
                <w:b/>
                <w:bCs/>
                <w:lang w:eastAsia="en-US"/>
              </w:rPr>
              <w:t> </w:t>
            </w:r>
          </w:p>
        </w:tc>
        <w:tc>
          <w:tcPr>
            <w:tcW w:w="1500" w:type="dxa"/>
            <w:tcBorders>
              <w:top w:val="nil"/>
              <w:left w:val="nil"/>
              <w:bottom w:val="single" w:sz="4" w:space="0" w:color="auto"/>
              <w:right w:val="single" w:sz="4" w:space="0" w:color="auto"/>
            </w:tcBorders>
            <w:shd w:val="clear" w:color="auto" w:fill="FFFF99"/>
          </w:tcPr>
          <w:p w14:paraId="17083132" w14:textId="77777777" w:rsidR="00871C14" w:rsidRPr="00871C14" w:rsidRDefault="00871C14" w:rsidP="00871C14">
            <w:pPr>
              <w:jc w:val="both"/>
              <w:rPr>
                <w:b/>
                <w:bCs/>
                <w:lang w:eastAsia="en-US"/>
              </w:rPr>
            </w:pPr>
            <w:r w:rsidRPr="00871C14">
              <w:rPr>
                <w:b/>
                <w:bCs/>
                <w:lang w:eastAsia="en-US"/>
              </w:rPr>
              <w:t> </w:t>
            </w:r>
          </w:p>
        </w:tc>
        <w:tc>
          <w:tcPr>
            <w:tcW w:w="3000" w:type="dxa"/>
            <w:tcBorders>
              <w:top w:val="nil"/>
              <w:left w:val="nil"/>
              <w:bottom w:val="single" w:sz="4" w:space="0" w:color="auto"/>
              <w:right w:val="single" w:sz="4" w:space="0" w:color="auto"/>
            </w:tcBorders>
            <w:noWrap/>
            <w:vAlign w:val="bottom"/>
          </w:tcPr>
          <w:p w14:paraId="3054048F" w14:textId="77777777" w:rsidR="00871C14" w:rsidRPr="00871C14" w:rsidRDefault="00871C14" w:rsidP="00871C14">
            <w:pPr>
              <w:jc w:val="both"/>
              <w:rPr>
                <w:lang w:eastAsia="en-US"/>
              </w:rPr>
            </w:pPr>
            <w:r w:rsidRPr="00871C14">
              <w:rPr>
                <w:lang w:eastAsia="en-US"/>
              </w:rPr>
              <w:t> </w:t>
            </w:r>
          </w:p>
        </w:tc>
      </w:tr>
      <w:tr w:rsidR="00871C14" w:rsidRPr="00871C14" w14:paraId="7F7E1BEF" w14:textId="77777777" w:rsidTr="00871C14">
        <w:trPr>
          <w:trHeight w:val="255"/>
        </w:trPr>
        <w:tc>
          <w:tcPr>
            <w:tcW w:w="4950" w:type="dxa"/>
            <w:tcBorders>
              <w:top w:val="nil"/>
              <w:left w:val="single" w:sz="4" w:space="0" w:color="auto"/>
              <w:bottom w:val="single" w:sz="4" w:space="0" w:color="auto"/>
              <w:right w:val="single" w:sz="4" w:space="0" w:color="auto"/>
            </w:tcBorders>
            <w:shd w:val="clear" w:color="auto" w:fill="BFBFBF"/>
          </w:tcPr>
          <w:p w14:paraId="02DD3D02" w14:textId="77777777" w:rsidR="00871C14" w:rsidRPr="00871C14" w:rsidRDefault="00871C14" w:rsidP="00871C14">
            <w:pPr>
              <w:jc w:val="both"/>
              <w:rPr>
                <w:b/>
                <w:bCs/>
                <w:lang w:eastAsia="en-US"/>
              </w:rPr>
            </w:pPr>
            <w:r w:rsidRPr="00871C14">
              <w:rPr>
                <w:b/>
                <w:bCs/>
                <w:lang w:eastAsia="en-US"/>
              </w:rPr>
              <w:t>Dopad na príjmy verejnej správy celkom</w:t>
            </w:r>
          </w:p>
        </w:tc>
        <w:tc>
          <w:tcPr>
            <w:tcW w:w="1500" w:type="dxa"/>
            <w:tcBorders>
              <w:top w:val="nil"/>
              <w:left w:val="nil"/>
              <w:bottom w:val="single" w:sz="4" w:space="0" w:color="auto"/>
              <w:right w:val="single" w:sz="4" w:space="0" w:color="auto"/>
            </w:tcBorders>
            <w:shd w:val="clear" w:color="auto" w:fill="BFBFBF"/>
          </w:tcPr>
          <w:p w14:paraId="7C7A14D2" w14:textId="77777777" w:rsidR="00871C14" w:rsidRPr="00871C14" w:rsidRDefault="00871C14" w:rsidP="00871C14">
            <w:pPr>
              <w:jc w:val="both"/>
              <w:rPr>
                <w:b/>
                <w:bCs/>
                <w:lang w:eastAsia="en-US"/>
              </w:rPr>
            </w:pPr>
            <w:r w:rsidRPr="00871C14">
              <w:rPr>
                <w:b/>
                <w:bCs/>
                <w:lang w:eastAsia="en-US"/>
              </w:rPr>
              <w:t>0</w:t>
            </w:r>
          </w:p>
        </w:tc>
        <w:tc>
          <w:tcPr>
            <w:tcW w:w="1500" w:type="dxa"/>
            <w:tcBorders>
              <w:top w:val="nil"/>
              <w:left w:val="nil"/>
              <w:bottom w:val="single" w:sz="4" w:space="0" w:color="auto"/>
              <w:right w:val="single" w:sz="4" w:space="0" w:color="auto"/>
            </w:tcBorders>
            <w:shd w:val="clear" w:color="auto" w:fill="BFBFBF"/>
          </w:tcPr>
          <w:p w14:paraId="727DA4BD" w14:textId="77777777" w:rsidR="00871C14" w:rsidRPr="00871C14" w:rsidRDefault="00871C14" w:rsidP="00871C14">
            <w:pPr>
              <w:jc w:val="both"/>
              <w:rPr>
                <w:b/>
                <w:bCs/>
                <w:lang w:eastAsia="en-US"/>
              </w:rPr>
            </w:pPr>
            <w:r w:rsidRPr="00871C14">
              <w:rPr>
                <w:b/>
                <w:bCs/>
                <w:lang w:eastAsia="en-US"/>
              </w:rPr>
              <w:t>22 555</w:t>
            </w:r>
          </w:p>
        </w:tc>
        <w:tc>
          <w:tcPr>
            <w:tcW w:w="1500" w:type="dxa"/>
            <w:tcBorders>
              <w:top w:val="nil"/>
              <w:left w:val="nil"/>
              <w:bottom w:val="single" w:sz="4" w:space="0" w:color="auto"/>
              <w:right w:val="single" w:sz="4" w:space="0" w:color="auto"/>
            </w:tcBorders>
            <w:shd w:val="clear" w:color="auto" w:fill="BFBFBF"/>
          </w:tcPr>
          <w:p w14:paraId="5925DF85" w14:textId="77777777" w:rsidR="00871C14" w:rsidRPr="00871C14" w:rsidRDefault="00871C14" w:rsidP="00871C14">
            <w:pPr>
              <w:jc w:val="both"/>
              <w:rPr>
                <w:b/>
                <w:bCs/>
                <w:lang w:eastAsia="en-US"/>
              </w:rPr>
            </w:pPr>
            <w:r w:rsidRPr="00871C14">
              <w:rPr>
                <w:b/>
                <w:bCs/>
                <w:lang w:eastAsia="en-US"/>
              </w:rPr>
              <w:t xml:space="preserve"> 22 555</w:t>
            </w:r>
          </w:p>
        </w:tc>
        <w:tc>
          <w:tcPr>
            <w:tcW w:w="1500" w:type="dxa"/>
            <w:tcBorders>
              <w:top w:val="nil"/>
              <w:left w:val="nil"/>
              <w:bottom w:val="single" w:sz="4" w:space="0" w:color="auto"/>
              <w:right w:val="single" w:sz="4" w:space="0" w:color="auto"/>
            </w:tcBorders>
            <w:shd w:val="clear" w:color="auto" w:fill="BFBFBF"/>
          </w:tcPr>
          <w:p w14:paraId="1CFCCAB5" w14:textId="77777777" w:rsidR="00871C14" w:rsidRPr="00871C14" w:rsidRDefault="00871C14" w:rsidP="00871C14">
            <w:pPr>
              <w:jc w:val="both"/>
              <w:rPr>
                <w:b/>
                <w:bCs/>
                <w:lang w:eastAsia="en-US"/>
              </w:rPr>
            </w:pPr>
            <w:r w:rsidRPr="00871C14">
              <w:rPr>
                <w:b/>
                <w:bCs/>
                <w:lang w:eastAsia="en-US"/>
              </w:rPr>
              <w:t xml:space="preserve"> 22 555</w:t>
            </w:r>
          </w:p>
        </w:tc>
        <w:tc>
          <w:tcPr>
            <w:tcW w:w="3000" w:type="dxa"/>
            <w:tcBorders>
              <w:top w:val="nil"/>
              <w:left w:val="nil"/>
              <w:bottom w:val="single" w:sz="4" w:space="0" w:color="auto"/>
              <w:right w:val="single" w:sz="4" w:space="0" w:color="auto"/>
            </w:tcBorders>
            <w:shd w:val="clear" w:color="auto" w:fill="BFBFBF"/>
            <w:noWrap/>
            <w:vAlign w:val="bottom"/>
          </w:tcPr>
          <w:p w14:paraId="28F94FFB" w14:textId="77777777" w:rsidR="00871C14" w:rsidRPr="00871C14" w:rsidRDefault="00871C14" w:rsidP="00871C14">
            <w:pPr>
              <w:jc w:val="both"/>
              <w:rPr>
                <w:lang w:eastAsia="en-US"/>
              </w:rPr>
            </w:pPr>
            <w:r w:rsidRPr="00871C14">
              <w:rPr>
                <w:lang w:eastAsia="en-US"/>
              </w:rPr>
              <w:t> </w:t>
            </w:r>
          </w:p>
        </w:tc>
      </w:tr>
    </w:tbl>
    <w:p w14:paraId="2402922B" w14:textId="77777777" w:rsidR="00871C14" w:rsidRPr="00871C14" w:rsidRDefault="00871C14" w:rsidP="00871C14">
      <w:pPr>
        <w:jc w:val="both"/>
        <w:rPr>
          <w:bCs/>
          <w:lang w:eastAsia="en-US"/>
        </w:rPr>
      </w:pPr>
      <w:r w:rsidRPr="00871C14">
        <w:rPr>
          <w:bCs/>
          <w:lang w:eastAsia="en-US"/>
        </w:rPr>
        <w:t>1 –  príjmy rozpísať až do položiek platnej ekonomickej klasifikácie</w:t>
      </w:r>
    </w:p>
    <w:p w14:paraId="11AE364B" w14:textId="77777777" w:rsidR="00871C14" w:rsidRPr="00871C14" w:rsidRDefault="00871C14" w:rsidP="00871C14">
      <w:pPr>
        <w:jc w:val="both"/>
        <w:rPr>
          <w:b/>
          <w:bCs/>
          <w:lang w:eastAsia="en-US"/>
        </w:rPr>
      </w:pPr>
      <w:r w:rsidRPr="00871C14">
        <w:rPr>
          <w:b/>
          <w:bCs/>
          <w:lang w:eastAsia="en-US"/>
        </w:rPr>
        <w:t>Poznámka:</w:t>
      </w:r>
    </w:p>
    <w:p w14:paraId="63659756" w14:textId="77777777" w:rsidR="00871C14" w:rsidRPr="00871C14" w:rsidRDefault="00871C14" w:rsidP="00871C14">
      <w:pPr>
        <w:jc w:val="both"/>
        <w:rPr>
          <w:bCs/>
          <w:lang w:eastAsia="en-US"/>
        </w:rPr>
      </w:pPr>
      <w:r w:rsidRPr="00871C14">
        <w:rPr>
          <w:bCs/>
          <w:lang w:eastAsia="en-US"/>
        </w:rPr>
        <w:t>Ak sa vplyv týka viacerých subjektov verejnej správy, vypĺňa sa samostatná tabuľka za každý subjekt.</w:t>
      </w:r>
    </w:p>
    <w:p w14:paraId="4B6BB202" w14:textId="77777777" w:rsidR="00871C14" w:rsidRPr="00871C14" w:rsidRDefault="00871C14" w:rsidP="00871C14">
      <w:pPr>
        <w:jc w:val="both"/>
        <w:rPr>
          <w:bCs/>
          <w:lang w:eastAsia="en-US"/>
        </w:rPr>
      </w:pPr>
      <w:r w:rsidRPr="00871C14">
        <w:rPr>
          <w:bCs/>
          <w:lang w:eastAsia="en-US"/>
        </w:rPr>
        <w:t xml:space="preserve"> </w:t>
      </w:r>
    </w:p>
    <w:p w14:paraId="7D98C28D" w14:textId="77777777" w:rsidR="00871C14" w:rsidRPr="00871C14" w:rsidRDefault="00871C14" w:rsidP="00871C14">
      <w:pPr>
        <w:jc w:val="both"/>
        <w:rPr>
          <w:bCs/>
          <w:lang w:eastAsia="en-US"/>
        </w:rPr>
      </w:pPr>
    </w:p>
    <w:p w14:paraId="686C9488" w14:textId="77777777" w:rsidR="00871C14" w:rsidRPr="00871C14" w:rsidRDefault="00871C14" w:rsidP="00871C14">
      <w:pPr>
        <w:jc w:val="both"/>
        <w:rPr>
          <w:b/>
          <w:bCs/>
          <w:lang w:eastAsia="en-US"/>
        </w:rPr>
      </w:pPr>
    </w:p>
    <w:p w14:paraId="288B023F" w14:textId="77777777" w:rsidR="00871C14" w:rsidRPr="00871C14" w:rsidRDefault="00871C14" w:rsidP="00871C14">
      <w:pPr>
        <w:jc w:val="both"/>
        <w:rPr>
          <w:b/>
          <w:bCs/>
          <w:lang w:eastAsia="en-US"/>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871C14" w:rsidRPr="00871C14" w14:paraId="1F0590C4" w14:textId="77777777" w:rsidTr="00871C14">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77E1E062" w14:textId="77777777" w:rsidR="00871C14" w:rsidRPr="00871C14" w:rsidRDefault="00871C14" w:rsidP="00871C14">
            <w:pPr>
              <w:jc w:val="both"/>
              <w:rPr>
                <w:b/>
                <w:bCs/>
                <w:lang w:eastAsia="en-US"/>
              </w:rPr>
            </w:pPr>
            <w:r w:rsidRPr="00871C14">
              <w:rPr>
                <w:b/>
                <w:bCs/>
                <w:lang w:eastAsia="en-US"/>
              </w:rPr>
              <w:lastRenderedPageBreak/>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cPr>
          <w:p w14:paraId="2F6A03F7" w14:textId="77777777" w:rsidR="00871C14" w:rsidRPr="00871C14" w:rsidRDefault="00871C14" w:rsidP="00871C14">
            <w:pPr>
              <w:jc w:val="both"/>
              <w:rPr>
                <w:b/>
                <w:bCs/>
                <w:lang w:eastAsia="en-US"/>
              </w:rPr>
            </w:pPr>
            <w:r w:rsidRPr="00871C14">
              <w:rPr>
                <w:b/>
                <w:bCs/>
                <w:lang w:eastAsia="en-U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1126F805" w14:textId="77777777" w:rsidR="00871C14" w:rsidRPr="00871C14" w:rsidRDefault="00871C14" w:rsidP="00871C14">
            <w:pPr>
              <w:jc w:val="both"/>
              <w:rPr>
                <w:b/>
                <w:bCs/>
                <w:lang w:eastAsia="en-US"/>
              </w:rPr>
            </w:pPr>
            <w:r w:rsidRPr="00871C14">
              <w:rPr>
                <w:b/>
                <w:bCs/>
                <w:lang w:eastAsia="en-US"/>
              </w:rPr>
              <w:t>poznámka</w:t>
            </w:r>
          </w:p>
        </w:tc>
      </w:tr>
      <w:tr w:rsidR="00871C14" w:rsidRPr="00871C14" w14:paraId="2B590EF2" w14:textId="77777777" w:rsidTr="00871C14">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338F647A" w14:textId="77777777" w:rsidR="00871C14" w:rsidRPr="00871C14" w:rsidRDefault="00871C14" w:rsidP="00871C14">
            <w:pPr>
              <w:jc w:val="both"/>
              <w:rPr>
                <w:b/>
                <w:bCs/>
                <w:lang w:eastAsia="en-US"/>
              </w:rPr>
            </w:pPr>
          </w:p>
        </w:tc>
        <w:tc>
          <w:tcPr>
            <w:tcW w:w="1500" w:type="dxa"/>
            <w:tcBorders>
              <w:top w:val="nil"/>
              <w:left w:val="nil"/>
              <w:bottom w:val="single" w:sz="4" w:space="0" w:color="auto"/>
              <w:right w:val="single" w:sz="4" w:space="0" w:color="auto"/>
            </w:tcBorders>
            <w:shd w:val="clear" w:color="auto" w:fill="BFBFBF"/>
          </w:tcPr>
          <w:p w14:paraId="1F0E7BC8" w14:textId="77777777" w:rsidR="00871C14" w:rsidRPr="00871C14" w:rsidRDefault="00871C14" w:rsidP="00871C14">
            <w:pPr>
              <w:jc w:val="both"/>
              <w:rPr>
                <w:b/>
                <w:bCs/>
                <w:lang w:eastAsia="en-US"/>
              </w:rPr>
            </w:pPr>
            <w:r w:rsidRPr="00871C14">
              <w:rPr>
                <w:b/>
                <w:bCs/>
                <w:lang w:eastAsia="en-US"/>
              </w:rPr>
              <w:t>2022</w:t>
            </w:r>
          </w:p>
        </w:tc>
        <w:tc>
          <w:tcPr>
            <w:tcW w:w="1500" w:type="dxa"/>
            <w:tcBorders>
              <w:top w:val="nil"/>
              <w:left w:val="nil"/>
              <w:bottom w:val="single" w:sz="4" w:space="0" w:color="auto"/>
              <w:right w:val="single" w:sz="4" w:space="0" w:color="auto"/>
            </w:tcBorders>
            <w:shd w:val="clear" w:color="auto" w:fill="BFBFBF"/>
          </w:tcPr>
          <w:p w14:paraId="09AF6ADF" w14:textId="77777777" w:rsidR="00871C14" w:rsidRPr="00871C14" w:rsidRDefault="00871C14" w:rsidP="00871C14">
            <w:pPr>
              <w:jc w:val="both"/>
              <w:rPr>
                <w:b/>
                <w:bCs/>
                <w:lang w:eastAsia="en-US"/>
              </w:rPr>
            </w:pPr>
            <w:r w:rsidRPr="00871C14">
              <w:rPr>
                <w:b/>
                <w:bCs/>
                <w:lang w:eastAsia="en-US"/>
              </w:rPr>
              <w:t>2023</w:t>
            </w:r>
          </w:p>
        </w:tc>
        <w:tc>
          <w:tcPr>
            <w:tcW w:w="1500" w:type="dxa"/>
            <w:tcBorders>
              <w:top w:val="nil"/>
              <w:left w:val="nil"/>
              <w:bottom w:val="single" w:sz="4" w:space="0" w:color="auto"/>
              <w:right w:val="single" w:sz="4" w:space="0" w:color="auto"/>
            </w:tcBorders>
            <w:shd w:val="clear" w:color="auto" w:fill="BFBFBF"/>
          </w:tcPr>
          <w:p w14:paraId="29A39DDE" w14:textId="77777777" w:rsidR="00871C14" w:rsidRPr="00871C14" w:rsidRDefault="00871C14" w:rsidP="00871C14">
            <w:pPr>
              <w:jc w:val="both"/>
              <w:rPr>
                <w:b/>
                <w:bCs/>
                <w:lang w:eastAsia="en-US"/>
              </w:rPr>
            </w:pPr>
            <w:r w:rsidRPr="00871C14">
              <w:rPr>
                <w:b/>
                <w:bCs/>
                <w:lang w:eastAsia="en-US"/>
              </w:rPr>
              <w:t>2024</w:t>
            </w:r>
          </w:p>
        </w:tc>
        <w:tc>
          <w:tcPr>
            <w:tcW w:w="1500" w:type="dxa"/>
            <w:tcBorders>
              <w:top w:val="nil"/>
              <w:left w:val="nil"/>
              <w:bottom w:val="single" w:sz="4" w:space="0" w:color="auto"/>
              <w:right w:val="single" w:sz="4" w:space="0" w:color="auto"/>
            </w:tcBorders>
            <w:shd w:val="clear" w:color="auto" w:fill="BFBFBF"/>
          </w:tcPr>
          <w:p w14:paraId="04EC119D" w14:textId="77777777" w:rsidR="00871C14" w:rsidRPr="00871C14" w:rsidRDefault="00871C14" w:rsidP="00871C14">
            <w:pPr>
              <w:jc w:val="both"/>
              <w:rPr>
                <w:b/>
                <w:bCs/>
                <w:lang w:eastAsia="en-US"/>
              </w:rPr>
            </w:pPr>
            <w:r w:rsidRPr="00871C14">
              <w:rPr>
                <w:b/>
                <w:bCs/>
                <w:lang w:eastAsia="en-US"/>
              </w:rPr>
              <w:t>2025</w:t>
            </w:r>
          </w:p>
        </w:tc>
        <w:tc>
          <w:tcPr>
            <w:tcW w:w="3000" w:type="dxa"/>
            <w:vMerge/>
            <w:tcBorders>
              <w:top w:val="single" w:sz="4" w:space="0" w:color="auto"/>
              <w:left w:val="single" w:sz="4" w:space="0" w:color="auto"/>
              <w:bottom w:val="single" w:sz="4" w:space="0" w:color="auto"/>
              <w:right w:val="single" w:sz="4" w:space="0" w:color="auto"/>
            </w:tcBorders>
            <w:vAlign w:val="center"/>
          </w:tcPr>
          <w:p w14:paraId="6F6C5DD8" w14:textId="77777777" w:rsidR="00871C14" w:rsidRPr="00871C14" w:rsidRDefault="00871C14" w:rsidP="00871C14">
            <w:pPr>
              <w:jc w:val="both"/>
              <w:rPr>
                <w:b/>
                <w:bCs/>
                <w:lang w:eastAsia="en-US"/>
              </w:rPr>
            </w:pPr>
          </w:p>
        </w:tc>
      </w:tr>
      <w:tr w:rsidR="00871C14" w:rsidRPr="00871C14" w14:paraId="09AAAA41" w14:textId="77777777" w:rsidTr="00DA58E5">
        <w:trPr>
          <w:trHeight w:val="255"/>
        </w:trPr>
        <w:tc>
          <w:tcPr>
            <w:tcW w:w="4950" w:type="dxa"/>
            <w:tcBorders>
              <w:top w:val="nil"/>
              <w:left w:val="single" w:sz="4" w:space="0" w:color="auto"/>
              <w:bottom w:val="single" w:sz="4" w:space="0" w:color="auto"/>
              <w:right w:val="single" w:sz="4" w:space="0" w:color="auto"/>
            </w:tcBorders>
          </w:tcPr>
          <w:p w14:paraId="129F2DE9" w14:textId="77777777" w:rsidR="00871C14" w:rsidRPr="00871C14" w:rsidRDefault="00871C14" w:rsidP="00871C14">
            <w:pPr>
              <w:jc w:val="both"/>
              <w:rPr>
                <w:b/>
                <w:bCs/>
                <w:vertAlign w:val="superscript"/>
                <w:lang w:eastAsia="en-US"/>
              </w:rPr>
            </w:pPr>
            <w:r w:rsidRPr="00871C14">
              <w:rPr>
                <w:b/>
                <w:bCs/>
                <w:lang w:eastAsia="en-US"/>
              </w:rPr>
              <w:t>Daňové príjmy (100)</w:t>
            </w:r>
            <w:r w:rsidRPr="00871C14">
              <w:rPr>
                <w:b/>
                <w:bCs/>
                <w:vertAlign w:val="superscript"/>
                <w:lang w:eastAsia="en-US"/>
              </w:rPr>
              <w:t>1</w:t>
            </w:r>
          </w:p>
        </w:tc>
        <w:tc>
          <w:tcPr>
            <w:tcW w:w="1500" w:type="dxa"/>
            <w:tcBorders>
              <w:top w:val="nil"/>
              <w:left w:val="nil"/>
              <w:bottom w:val="single" w:sz="4" w:space="0" w:color="auto"/>
              <w:right w:val="single" w:sz="4" w:space="0" w:color="auto"/>
            </w:tcBorders>
          </w:tcPr>
          <w:p w14:paraId="7FB10EDE" w14:textId="77777777" w:rsidR="00871C14" w:rsidRPr="00871C14" w:rsidRDefault="00871C14" w:rsidP="00871C14">
            <w:pPr>
              <w:jc w:val="both"/>
              <w:rPr>
                <w:b/>
                <w:bCs/>
                <w:lang w:eastAsia="en-US"/>
              </w:rPr>
            </w:pPr>
          </w:p>
        </w:tc>
        <w:tc>
          <w:tcPr>
            <w:tcW w:w="1500" w:type="dxa"/>
            <w:tcBorders>
              <w:top w:val="nil"/>
              <w:left w:val="nil"/>
              <w:bottom w:val="single" w:sz="4" w:space="0" w:color="auto"/>
              <w:right w:val="single" w:sz="4" w:space="0" w:color="auto"/>
            </w:tcBorders>
          </w:tcPr>
          <w:p w14:paraId="469468F0" w14:textId="77777777" w:rsidR="00871C14" w:rsidRPr="00871C14" w:rsidRDefault="00871C14" w:rsidP="00871C14">
            <w:pPr>
              <w:jc w:val="both"/>
              <w:rPr>
                <w:b/>
                <w:bCs/>
                <w:lang w:eastAsia="en-US"/>
              </w:rPr>
            </w:pPr>
          </w:p>
        </w:tc>
        <w:tc>
          <w:tcPr>
            <w:tcW w:w="1500" w:type="dxa"/>
            <w:tcBorders>
              <w:top w:val="nil"/>
              <w:left w:val="nil"/>
              <w:bottom w:val="single" w:sz="4" w:space="0" w:color="auto"/>
              <w:right w:val="single" w:sz="4" w:space="0" w:color="auto"/>
            </w:tcBorders>
          </w:tcPr>
          <w:p w14:paraId="468A96A1" w14:textId="77777777" w:rsidR="00871C14" w:rsidRPr="00871C14" w:rsidRDefault="00871C14" w:rsidP="00871C14">
            <w:pPr>
              <w:jc w:val="both"/>
              <w:rPr>
                <w:b/>
                <w:bCs/>
                <w:lang w:eastAsia="en-US"/>
              </w:rPr>
            </w:pPr>
          </w:p>
        </w:tc>
        <w:tc>
          <w:tcPr>
            <w:tcW w:w="1500" w:type="dxa"/>
            <w:tcBorders>
              <w:top w:val="nil"/>
              <w:left w:val="nil"/>
              <w:bottom w:val="single" w:sz="4" w:space="0" w:color="auto"/>
              <w:right w:val="single" w:sz="4" w:space="0" w:color="auto"/>
            </w:tcBorders>
          </w:tcPr>
          <w:p w14:paraId="4DC1775A" w14:textId="77777777" w:rsidR="00871C14" w:rsidRPr="00871C14" w:rsidRDefault="00871C14" w:rsidP="00871C14">
            <w:pPr>
              <w:jc w:val="both"/>
              <w:rPr>
                <w:b/>
                <w:bCs/>
                <w:lang w:eastAsia="en-US"/>
              </w:rPr>
            </w:pPr>
          </w:p>
        </w:tc>
        <w:tc>
          <w:tcPr>
            <w:tcW w:w="3000" w:type="dxa"/>
            <w:tcBorders>
              <w:top w:val="nil"/>
              <w:left w:val="nil"/>
              <w:bottom w:val="single" w:sz="4" w:space="0" w:color="auto"/>
              <w:right w:val="single" w:sz="4" w:space="0" w:color="auto"/>
            </w:tcBorders>
            <w:noWrap/>
            <w:vAlign w:val="bottom"/>
          </w:tcPr>
          <w:p w14:paraId="120CA1DF" w14:textId="77777777" w:rsidR="00871C14" w:rsidRPr="00871C14" w:rsidRDefault="00871C14" w:rsidP="00871C14">
            <w:pPr>
              <w:jc w:val="both"/>
              <w:rPr>
                <w:lang w:eastAsia="en-US"/>
              </w:rPr>
            </w:pPr>
            <w:r w:rsidRPr="00871C14">
              <w:rPr>
                <w:lang w:eastAsia="en-US"/>
              </w:rPr>
              <w:t> </w:t>
            </w:r>
          </w:p>
        </w:tc>
      </w:tr>
      <w:tr w:rsidR="00871C14" w:rsidRPr="00871C14" w14:paraId="5EBC423F" w14:textId="77777777" w:rsidTr="00DA58E5">
        <w:trPr>
          <w:trHeight w:val="255"/>
        </w:trPr>
        <w:tc>
          <w:tcPr>
            <w:tcW w:w="4950" w:type="dxa"/>
            <w:tcBorders>
              <w:top w:val="nil"/>
              <w:left w:val="single" w:sz="4" w:space="0" w:color="auto"/>
              <w:bottom w:val="single" w:sz="4" w:space="0" w:color="auto"/>
              <w:right w:val="single" w:sz="4" w:space="0" w:color="auto"/>
            </w:tcBorders>
          </w:tcPr>
          <w:p w14:paraId="7352229A" w14:textId="77777777" w:rsidR="00871C14" w:rsidRPr="00871C14" w:rsidRDefault="00871C14" w:rsidP="00871C14">
            <w:pPr>
              <w:jc w:val="both"/>
              <w:rPr>
                <w:b/>
                <w:bCs/>
                <w:lang w:eastAsia="en-US"/>
              </w:rPr>
            </w:pPr>
            <w:r w:rsidRPr="00871C14">
              <w:rPr>
                <w:b/>
                <w:bCs/>
                <w:lang w:eastAsia="en-US"/>
              </w:rPr>
              <w:t>Nedaňové príjmy (200)</w:t>
            </w:r>
            <w:r w:rsidRPr="00871C14">
              <w:rPr>
                <w:b/>
                <w:bCs/>
                <w:vertAlign w:val="superscript"/>
                <w:lang w:eastAsia="en-US"/>
              </w:rPr>
              <w:t>1</w:t>
            </w:r>
          </w:p>
        </w:tc>
        <w:tc>
          <w:tcPr>
            <w:tcW w:w="1500" w:type="dxa"/>
            <w:tcBorders>
              <w:top w:val="nil"/>
              <w:left w:val="nil"/>
              <w:bottom w:val="single" w:sz="4" w:space="0" w:color="auto"/>
              <w:right w:val="single" w:sz="4" w:space="0" w:color="auto"/>
            </w:tcBorders>
          </w:tcPr>
          <w:p w14:paraId="3106677B" w14:textId="77777777" w:rsidR="00871C14" w:rsidRPr="00871C14" w:rsidRDefault="00871C14" w:rsidP="00871C14">
            <w:pPr>
              <w:jc w:val="both"/>
              <w:rPr>
                <w:b/>
                <w:bCs/>
                <w:lang w:eastAsia="en-US"/>
              </w:rPr>
            </w:pPr>
          </w:p>
        </w:tc>
        <w:tc>
          <w:tcPr>
            <w:tcW w:w="1500" w:type="dxa"/>
            <w:tcBorders>
              <w:top w:val="nil"/>
              <w:left w:val="nil"/>
              <w:bottom w:val="single" w:sz="4" w:space="0" w:color="auto"/>
              <w:right w:val="single" w:sz="4" w:space="0" w:color="auto"/>
            </w:tcBorders>
          </w:tcPr>
          <w:p w14:paraId="5DBCA523" w14:textId="77777777" w:rsidR="00871C14" w:rsidRPr="00871C14" w:rsidRDefault="00871C14" w:rsidP="00871C14">
            <w:pPr>
              <w:jc w:val="both"/>
              <w:rPr>
                <w:b/>
                <w:bCs/>
                <w:lang w:eastAsia="en-US"/>
              </w:rPr>
            </w:pPr>
            <w:r w:rsidRPr="00871C14">
              <w:rPr>
                <w:b/>
                <w:bCs/>
                <w:lang w:eastAsia="en-US"/>
              </w:rPr>
              <w:t>85 085</w:t>
            </w:r>
          </w:p>
        </w:tc>
        <w:tc>
          <w:tcPr>
            <w:tcW w:w="1500" w:type="dxa"/>
            <w:tcBorders>
              <w:top w:val="nil"/>
              <w:left w:val="nil"/>
              <w:bottom w:val="single" w:sz="4" w:space="0" w:color="auto"/>
              <w:right w:val="single" w:sz="4" w:space="0" w:color="auto"/>
            </w:tcBorders>
          </w:tcPr>
          <w:p w14:paraId="2918062F" w14:textId="77777777" w:rsidR="00871C14" w:rsidRPr="00871C14" w:rsidRDefault="00871C14" w:rsidP="00871C14">
            <w:pPr>
              <w:jc w:val="both"/>
              <w:rPr>
                <w:b/>
                <w:bCs/>
                <w:lang w:eastAsia="en-US"/>
              </w:rPr>
            </w:pPr>
            <w:r w:rsidRPr="00871C14">
              <w:rPr>
                <w:b/>
                <w:bCs/>
                <w:lang w:eastAsia="en-US"/>
              </w:rPr>
              <w:t>85 085</w:t>
            </w:r>
          </w:p>
        </w:tc>
        <w:tc>
          <w:tcPr>
            <w:tcW w:w="1500" w:type="dxa"/>
            <w:tcBorders>
              <w:top w:val="nil"/>
              <w:left w:val="nil"/>
              <w:bottom w:val="single" w:sz="4" w:space="0" w:color="auto"/>
              <w:right w:val="single" w:sz="4" w:space="0" w:color="auto"/>
            </w:tcBorders>
          </w:tcPr>
          <w:p w14:paraId="19B20415" w14:textId="77777777" w:rsidR="00871C14" w:rsidRPr="00871C14" w:rsidRDefault="00871C14" w:rsidP="00871C14">
            <w:pPr>
              <w:jc w:val="both"/>
              <w:rPr>
                <w:b/>
                <w:bCs/>
                <w:lang w:eastAsia="en-US"/>
              </w:rPr>
            </w:pPr>
            <w:r w:rsidRPr="00871C14">
              <w:rPr>
                <w:b/>
                <w:bCs/>
                <w:lang w:eastAsia="en-US"/>
              </w:rPr>
              <w:t>85 085</w:t>
            </w:r>
          </w:p>
        </w:tc>
        <w:tc>
          <w:tcPr>
            <w:tcW w:w="3000" w:type="dxa"/>
            <w:tcBorders>
              <w:top w:val="nil"/>
              <w:left w:val="nil"/>
              <w:bottom w:val="single" w:sz="4" w:space="0" w:color="auto"/>
              <w:right w:val="single" w:sz="4" w:space="0" w:color="auto"/>
            </w:tcBorders>
            <w:noWrap/>
            <w:vAlign w:val="bottom"/>
          </w:tcPr>
          <w:p w14:paraId="5D534649" w14:textId="77777777" w:rsidR="00871C14" w:rsidRPr="00871C14" w:rsidRDefault="00871C14" w:rsidP="00871C14">
            <w:pPr>
              <w:jc w:val="both"/>
              <w:rPr>
                <w:lang w:eastAsia="en-US"/>
              </w:rPr>
            </w:pPr>
            <w:r w:rsidRPr="00871C14">
              <w:rPr>
                <w:lang w:eastAsia="en-US"/>
              </w:rPr>
              <w:t> </w:t>
            </w:r>
          </w:p>
        </w:tc>
      </w:tr>
      <w:tr w:rsidR="00871C14" w:rsidRPr="00871C14" w14:paraId="597E120A" w14:textId="77777777" w:rsidTr="00DA58E5">
        <w:trPr>
          <w:trHeight w:val="255"/>
        </w:trPr>
        <w:tc>
          <w:tcPr>
            <w:tcW w:w="4950" w:type="dxa"/>
            <w:tcBorders>
              <w:top w:val="nil"/>
              <w:left w:val="single" w:sz="4" w:space="0" w:color="auto"/>
              <w:bottom w:val="single" w:sz="4" w:space="0" w:color="auto"/>
              <w:right w:val="single" w:sz="4" w:space="0" w:color="auto"/>
            </w:tcBorders>
          </w:tcPr>
          <w:p w14:paraId="77466205" w14:textId="77777777" w:rsidR="00871C14" w:rsidRPr="00871C14" w:rsidRDefault="00871C14" w:rsidP="00871C14">
            <w:pPr>
              <w:jc w:val="both"/>
              <w:rPr>
                <w:b/>
                <w:bCs/>
                <w:lang w:eastAsia="en-US"/>
              </w:rPr>
            </w:pPr>
            <w:r w:rsidRPr="00871C14">
              <w:rPr>
                <w:b/>
                <w:bCs/>
                <w:lang w:eastAsia="en-US"/>
              </w:rPr>
              <w:t>v tom: 221 004 – Ostatné poplatky</w:t>
            </w:r>
          </w:p>
        </w:tc>
        <w:tc>
          <w:tcPr>
            <w:tcW w:w="1500" w:type="dxa"/>
            <w:tcBorders>
              <w:top w:val="nil"/>
              <w:left w:val="nil"/>
              <w:bottom w:val="single" w:sz="4" w:space="0" w:color="auto"/>
              <w:right w:val="single" w:sz="4" w:space="0" w:color="auto"/>
            </w:tcBorders>
          </w:tcPr>
          <w:p w14:paraId="622B52AD" w14:textId="77777777" w:rsidR="00871C14" w:rsidRPr="00871C14" w:rsidRDefault="00871C14" w:rsidP="00871C14">
            <w:pPr>
              <w:jc w:val="both"/>
              <w:rPr>
                <w:b/>
                <w:bCs/>
                <w:lang w:eastAsia="en-US"/>
              </w:rPr>
            </w:pPr>
          </w:p>
        </w:tc>
        <w:tc>
          <w:tcPr>
            <w:tcW w:w="1500" w:type="dxa"/>
            <w:tcBorders>
              <w:top w:val="nil"/>
              <w:left w:val="nil"/>
              <w:bottom w:val="single" w:sz="4" w:space="0" w:color="auto"/>
              <w:right w:val="single" w:sz="4" w:space="0" w:color="auto"/>
            </w:tcBorders>
          </w:tcPr>
          <w:p w14:paraId="330F903D" w14:textId="77777777" w:rsidR="00871C14" w:rsidRPr="00871C14" w:rsidRDefault="00871C14" w:rsidP="00871C14">
            <w:pPr>
              <w:jc w:val="both"/>
              <w:rPr>
                <w:b/>
                <w:bCs/>
                <w:lang w:eastAsia="en-US"/>
              </w:rPr>
            </w:pPr>
            <w:r w:rsidRPr="00871C14">
              <w:rPr>
                <w:b/>
                <w:bCs/>
                <w:lang w:eastAsia="en-US"/>
              </w:rPr>
              <w:t>0</w:t>
            </w:r>
          </w:p>
        </w:tc>
        <w:tc>
          <w:tcPr>
            <w:tcW w:w="1500" w:type="dxa"/>
            <w:tcBorders>
              <w:top w:val="nil"/>
              <w:left w:val="nil"/>
              <w:bottom w:val="single" w:sz="4" w:space="0" w:color="auto"/>
              <w:right w:val="single" w:sz="4" w:space="0" w:color="auto"/>
            </w:tcBorders>
          </w:tcPr>
          <w:p w14:paraId="771D4262" w14:textId="77777777" w:rsidR="00871C14" w:rsidRPr="00871C14" w:rsidRDefault="00871C14" w:rsidP="00871C14">
            <w:pPr>
              <w:jc w:val="both"/>
              <w:rPr>
                <w:b/>
                <w:bCs/>
                <w:lang w:eastAsia="en-US"/>
              </w:rPr>
            </w:pPr>
            <w:r w:rsidRPr="00871C14">
              <w:rPr>
                <w:b/>
                <w:bCs/>
                <w:lang w:eastAsia="en-US"/>
              </w:rPr>
              <w:t xml:space="preserve"> 0</w:t>
            </w:r>
          </w:p>
        </w:tc>
        <w:tc>
          <w:tcPr>
            <w:tcW w:w="1500" w:type="dxa"/>
            <w:tcBorders>
              <w:top w:val="nil"/>
              <w:left w:val="nil"/>
              <w:bottom w:val="single" w:sz="4" w:space="0" w:color="auto"/>
              <w:right w:val="single" w:sz="4" w:space="0" w:color="auto"/>
            </w:tcBorders>
          </w:tcPr>
          <w:p w14:paraId="38889BB8" w14:textId="77777777" w:rsidR="00871C14" w:rsidRPr="00871C14" w:rsidRDefault="00871C14" w:rsidP="00871C14">
            <w:pPr>
              <w:jc w:val="both"/>
              <w:rPr>
                <w:b/>
                <w:bCs/>
                <w:lang w:eastAsia="en-US"/>
              </w:rPr>
            </w:pPr>
            <w:r w:rsidRPr="00871C14">
              <w:rPr>
                <w:b/>
                <w:bCs/>
                <w:lang w:eastAsia="en-US"/>
              </w:rPr>
              <w:t>0</w:t>
            </w:r>
          </w:p>
        </w:tc>
        <w:tc>
          <w:tcPr>
            <w:tcW w:w="3000" w:type="dxa"/>
            <w:tcBorders>
              <w:top w:val="nil"/>
              <w:left w:val="nil"/>
              <w:bottom w:val="single" w:sz="4" w:space="0" w:color="auto"/>
              <w:right w:val="single" w:sz="4" w:space="0" w:color="auto"/>
            </w:tcBorders>
            <w:noWrap/>
            <w:vAlign w:val="bottom"/>
          </w:tcPr>
          <w:p w14:paraId="6BCAADE5" w14:textId="77777777" w:rsidR="00871C14" w:rsidRPr="00871C14" w:rsidRDefault="00871C14" w:rsidP="00871C14">
            <w:pPr>
              <w:jc w:val="both"/>
              <w:rPr>
                <w:lang w:eastAsia="en-US"/>
              </w:rPr>
            </w:pPr>
          </w:p>
        </w:tc>
      </w:tr>
      <w:tr w:rsidR="00871C14" w:rsidRPr="00871C14" w14:paraId="2CDB072E" w14:textId="77777777" w:rsidTr="00DA58E5">
        <w:trPr>
          <w:trHeight w:val="255"/>
        </w:trPr>
        <w:tc>
          <w:tcPr>
            <w:tcW w:w="4950" w:type="dxa"/>
            <w:tcBorders>
              <w:top w:val="nil"/>
              <w:left w:val="single" w:sz="4" w:space="0" w:color="auto"/>
              <w:bottom w:val="single" w:sz="4" w:space="0" w:color="auto"/>
              <w:right w:val="single" w:sz="4" w:space="0" w:color="auto"/>
            </w:tcBorders>
          </w:tcPr>
          <w:p w14:paraId="5487008B" w14:textId="77777777" w:rsidR="00871C14" w:rsidRPr="00871C14" w:rsidRDefault="00871C14" w:rsidP="00871C14">
            <w:pPr>
              <w:jc w:val="both"/>
              <w:rPr>
                <w:b/>
                <w:bCs/>
                <w:lang w:eastAsia="en-US"/>
              </w:rPr>
            </w:pPr>
            <w:r w:rsidRPr="00871C14">
              <w:rPr>
                <w:b/>
                <w:bCs/>
                <w:lang w:eastAsia="en-US"/>
              </w:rPr>
              <w:t xml:space="preserve">            222 003 – Za porušenie predpisov</w:t>
            </w:r>
          </w:p>
        </w:tc>
        <w:tc>
          <w:tcPr>
            <w:tcW w:w="1500" w:type="dxa"/>
            <w:tcBorders>
              <w:top w:val="nil"/>
              <w:left w:val="nil"/>
              <w:bottom w:val="single" w:sz="4" w:space="0" w:color="auto"/>
              <w:right w:val="single" w:sz="4" w:space="0" w:color="auto"/>
            </w:tcBorders>
          </w:tcPr>
          <w:p w14:paraId="5A2CB873" w14:textId="77777777" w:rsidR="00871C14" w:rsidRPr="00871C14" w:rsidRDefault="00871C14" w:rsidP="00871C14">
            <w:pPr>
              <w:jc w:val="both"/>
              <w:rPr>
                <w:b/>
                <w:bCs/>
                <w:lang w:eastAsia="en-US"/>
              </w:rPr>
            </w:pPr>
          </w:p>
        </w:tc>
        <w:tc>
          <w:tcPr>
            <w:tcW w:w="1500" w:type="dxa"/>
            <w:tcBorders>
              <w:top w:val="nil"/>
              <w:left w:val="nil"/>
              <w:bottom w:val="single" w:sz="4" w:space="0" w:color="auto"/>
              <w:right w:val="single" w:sz="4" w:space="0" w:color="auto"/>
            </w:tcBorders>
          </w:tcPr>
          <w:p w14:paraId="00ACF976" w14:textId="77777777" w:rsidR="00871C14" w:rsidRPr="00871C14" w:rsidRDefault="00871C14" w:rsidP="00871C14">
            <w:pPr>
              <w:jc w:val="both"/>
              <w:rPr>
                <w:b/>
                <w:bCs/>
                <w:lang w:eastAsia="en-US"/>
              </w:rPr>
            </w:pPr>
            <w:r w:rsidRPr="00871C14">
              <w:rPr>
                <w:b/>
                <w:bCs/>
                <w:lang w:eastAsia="en-US"/>
              </w:rPr>
              <w:t>85 085</w:t>
            </w:r>
          </w:p>
        </w:tc>
        <w:tc>
          <w:tcPr>
            <w:tcW w:w="1500" w:type="dxa"/>
            <w:tcBorders>
              <w:top w:val="nil"/>
              <w:left w:val="nil"/>
              <w:bottom w:val="single" w:sz="4" w:space="0" w:color="auto"/>
              <w:right w:val="single" w:sz="4" w:space="0" w:color="auto"/>
            </w:tcBorders>
          </w:tcPr>
          <w:p w14:paraId="06EAC3A4" w14:textId="77777777" w:rsidR="00871C14" w:rsidRPr="00871C14" w:rsidRDefault="00871C14" w:rsidP="00871C14">
            <w:pPr>
              <w:jc w:val="both"/>
              <w:rPr>
                <w:b/>
                <w:bCs/>
                <w:lang w:eastAsia="en-US"/>
              </w:rPr>
            </w:pPr>
            <w:r w:rsidRPr="00871C14">
              <w:rPr>
                <w:b/>
                <w:bCs/>
                <w:lang w:eastAsia="en-US"/>
              </w:rPr>
              <w:t>85 085</w:t>
            </w:r>
          </w:p>
        </w:tc>
        <w:tc>
          <w:tcPr>
            <w:tcW w:w="1500" w:type="dxa"/>
            <w:tcBorders>
              <w:top w:val="nil"/>
              <w:left w:val="nil"/>
              <w:bottom w:val="single" w:sz="4" w:space="0" w:color="auto"/>
              <w:right w:val="single" w:sz="4" w:space="0" w:color="auto"/>
            </w:tcBorders>
          </w:tcPr>
          <w:p w14:paraId="77601EA7" w14:textId="77777777" w:rsidR="00871C14" w:rsidRPr="00871C14" w:rsidRDefault="00871C14" w:rsidP="00871C14">
            <w:pPr>
              <w:jc w:val="both"/>
              <w:rPr>
                <w:b/>
                <w:bCs/>
                <w:lang w:eastAsia="en-US"/>
              </w:rPr>
            </w:pPr>
            <w:r w:rsidRPr="00871C14">
              <w:rPr>
                <w:b/>
                <w:bCs/>
                <w:lang w:eastAsia="en-US"/>
              </w:rPr>
              <w:t>85 085</w:t>
            </w:r>
          </w:p>
        </w:tc>
        <w:tc>
          <w:tcPr>
            <w:tcW w:w="3000" w:type="dxa"/>
            <w:tcBorders>
              <w:top w:val="nil"/>
              <w:left w:val="nil"/>
              <w:bottom w:val="single" w:sz="4" w:space="0" w:color="auto"/>
              <w:right w:val="single" w:sz="4" w:space="0" w:color="auto"/>
            </w:tcBorders>
            <w:noWrap/>
            <w:vAlign w:val="bottom"/>
          </w:tcPr>
          <w:p w14:paraId="3D84DB3A" w14:textId="77777777" w:rsidR="00871C14" w:rsidRPr="00871C14" w:rsidRDefault="00871C14" w:rsidP="00871C14">
            <w:pPr>
              <w:jc w:val="both"/>
              <w:rPr>
                <w:lang w:eastAsia="en-US"/>
              </w:rPr>
            </w:pPr>
          </w:p>
        </w:tc>
      </w:tr>
      <w:tr w:rsidR="00871C14" w:rsidRPr="00871C14" w14:paraId="61BE52AA" w14:textId="77777777" w:rsidTr="00DA58E5">
        <w:trPr>
          <w:trHeight w:val="255"/>
        </w:trPr>
        <w:tc>
          <w:tcPr>
            <w:tcW w:w="4950" w:type="dxa"/>
            <w:tcBorders>
              <w:top w:val="nil"/>
              <w:left w:val="single" w:sz="4" w:space="0" w:color="auto"/>
              <w:bottom w:val="single" w:sz="4" w:space="0" w:color="auto"/>
              <w:right w:val="single" w:sz="4" w:space="0" w:color="auto"/>
            </w:tcBorders>
          </w:tcPr>
          <w:p w14:paraId="69AF31A5" w14:textId="77777777" w:rsidR="00871C14" w:rsidRPr="00871C14" w:rsidRDefault="00871C14" w:rsidP="00871C14">
            <w:pPr>
              <w:jc w:val="both"/>
              <w:rPr>
                <w:b/>
                <w:bCs/>
                <w:lang w:eastAsia="en-US"/>
              </w:rPr>
            </w:pPr>
            <w:r w:rsidRPr="00871C14">
              <w:rPr>
                <w:b/>
                <w:bCs/>
                <w:lang w:eastAsia="en-US"/>
              </w:rPr>
              <w:t>Granty a transfery (300)</w:t>
            </w:r>
            <w:r w:rsidRPr="00871C14">
              <w:rPr>
                <w:b/>
                <w:bCs/>
                <w:vertAlign w:val="superscript"/>
                <w:lang w:eastAsia="en-US"/>
              </w:rPr>
              <w:t>1</w:t>
            </w:r>
          </w:p>
        </w:tc>
        <w:tc>
          <w:tcPr>
            <w:tcW w:w="1500" w:type="dxa"/>
            <w:tcBorders>
              <w:top w:val="nil"/>
              <w:left w:val="nil"/>
              <w:bottom w:val="single" w:sz="4" w:space="0" w:color="auto"/>
              <w:right w:val="single" w:sz="4" w:space="0" w:color="auto"/>
            </w:tcBorders>
          </w:tcPr>
          <w:p w14:paraId="01108127" w14:textId="77777777" w:rsidR="00871C14" w:rsidRPr="00871C14" w:rsidRDefault="00871C14" w:rsidP="00871C14">
            <w:pPr>
              <w:jc w:val="both"/>
              <w:rPr>
                <w:b/>
                <w:bCs/>
                <w:lang w:eastAsia="en-US"/>
              </w:rPr>
            </w:pPr>
          </w:p>
        </w:tc>
        <w:tc>
          <w:tcPr>
            <w:tcW w:w="1500" w:type="dxa"/>
            <w:tcBorders>
              <w:top w:val="nil"/>
              <w:left w:val="nil"/>
              <w:bottom w:val="single" w:sz="4" w:space="0" w:color="auto"/>
              <w:right w:val="single" w:sz="4" w:space="0" w:color="auto"/>
            </w:tcBorders>
          </w:tcPr>
          <w:p w14:paraId="71377275" w14:textId="77777777" w:rsidR="00871C14" w:rsidRPr="00871C14" w:rsidRDefault="00871C14" w:rsidP="00871C14">
            <w:pPr>
              <w:jc w:val="both"/>
              <w:rPr>
                <w:b/>
                <w:bCs/>
                <w:lang w:eastAsia="en-US"/>
              </w:rPr>
            </w:pPr>
          </w:p>
        </w:tc>
        <w:tc>
          <w:tcPr>
            <w:tcW w:w="1500" w:type="dxa"/>
            <w:tcBorders>
              <w:top w:val="nil"/>
              <w:left w:val="nil"/>
              <w:bottom w:val="single" w:sz="4" w:space="0" w:color="auto"/>
              <w:right w:val="single" w:sz="4" w:space="0" w:color="auto"/>
            </w:tcBorders>
          </w:tcPr>
          <w:p w14:paraId="772EE2AB" w14:textId="77777777" w:rsidR="00871C14" w:rsidRPr="00871C14" w:rsidRDefault="00871C14" w:rsidP="00871C14">
            <w:pPr>
              <w:jc w:val="both"/>
              <w:rPr>
                <w:b/>
                <w:bCs/>
                <w:lang w:eastAsia="en-US"/>
              </w:rPr>
            </w:pPr>
          </w:p>
        </w:tc>
        <w:tc>
          <w:tcPr>
            <w:tcW w:w="1500" w:type="dxa"/>
            <w:tcBorders>
              <w:top w:val="nil"/>
              <w:left w:val="nil"/>
              <w:bottom w:val="single" w:sz="4" w:space="0" w:color="auto"/>
              <w:right w:val="single" w:sz="4" w:space="0" w:color="auto"/>
            </w:tcBorders>
          </w:tcPr>
          <w:p w14:paraId="5CBAC2B7" w14:textId="77777777" w:rsidR="00871C14" w:rsidRPr="00871C14" w:rsidRDefault="00871C14" w:rsidP="00871C14">
            <w:pPr>
              <w:jc w:val="both"/>
              <w:rPr>
                <w:b/>
                <w:bCs/>
                <w:lang w:eastAsia="en-US"/>
              </w:rPr>
            </w:pPr>
          </w:p>
        </w:tc>
        <w:tc>
          <w:tcPr>
            <w:tcW w:w="3000" w:type="dxa"/>
            <w:tcBorders>
              <w:top w:val="nil"/>
              <w:left w:val="nil"/>
              <w:bottom w:val="single" w:sz="4" w:space="0" w:color="auto"/>
              <w:right w:val="single" w:sz="4" w:space="0" w:color="auto"/>
            </w:tcBorders>
            <w:noWrap/>
            <w:vAlign w:val="bottom"/>
          </w:tcPr>
          <w:p w14:paraId="03CCC56B" w14:textId="77777777" w:rsidR="00871C14" w:rsidRPr="00871C14" w:rsidRDefault="00871C14" w:rsidP="00871C14">
            <w:pPr>
              <w:jc w:val="both"/>
              <w:rPr>
                <w:lang w:eastAsia="en-US"/>
              </w:rPr>
            </w:pPr>
            <w:r w:rsidRPr="00871C14">
              <w:rPr>
                <w:lang w:eastAsia="en-US"/>
              </w:rPr>
              <w:t> </w:t>
            </w:r>
          </w:p>
        </w:tc>
      </w:tr>
      <w:tr w:rsidR="00871C14" w:rsidRPr="00871C14" w14:paraId="5743F23F" w14:textId="77777777" w:rsidTr="00DA58E5">
        <w:trPr>
          <w:trHeight w:val="255"/>
        </w:trPr>
        <w:tc>
          <w:tcPr>
            <w:tcW w:w="4950" w:type="dxa"/>
            <w:tcBorders>
              <w:top w:val="nil"/>
              <w:left w:val="single" w:sz="4" w:space="0" w:color="auto"/>
              <w:bottom w:val="single" w:sz="4" w:space="0" w:color="auto"/>
              <w:right w:val="single" w:sz="4" w:space="0" w:color="auto"/>
            </w:tcBorders>
          </w:tcPr>
          <w:p w14:paraId="5D7637D2" w14:textId="77777777" w:rsidR="00871C14" w:rsidRPr="00871C14" w:rsidRDefault="00871C14" w:rsidP="00871C14">
            <w:pPr>
              <w:jc w:val="both"/>
              <w:rPr>
                <w:b/>
                <w:bCs/>
                <w:lang w:eastAsia="en-US"/>
              </w:rPr>
            </w:pPr>
            <w:r w:rsidRPr="00871C14">
              <w:rPr>
                <w:b/>
                <w:bCs/>
                <w:lang w:eastAsia="en-U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14:paraId="1B485AFE" w14:textId="77777777" w:rsidR="00871C14" w:rsidRPr="00871C14" w:rsidRDefault="00871C14" w:rsidP="00871C14">
            <w:pPr>
              <w:jc w:val="both"/>
              <w:rPr>
                <w:b/>
                <w:bCs/>
                <w:lang w:eastAsia="en-US"/>
              </w:rPr>
            </w:pPr>
            <w:r w:rsidRPr="00871C14">
              <w:rPr>
                <w:b/>
                <w:bCs/>
                <w:lang w:eastAsia="en-US"/>
              </w:rPr>
              <w:t> </w:t>
            </w:r>
          </w:p>
        </w:tc>
        <w:tc>
          <w:tcPr>
            <w:tcW w:w="1500" w:type="dxa"/>
            <w:tcBorders>
              <w:top w:val="nil"/>
              <w:left w:val="nil"/>
              <w:bottom w:val="single" w:sz="4" w:space="0" w:color="auto"/>
              <w:right w:val="single" w:sz="4" w:space="0" w:color="auto"/>
            </w:tcBorders>
            <w:shd w:val="clear" w:color="auto" w:fill="FFFF99"/>
          </w:tcPr>
          <w:p w14:paraId="41D784BC" w14:textId="77777777" w:rsidR="00871C14" w:rsidRPr="00871C14" w:rsidRDefault="00871C14" w:rsidP="00871C14">
            <w:pPr>
              <w:jc w:val="both"/>
              <w:rPr>
                <w:b/>
                <w:bCs/>
                <w:lang w:eastAsia="en-US"/>
              </w:rPr>
            </w:pPr>
            <w:r w:rsidRPr="00871C14">
              <w:rPr>
                <w:b/>
                <w:bCs/>
                <w:lang w:eastAsia="en-US"/>
              </w:rPr>
              <w:t> </w:t>
            </w:r>
          </w:p>
        </w:tc>
        <w:tc>
          <w:tcPr>
            <w:tcW w:w="1500" w:type="dxa"/>
            <w:tcBorders>
              <w:top w:val="nil"/>
              <w:left w:val="nil"/>
              <w:bottom w:val="single" w:sz="4" w:space="0" w:color="auto"/>
              <w:right w:val="single" w:sz="4" w:space="0" w:color="auto"/>
            </w:tcBorders>
            <w:shd w:val="clear" w:color="auto" w:fill="FFFF99"/>
          </w:tcPr>
          <w:p w14:paraId="040BFE90" w14:textId="77777777" w:rsidR="00871C14" w:rsidRPr="00871C14" w:rsidRDefault="00871C14" w:rsidP="00871C14">
            <w:pPr>
              <w:jc w:val="both"/>
              <w:rPr>
                <w:b/>
                <w:bCs/>
                <w:lang w:eastAsia="en-US"/>
              </w:rPr>
            </w:pPr>
            <w:r w:rsidRPr="00871C14">
              <w:rPr>
                <w:b/>
                <w:bCs/>
                <w:lang w:eastAsia="en-US"/>
              </w:rPr>
              <w:t> </w:t>
            </w:r>
          </w:p>
        </w:tc>
        <w:tc>
          <w:tcPr>
            <w:tcW w:w="1500" w:type="dxa"/>
            <w:tcBorders>
              <w:top w:val="nil"/>
              <w:left w:val="nil"/>
              <w:bottom w:val="single" w:sz="4" w:space="0" w:color="auto"/>
              <w:right w:val="single" w:sz="4" w:space="0" w:color="auto"/>
            </w:tcBorders>
            <w:shd w:val="clear" w:color="auto" w:fill="FFFF99"/>
          </w:tcPr>
          <w:p w14:paraId="5B317AC1" w14:textId="77777777" w:rsidR="00871C14" w:rsidRPr="00871C14" w:rsidRDefault="00871C14" w:rsidP="00871C14">
            <w:pPr>
              <w:jc w:val="both"/>
              <w:rPr>
                <w:b/>
                <w:bCs/>
                <w:lang w:eastAsia="en-US"/>
              </w:rPr>
            </w:pPr>
            <w:r w:rsidRPr="00871C14">
              <w:rPr>
                <w:b/>
                <w:bCs/>
                <w:lang w:eastAsia="en-US"/>
              </w:rPr>
              <w:t> </w:t>
            </w:r>
          </w:p>
        </w:tc>
        <w:tc>
          <w:tcPr>
            <w:tcW w:w="3000" w:type="dxa"/>
            <w:tcBorders>
              <w:top w:val="nil"/>
              <w:left w:val="nil"/>
              <w:bottom w:val="single" w:sz="4" w:space="0" w:color="auto"/>
              <w:right w:val="single" w:sz="4" w:space="0" w:color="auto"/>
            </w:tcBorders>
            <w:noWrap/>
            <w:vAlign w:val="bottom"/>
          </w:tcPr>
          <w:p w14:paraId="143F30E8" w14:textId="77777777" w:rsidR="00871C14" w:rsidRPr="00871C14" w:rsidRDefault="00871C14" w:rsidP="00871C14">
            <w:pPr>
              <w:jc w:val="both"/>
              <w:rPr>
                <w:lang w:eastAsia="en-US"/>
              </w:rPr>
            </w:pPr>
            <w:r w:rsidRPr="00871C14">
              <w:rPr>
                <w:lang w:eastAsia="en-US"/>
              </w:rPr>
              <w:t> </w:t>
            </w:r>
          </w:p>
        </w:tc>
      </w:tr>
      <w:tr w:rsidR="00871C14" w:rsidRPr="00871C14" w14:paraId="7A0C17D9" w14:textId="77777777" w:rsidTr="00DA58E5">
        <w:trPr>
          <w:trHeight w:val="255"/>
        </w:trPr>
        <w:tc>
          <w:tcPr>
            <w:tcW w:w="4950" w:type="dxa"/>
            <w:tcBorders>
              <w:top w:val="nil"/>
              <w:left w:val="single" w:sz="4" w:space="0" w:color="auto"/>
              <w:bottom w:val="single" w:sz="4" w:space="0" w:color="auto"/>
              <w:right w:val="single" w:sz="4" w:space="0" w:color="auto"/>
            </w:tcBorders>
          </w:tcPr>
          <w:p w14:paraId="64B13D0A" w14:textId="77777777" w:rsidR="00871C14" w:rsidRPr="00871C14" w:rsidRDefault="00871C14" w:rsidP="00871C14">
            <w:pPr>
              <w:jc w:val="both"/>
              <w:rPr>
                <w:b/>
                <w:bCs/>
                <w:lang w:eastAsia="en-US"/>
              </w:rPr>
            </w:pPr>
            <w:r w:rsidRPr="00871C14">
              <w:rPr>
                <w:b/>
                <w:bCs/>
                <w:lang w:eastAsia="en-U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14:paraId="7E7FA6E2" w14:textId="77777777" w:rsidR="00871C14" w:rsidRPr="00871C14" w:rsidRDefault="00871C14" w:rsidP="00871C14">
            <w:pPr>
              <w:jc w:val="both"/>
              <w:rPr>
                <w:b/>
                <w:bCs/>
                <w:lang w:eastAsia="en-US"/>
              </w:rPr>
            </w:pPr>
            <w:r w:rsidRPr="00871C14">
              <w:rPr>
                <w:b/>
                <w:bCs/>
                <w:lang w:eastAsia="en-US"/>
              </w:rPr>
              <w:t> </w:t>
            </w:r>
          </w:p>
        </w:tc>
        <w:tc>
          <w:tcPr>
            <w:tcW w:w="1500" w:type="dxa"/>
            <w:tcBorders>
              <w:top w:val="nil"/>
              <w:left w:val="nil"/>
              <w:bottom w:val="single" w:sz="4" w:space="0" w:color="auto"/>
              <w:right w:val="single" w:sz="4" w:space="0" w:color="auto"/>
            </w:tcBorders>
            <w:shd w:val="clear" w:color="auto" w:fill="FFFF99"/>
          </w:tcPr>
          <w:p w14:paraId="02322EC8" w14:textId="77777777" w:rsidR="00871C14" w:rsidRPr="00871C14" w:rsidRDefault="00871C14" w:rsidP="00871C14">
            <w:pPr>
              <w:jc w:val="both"/>
              <w:rPr>
                <w:b/>
                <w:bCs/>
                <w:lang w:eastAsia="en-US"/>
              </w:rPr>
            </w:pPr>
            <w:r w:rsidRPr="00871C14">
              <w:rPr>
                <w:b/>
                <w:bCs/>
                <w:lang w:eastAsia="en-US"/>
              </w:rPr>
              <w:t> </w:t>
            </w:r>
          </w:p>
        </w:tc>
        <w:tc>
          <w:tcPr>
            <w:tcW w:w="1500" w:type="dxa"/>
            <w:tcBorders>
              <w:top w:val="nil"/>
              <w:left w:val="nil"/>
              <w:bottom w:val="single" w:sz="4" w:space="0" w:color="auto"/>
              <w:right w:val="single" w:sz="4" w:space="0" w:color="auto"/>
            </w:tcBorders>
            <w:shd w:val="clear" w:color="auto" w:fill="FFFF99"/>
          </w:tcPr>
          <w:p w14:paraId="5A3959BD" w14:textId="77777777" w:rsidR="00871C14" w:rsidRPr="00871C14" w:rsidRDefault="00871C14" w:rsidP="00871C14">
            <w:pPr>
              <w:jc w:val="both"/>
              <w:rPr>
                <w:b/>
                <w:bCs/>
                <w:lang w:eastAsia="en-US"/>
              </w:rPr>
            </w:pPr>
            <w:r w:rsidRPr="00871C14">
              <w:rPr>
                <w:b/>
                <w:bCs/>
                <w:lang w:eastAsia="en-US"/>
              </w:rPr>
              <w:t> </w:t>
            </w:r>
          </w:p>
        </w:tc>
        <w:tc>
          <w:tcPr>
            <w:tcW w:w="1500" w:type="dxa"/>
            <w:tcBorders>
              <w:top w:val="nil"/>
              <w:left w:val="nil"/>
              <w:bottom w:val="single" w:sz="4" w:space="0" w:color="auto"/>
              <w:right w:val="single" w:sz="4" w:space="0" w:color="auto"/>
            </w:tcBorders>
            <w:shd w:val="clear" w:color="auto" w:fill="FFFF99"/>
          </w:tcPr>
          <w:p w14:paraId="65349282" w14:textId="77777777" w:rsidR="00871C14" w:rsidRPr="00871C14" w:rsidRDefault="00871C14" w:rsidP="00871C14">
            <w:pPr>
              <w:jc w:val="both"/>
              <w:rPr>
                <w:b/>
                <w:bCs/>
                <w:lang w:eastAsia="en-US"/>
              </w:rPr>
            </w:pPr>
            <w:r w:rsidRPr="00871C14">
              <w:rPr>
                <w:b/>
                <w:bCs/>
                <w:lang w:eastAsia="en-US"/>
              </w:rPr>
              <w:t> </w:t>
            </w:r>
          </w:p>
        </w:tc>
        <w:tc>
          <w:tcPr>
            <w:tcW w:w="3000" w:type="dxa"/>
            <w:tcBorders>
              <w:top w:val="nil"/>
              <w:left w:val="nil"/>
              <w:bottom w:val="single" w:sz="4" w:space="0" w:color="auto"/>
              <w:right w:val="single" w:sz="4" w:space="0" w:color="auto"/>
            </w:tcBorders>
            <w:noWrap/>
            <w:vAlign w:val="bottom"/>
          </w:tcPr>
          <w:p w14:paraId="2CE576D2" w14:textId="77777777" w:rsidR="00871C14" w:rsidRPr="00871C14" w:rsidRDefault="00871C14" w:rsidP="00871C14">
            <w:pPr>
              <w:jc w:val="both"/>
              <w:rPr>
                <w:lang w:eastAsia="en-US"/>
              </w:rPr>
            </w:pPr>
            <w:r w:rsidRPr="00871C14">
              <w:rPr>
                <w:lang w:eastAsia="en-US"/>
              </w:rPr>
              <w:t> </w:t>
            </w:r>
          </w:p>
        </w:tc>
      </w:tr>
      <w:tr w:rsidR="00871C14" w:rsidRPr="00871C14" w14:paraId="0A3FF9D8" w14:textId="77777777" w:rsidTr="00871C14">
        <w:trPr>
          <w:trHeight w:val="255"/>
        </w:trPr>
        <w:tc>
          <w:tcPr>
            <w:tcW w:w="4950" w:type="dxa"/>
            <w:tcBorders>
              <w:top w:val="nil"/>
              <w:left w:val="single" w:sz="4" w:space="0" w:color="auto"/>
              <w:bottom w:val="single" w:sz="4" w:space="0" w:color="auto"/>
              <w:right w:val="single" w:sz="4" w:space="0" w:color="auto"/>
            </w:tcBorders>
            <w:shd w:val="clear" w:color="auto" w:fill="BFBFBF"/>
          </w:tcPr>
          <w:p w14:paraId="3CFBDD90" w14:textId="77777777" w:rsidR="00871C14" w:rsidRPr="00871C14" w:rsidRDefault="00871C14" w:rsidP="00871C14">
            <w:pPr>
              <w:jc w:val="both"/>
              <w:rPr>
                <w:b/>
                <w:bCs/>
                <w:lang w:eastAsia="en-US"/>
              </w:rPr>
            </w:pPr>
            <w:r w:rsidRPr="00871C14">
              <w:rPr>
                <w:b/>
                <w:bCs/>
                <w:lang w:eastAsia="en-US"/>
              </w:rPr>
              <w:t>Dopad na príjmy verejnej správy celkom</w:t>
            </w:r>
          </w:p>
        </w:tc>
        <w:tc>
          <w:tcPr>
            <w:tcW w:w="1500" w:type="dxa"/>
            <w:tcBorders>
              <w:top w:val="nil"/>
              <w:left w:val="nil"/>
              <w:bottom w:val="single" w:sz="4" w:space="0" w:color="auto"/>
              <w:right w:val="single" w:sz="4" w:space="0" w:color="auto"/>
            </w:tcBorders>
            <w:shd w:val="clear" w:color="auto" w:fill="BFBFBF"/>
          </w:tcPr>
          <w:p w14:paraId="256FAF5C" w14:textId="77777777" w:rsidR="00871C14" w:rsidRPr="00871C14" w:rsidRDefault="00871C14" w:rsidP="00871C14">
            <w:pPr>
              <w:jc w:val="both"/>
              <w:rPr>
                <w:b/>
                <w:bCs/>
                <w:lang w:eastAsia="en-US"/>
              </w:rPr>
            </w:pPr>
            <w:r w:rsidRPr="00871C14">
              <w:rPr>
                <w:b/>
                <w:bCs/>
                <w:lang w:eastAsia="en-US"/>
              </w:rPr>
              <w:t>0</w:t>
            </w:r>
          </w:p>
        </w:tc>
        <w:tc>
          <w:tcPr>
            <w:tcW w:w="1500" w:type="dxa"/>
            <w:tcBorders>
              <w:top w:val="nil"/>
              <w:left w:val="nil"/>
              <w:bottom w:val="single" w:sz="4" w:space="0" w:color="auto"/>
              <w:right w:val="single" w:sz="4" w:space="0" w:color="auto"/>
            </w:tcBorders>
            <w:shd w:val="clear" w:color="auto" w:fill="BFBFBF"/>
          </w:tcPr>
          <w:p w14:paraId="48A7324A" w14:textId="77777777" w:rsidR="00871C14" w:rsidRPr="00871C14" w:rsidRDefault="00871C14" w:rsidP="00871C14">
            <w:pPr>
              <w:jc w:val="both"/>
              <w:rPr>
                <w:b/>
                <w:bCs/>
                <w:lang w:eastAsia="en-US"/>
              </w:rPr>
            </w:pPr>
            <w:r w:rsidRPr="00871C14">
              <w:rPr>
                <w:b/>
                <w:bCs/>
                <w:lang w:eastAsia="en-US"/>
              </w:rPr>
              <w:t>85 085</w:t>
            </w:r>
          </w:p>
        </w:tc>
        <w:tc>
          <w:tcPr>
            <w:tcW w:w="1500" w:type="dxa"/>
            <w:tcBorders>
              <w:top w:val="nil"/>
              <w:left w:val="nil"/>
              <w:bottom w:val="single" w:sz="4" w:space="0" w:color="auto"/>
              <w:right w:val="single" w:sz="4" w:space="0" w:color="auto"/>
            </w:tcBorders>
            <w:shd w:val="clear" w:color="auto" w:fill="BFBFBF"/>
          </w:tcPr>
          <w:p w14:paraId="514120DD" w14:textId="77777777" w:rsidR="00871C14" w:rsidRPr="00871C14" w:rsidRDefault="00871C14" w:rsidP="00871C14">
            <w:pPr>
              <w:jc w:val="both"/>
              <w:rPr>
                <w:b/>
                <w:bCs/>
                <w:lang w:eastAsia="en-US"/>
              </w:rPr>
            </w:pPr>
            <w:r w:rsidRPr="00871C14">
              <w:rPr>
                <w:b/>
                <w:bCs/>
                <w:lang w:eastAsia="en-US"/>
              </w:rPr>
              <w:t xml:space="preserve"> 85 085</w:t>
            </w:r>
          </w:p>
        </w:tc>
        <w:tc>
          <w:tcPr>
            <w:tcW w:w="1500" w:type="dxa"/>
            <w:tcBorders>
              <w:top w:val="nil"/>
              <w:left w:val="nil"/>
              <w:bottom w:val="single" w:sz="4" w:space="0" w:color="auto"/>
              <w:right w:val="single" w:sz="4" w:space="0" w:color="auto"/>
            </w:tcBorders>
            <w:shd w:val="clear" w:color="auto" w:fill="BFBFBF"/>
          </w:tcPr>
          <w:p w14:paraId="4A96B246" w14:textId="77777777" w:rsidR="00871C14" w:rsidRPr="00871C14" w:rsidRDefault="00871C14" w:rsidP="00871C14">
            <w:pPr>
              <w:jc w:val="both"/>
              <w:rPr>
                <w:b/>
                <w:bCs/>
                <w:lang w:eastAsia="en-US"/>
              </w:rPr>
            </w:pPr>
            <w:r w:rsidRPr="00871C14">
              <w:rPr>
                <w:b/>
                <w:bCs/>
                <w:lang w:eastAsia="en-US"/>
              </w:rPr>
              <w:t xml:space="preserve"> 85 085</w:t>
            </w:r>
          </w:p>
        </w:tc>
        <w:tc>
          <w:tcPr>
            <w:tcW w:w="3000" w:type="dxa"/>
            <w:tcBorders>
              <w:top w:val="nil"/>
              <w:left w:val="nil"/>
              <w:bottom w:val="single" w:sz="4" w:space="0" w:color="auto"/>
              <w:right w:val="single" w:sz="4" w:space="0" w:color="auto"/>
            </w:tcBorders>
            <w:shd w:val="clear" w:color="auto" w:fill="BFBFBF"/>
            <w:noWrap/>
            <w:vAlign w:val="bottom"/>
          </w:tcPr>
          <w:p w14:paraId="1242082A" w14:textId="77777777" w:rsidR="00871C14" w:rsidRPr="00871C14" w:rsidRDefault="00871C14" w:rsidP="00871C14">
            <w:pPr>
              <w:jc w:val="both"/>
              <w:rPr>
                <w:lang w:eastAsia="en-US"/>
              </w:rPr>
            </w:pPr>
            <w:r w:rsidRPr="00871C14">
              <w:rPr>
                <w:lang w:eastAsia="en-US"/>
              </w:rPr>
              <w:t> </w:t>
            </w:r>
          </w:p>
        </w:tc>
      </w:tr>
    </w:tbl>
    <w:p w14:paraId="53608AFD" w14:textId="77777777" w:rsidR="00871C14" w:rsidRPr="00871C14" w:rsidRDefault="00871C14" w:rsidP="00871C14">
      <w:pPr>
        <w:jc w:val="both"/>
        <w:rPr>
          <w:b/>
          <w:bCs/>
          <w:lang w:eastAsia="en-US"/>
        </w:rPr>
      </w:pPr>
      <w:r w:rsidRPr="00871C14">
        <w:rPr>
          <w:b/>
          <w:bCs/>
          <w:lang w:eastAsia="en-US"/>
        </w:rPr>
        <w:t>MV SR</w:t>
      </w:r>
    </w:p>
    <w:p w14:paraId="39C0FC9A" w14:textId="77777777" w:rsidR="00871C14" w:rsidRPr="00871C14" w:rsidRDefault="00871C14" w:rsidP="00871C14">
      <w:pPr>
        <w:jc w:val="both"/>
        <w:rPr>
          <w:bCs/>
          <w:lang w:eastAsia="en-US"/>
        </w:rPr>
      </w:pPr>
    </w:p>
    <w:p w14:paraId="3BA780FA" w14:textId="77777777" w:rsidR="00871C14" w:rsidRPr="00871C14" w:rsidRDefault="00871C14" w:rsidP="00871C14">
      <w:pPr>
        <w:jc w:val="both"/>
        <w:rPr>
          <w:bCs/>
          <w:lang w:eastAsia="en-US"/>
        </w:rPr>
      </w:pPr>
    </w:p>
    <w:p w14:paraId="240BD947" w14:textId="77777777" w:rsidR="00871C14" w:rsidRPr="00871C14" w:rsidRDefault="00871C14" w:rsidP="00871C14">
      <w:pPr>
        <w:jc w:val="both"/>
        <w:rPr>
          <w:b/>
          <w:bCs/>
          <w:lang w:eastAsia="en-US"/>
        </w:rPr>
      </w:pPr>
      <w:r w:rsidRPr="00871C14">
        <w:rPr>
          <w:b/>
          <w:bCs/>
          <w:lang w:eastAsia="en-US"/>
        </w:rPr>
        <w:t>Poznámka:</w:t>
      </w:r>
    </w:p>
    <w:p w14:paraId="759B4631" w14:textId="77777777" w:rsidR="00871C14" w:rsidRPr="00871C14" w:rsidRDefault="00871C14" w:rsidP="00871C14">
      <w:pPr>
        <w:jc w:val="both"/>
        <w:rPr>
          <w:bCs/>
          <w:lang w:eastAsia="en-US"/>
        </w:rPr>
      </w:pPr>
      <w:r w:rsidRPr="00871C14">
        <w:rPr>
          <w:bCs/>
          <w:lang w:eastAsia="en-US"/>
        </w:rPr>
        <w:t>Ak sa vplyv týka viacerých subjektov verejnej správy, vypĺňa sa samostatná tabuľka za každý subjekt.</w:t>
      </w:r>
    </w:p>
    <w:p w14:paraId="60E0B7FD" w14:textId="77777777" w:rsidR="00871C14" w:rsidRPr="00871C14" w:rsidRDefault="00871C14" w:rsidP="00871C14">
      <w:pPr>
        <w:jc w:val="both"/>
        <w:rPr>
          <w:bCs/>
          <w:lang w:eastAsia="en-US"/>
        </w:rPr>
      </w:pPr>
    </w:p>
    <w:p w14:paraId="27FF5E39" w14:textId="77777777" w:rsidR="00871C14" w:rsidRPr="00871C14" w:rsidRDefault="00871C14" w:rsidP="00871C14">
      <w:pPr>
        <w:jc w:val="both"/>
        <w:rPr>
          <w:bCs/>
          <w:lang w:eastAsia="en-US"/>
        </w:rPr>
      </w:pPr>
    </w:p>
    <w:p w14:paraId="0ACE671C" w14:textId="77777777" w:rsidR="00871C14" w:rsidRPr="00871C14" w:rsidRDefault="00871C14" w:rsidP="00871C14">
      <w:pPr>
        <w:jc w:val="both"/>
        <w:rPr>
          <w:bCs/>
          <w:lang w:eastAsia="en-US"/>
        </w:rPr>
      </w:pPr>
    </w:p>
    <w:p w14:paraId="2B564BB4" w14:textId="77777777" w:rsidR="00871C14" w:rsidRPr="00871C14" w:rsidRDefault="00871C14" w:rsidP="00871C14">
      <w:pPr>
        <w:jc w:val="both"/>
        <w:rPr>
          <w:bCs/>
          <w:lang w:eastAsia="en-US"/>
        </w:rPr>
      </w:pPr>
    </w:p>
    <w:p w14:paraId="28A30A84" w14:textId="77777777" w:rsidR="00871C14" w:rsidRPr="00871C14" w:rsidRDefault="00871C14" w:rsidP="00871C14">
      <w:pPr>
        <w:jc w:val="both"/>
        <w:rPr>
          <w:bCs/>
          <w:lang w:eastAsia="en-US"/>
        </w:rPr>
      </w:pPr>
    </w:p>
    <w:p w14:paraId="11D7206E" w14:textId="77777777" w:rsidR="00871C14" w:rsidRPr="00871C14" w:rsidRDefault="00871C14" w:rsidP="00871C14">
      <w:pPr>
        <w:jc w:val="both"/>
        <w:rPr>
          <w:bCs/>
          <w:lang w:eastAsia="en-US"/>
        </w:rPr>
      </w:pPr>
    </w:p>
    <w:p w14:paraId="0503D177" w14:textId="77777777" w:rsidR="00871C14" w:rsidRPr="00871C14" w:rsidRDefault="00871C14" w:rsidP="00871C14">
      <w:pPr>
        <w:jc w:val="both"/>
        <w:rPr>
          <w:bCs/>
          <w:lang w:eastAsia="en-US"/>
        </w:rPr>
      </w:pPr>
    </w:p>
    <w:p w14:paraId="7E8769DD" w14:textId="77777777" w:rsidR="00871C14" w:rsidRPr="00871C14" w:rsidRDefault="00871C14" w:rsidP="00871C14">
      <w:pPr>
        <w:jc w:val="both"/>
        <w:rPr>
          <w:bCs/>
          <w:lang w:eastAsia="en-US"/>
        </w:rPr>
      </w:pPr>
    </w:p>
    <w:p w14:paraId="2BF546DC" w14:textId="77777777" w:rsidR="00871C14" w:rsidRPr="00871C14" w:rsidRDefault="00871C14" w:rsidP="00871C14">
      <w:pPr>
        <w:jc w:val="both"/>
        <w:rPr>
          <w:bCs/>
          <w:lang w:eastAsia="en-US"/>
        </w:rPr>
      </w:pPr>
    </w:p>
    <w:p w14:paraId="7BAC3E42" w14:textId="77777777" w:rsidR="00871C14" w:rsidRPr="00871C14" w:rsidRDefault="00871C14" w:rsidP="00871C14">
      <w:pPr>
        <w:jc w:val="both"/>
        <w:rPr>
          <w:bCs/>
          <w:lang w:eastAsia="en-US"/>
        </w:rPr>
      </w:pPr>
    </w:p>
    <w:p w14:paraId="19DD701A" w14:textId="77777777" w:rsidR="00871C14" w:rsidRPr="00871C14" w:rsidRDefault="00871C14" w:rsidP="00871C14">
      <w:pPr>
        <w:jc w:val="both"/>
        <w:rPr>
          <w:bCs/>
          <w:lang w:eastAsia="en-US"/>
        </w:rPr>
      </w:pPr>
    </w:p>
    <w:p w14:paraId="5F224E50" w14:textId="77777777" w:rsidR="00871C14" w:rsidRPr="00871C14" w:rsidRDefault="00871C14" w:rsidP="00871C14">
      <w:pPr>
        <w:jc w:val="both"/>
        <w:rPr>
          <w:bCs/>
          <w:lang w:eastAsia="en-US"/>
        </w:rPr>
      </w:pPr>
    </w:p>
    <w:p w14:paraId="42234E18" w14:textId="77777777" w:rsidR="00871C14" w:rsidRPr="00871C14" w:rsidRDefault="00871C14" w:rsidP="00871C14">
      <w:pPr>
        <w:jc w:val="both"/>
        <w:rPr>
          <w:bCs/>
          <w:lang w:eastAsia="en-US"/>
        </w:rPr>
      </w:pPr>
    </w:p>
    <w:p w14:paraId="5F77D24C" w14:textId="77777777" w:rsidR="00871C14" w:rsidRPr="00871C14" w:rsidRDefault="00871C14" w:rsidP="00871C14">
      <w:pPr>
        <w:jc w:val="both"/>
        <w:rPr>
          <w:bCs/>
          <w:lang w:eastAsia="en-US"/>
        </w:rPr>
      </w:pPr>
    </w:p>
    <w:p w14:paraId="12CB96D0" w14:textId="77777777" w:rsidR="00871C14" w:rsidRPr="00871C14" w:rsidRDefault="00871C14" w:rsidP="00871C14">
      <w:pPr>
        <w:jc w:val="both"/>
        <w:rPr>
          <w:bCs/>
          <w:lang w:eastAsia="en-US"/>
        </w:rPr>
      </w:pPr>
      <w:r w:rsidRPr="00871C14">
        <w:rPr>
          <w:bCs/>
          <w:lang w:eastAsia="en-US"/>
        </w:rPr>
        <w:lastRenderedPageBreak/>
        <w:t xml:space="preserve"> MPSVR SR</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871C14" w:rsidRPr="00871C14" w14:paraId="1AA99F4E" w14:textId="77777777" w:rsidTr="00871C14">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27655DF0" w14:textId="77777777" w:rsidR="00871C14" w:rsidRPr="00871C14" w:rsidRDefault="00871C14" w:rsidP="00871C14">
            <w:pPr>
              <w:jc w:val="both"/>
              <w:rPr>
                <w:b/>
                <w:bCs/>
                <w:lang w:eastAsia="en-US"/>
              </w:rPr>
            </w:pPr>
            <w:r w:rsidRPr="00871C14">
              <w:rPr>
                <w:b/>
                <w:bCs/>
                <w:lang w:eastAsia="en-US"/>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cPr>
          <w:p w14:paraId="76D198C0" w14:textId="77777777" w:rsidR="00871C14" w:rsidRPr="00871C14" w:rsidRDefault="00871C14" w:rsidP="00871C14">
            <w:pPr>
              <w:jc w:val="both"/>
              <w:rPr>
                <w:b/>
                <w:bCs/>
                <w:lang w:eastAsia="en-US"/>
              </w:rPr>
            </w:pPr>
            <w:r w:rsidRPr="00871C14">
              <w:rPr>
                <w:b/>
                <w:bCs/>
                <w:lang w:eastAsia="en-US"/>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61DDF269" w14:textId="77777777" w:rsidR="00871C14" w:rsidRPr="00871C14" w:rsidRDefault="00871C14" w:rsidP="00871C14">
            <w:pPr>
              <w:jc w:val="both"/>
              <w:rPr>
                <w:b/>
                <w:bCs/>
                <w:lang w:eastAsia="en-US"/>
              </w:rPr>
            </w:pPr>
            <w:r w:rsidRPr="00871C14">
              <w:rPr>
                <w:b/>
                <w:bCs/>
                <w:lang w:eastAsia="en-US"/>
              </w:rPr>
              <w:t>poznámka</w:t>
            </w:r>
          </w:p>
        </w:tc>
      </w:tr>
      <w:tr w:rsidR="00871C14" w:rsidRPr="00871C14" w14:paraId="251C7616" w14:textId="77777777" w:rsidTr="00871C14">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78514228" w14:textId="77777777" w:rsidR="00871C14" w:rsidRPr="00871C14" w:rsidRDefault="00871C14" w:rsidP="00871C14">
            <w:pPr>
              <w:jc w:val="both"/>
              <w:rPr>
                <w:b/>
                <w:bCs/>
                <w:lang w:eastAsia="en-US"/>
              </w:rPr>
            </w:pPr>
          </w:p>
        </w:tc>
        <w:tc>
          <w:tcPr>
            <w:tcW w:w="1540" w:type="dxa"/>
            <w:tcBorders>
              <w:top w:val="nil"/>
              <w:left w:val="nil"/>
              <w:bottom w:val="single" w:sz="4" w:space="0" w:color="auto"/>
              <w:right w:val="single" w:sz="4" w:space="0" w:color="auto"/>
            </w:tcBorders>
            <w:shd w:val="clear" w:color="auto" w:fill="BFBFBF"/>
          </w:tcPr>
          <w:p w14:paraId="6063FC07" w14:textId="77777777" w:rsidR="00871C14" w:rsidRPr="00871C14" w:rsidRDefault="00871C14" w:rsidP="00871C14">
            <w:pPr>
              <w:jc w:val="both"/>
              <w:rPr>
                <w:b/>
                <w:bCs/>
                <w:lang w:eastAsia="en-US"/>
              </w:rPr>
            </w:pPr>
            <w:r w:rsidRPr="00871C14">
              <w:rPr>
                <w:b/>
                <w:bCs/>
                <w:lang w:eastAsia="en-US"/>
              </w:rPr>
              <w:t>2022</w:t>
            </w:r>
          </w:p>
        </w:tc>
        <w:tc>
          <w:tcPr>
            <w:tcW w:w="1540" w:type="dxa"/>
            <w:tcBorders>
              <w:top w:val="nil"/>
              <w:left w:val="nil"/>
              <w:bottom w:val="single" w:sz="4" w:space="0" w:color="auto"/>
              <w:right w:val="single" w:sz="4" w:space="0" w:color="auto"/>
            </w:tcBorders>
            <w:shd w:val="clear" w:color="auto" w:fill="BFBFBF"/>
          </w:tcPr>
          <w:p w14:paraId="76C8905A" w14:textId="77777777" w:rsidR="00871C14" w:rsidRPr="00871C14" w:rsidRDefault="00871C14" w:rsidP="00871C14">
            <w:pPr>
              <w:jc w:val="both"/>
              <w:rPr>
                <w:b/>
                <w:bCs/>
                <w:lang w:eastAsia="en-US"/>
              </w:rPr>
            </w:pPr>
            <w:r w:rsidRPr="00871C14">
              <w:rPr>
                <w:b/>
                <w:bCs/>
                <w:lang w:eastAsia="en-US"/>
              </w:rPr>
              <w:t>2023</w:t>
            </w:r>
          </w:p>
        </w:tc>
        <w:tc>
          <w:tcPr>
            <w:tcW w:w="1540" w:type="dxa"/>
            <w:tcBorders>
              <w:top w:val="nil"/>
              <w:left w:val="nil"/>
              <w:bottom w:val="single" w:sz="4" w:space="0" w:color="auto"/>
              <w:right w:val="single" w:sz="4" w:space="0" w:color="auto"/>
            </w:tcBorders>
            <w:shd w:val="clear" w:color="auto" w:fill="BFBFBF"/>
          </w:tcPr>
          <w:p w14:paraId="0756B78C" w14:textId="77777777" w:rsidR="00871C14" w:rsidRPr="00871C14" w:rsidRDefault="00871C14" w:rsidP="00871C14">
            <w:pPr>
              <w:jc w:val="both"/>
              <w:rPr>
                <w:b/>
                <w:bCs/>
                <w:lang w:eastAsia="en-US"/>
              </w:rPr>
            </w:pPr>
            <w:r w:rsidRPr="00871C14">
              <w:rPr>
                <w:b/>
                <w:bCs/>
                <w:lang w:eastAsia="en-US"/>
              </w:rPr>
              <w:t>2024</w:t>
            </w:r>
          </w:p>
        </w:tc>
        <w:tc>
          <w:tcPr>
            <w:tcW w:w="1540" w:type="dxa"/>
            <w:tcBorders>
              <w:top w:val="nil"/>
              <w:left w:val="nil"/>
              <w:bottom w:val="single" w:sz="4" w:space="0" w:color="auto"/>
              <w:right w:val="single" w:sz="4" w:space="0" w:color="auto"/>
            </w:tcBorders>
            <w:shd w:val="clear" w:color="auto" w:fill="BFBFBF"/>
          </w:tcPr>
          <w:p w14:paraId="24CC2A3C" w14:textId="77777777" w:rsidR="00871C14" w:rsidRPr="00871C14" w:rsidRDefault="00871C14" w:rsidP="00871C14">
            <w:pPr>
              <w:jc w:val="both"/>
              <w:rPr>
                <w:b/>
                <w:bCs/>
                <w:lang w:eastAsia="en-US"/>
              </w:rPr>
            </w:pPr>
            <w:r w:rsidRPr="00871C14">
              <w:rPr>
                <w:b/>
                <w:bCs/>
                <w:lang w:eastAsia="en-US"/>
              </w:rPr>
              <w:t>2025</w:t>
            </w:r>
          </w:p>
        </w:tc>
        <w:tc>
          <w:tcPr>
            <w:tcW w:w="2220" w:type="dxa"/>
            <w:vMerge/>
            <w:tcBorders>
              <w:top w:val="single" w:sz="4" w:space="0" w:color="auto"/>
              <w:left w:val="single" w:sz="4" w:space="0" w:color="auto"/>
              <w:bottom w:val="single" w:sz="4" w:space="0" w:color="auto"/>
              <w:right w:val="single" w:sz="4" w:space="0" w:color="auto"/>
            </w:tcBorders>
            <w:vAlign w:val="center"/>
          </w:tcPr>
          <w:p w14:paraId="477D185D" w14:textId="77777777" w:rsidR="00871C14" w:rsidRPr="00871C14" w:rsidRDefault="00871C14" w:rsidP="00871C14">
            <w:pPr>
              <w:jc w:val="both"/>
              <w:rPr>
                <w:b/>
                <w:bCs/>
                <w:lang w:eastAsia="en-US"/>
              </w:rPr>
            </w:pPr>
          </w:p>
        </w:tc>
      </w:tr>
      <w:tr w:rsidR="00871C14" w:rsidRPr="00871C14" w14:paraId="79D9295F" w14:textId="77777777" w:rsidTr="00DA58E5">
        <w:trPr>
          <w:trHeight w:val="255"/>
        </w:trPr>
        <w:tc>
          <w:tcPr>
            <w:tcW w:w="7070" w:type="dxa"/>
            <w:tcBorders>
              <w:top w:val="nil"/>
              <w:left w:val="single" w:sz="4" w:space="0" w:color="auto"/>
              <w:bottom w:val="single" w:sz="4" w:space="0" w:color="auto"/>
              <w:right w:val="single" w:sz="4" w:space="0" w:color="auto"/>
            </w:tcBorders>
          </w:tcPr>
          <w:p w14:paraId="4FEAFCB6" w14:textId="77777777" w:rsidR="00871C14" w:rsidRPr="00871C14" w:rsidRDefault="00871C14" w:rsidP="00871C14">
            <w:pPr>
              <w:jc w:val="both"/>
              <w:rPr>
                <w:b/>
                <w:bCs/>
                <w:lang w:eastAsia="en-US"/>
              </w:rPr>
            </w:pPr>
            <w:r w:rsidRPr="00871C14">
              <w:rPr>
                <w:b/>
                <w:bCs/>
                <w:lang w:eastAsia="en-US"/>
              </w:rPr>
              <w:t>Bežné výdavky (600)</w:t>
            </w:r>
          </w:p>
        </w:tc>
        <w:tc>
          <w:tcPr>
            <w:tcW w:w="1540" w:type="dxa"/>
            <w:tcBorders>
              <w:top w:val="nil"/>
              <w:left w:val="nil"/>
              <w:bottom w:val="single" w:sz="4" w:space="0" w:color="auto"/>
              <w:right w:val="single" w:sz="4" w:space="0" w:color="auto"/>
            </w:tcBorders>
          </w:tcPr>
          <w:p w14:paraId="04EDC057" w14:textId="77777777" w:rsidR="00871C14" w:rsidRPr="00871C14" w:rsidRDefault="00871C14" w:rsidP="00871C14">
            <w:pPr>
              <w:jc w:val="both"/>
              <w:rPr>
                <w:b/>
                <w:bCs/>
                <w:lang w:eastAsia="en-US"/>
              </w:rPr>
            </w:pPr>
          </w:p>
        </w:tc>
        <w:tc>
          <w:tcPr>
            <w:tcW w:w="1540" w:type="dxa"/>
            <w:tcBorders>
              <w:top w:val="nil"/>
              <w:left w:val="nil"/>
              <w:bottom w:val="single" w:sz="4" w:space="0" w:color="auto"/>
              <w:right w:val="single" w:sz="4" w:space="0" w:color="auto"/>
            </w:tcBorders>
          </w:tcPr>
          <w:p w14:paraId="2FF88480" w14:textId="77777777" w:rsidR="00871C14" w:rsidRPr="00871C14" w:rsidRDefault="00871C14" w:rsidP="00871C14">
            <w:pPr>
              <w:jc w:val="both"/>
              <w:rPr>
                <w:b/>
                <w:bCs/>
                <w:lang w:eastAsia="en-US"/>
              </w:rPr>
            </w:pPr>
          </w:p>
        </w:tc>
        <w:tc>
          <w:tcPr>
            <w:tcW w:w="1540" w:type="dxa"/>
            <w:tcBorders>
              <w:top w:val="nil"/>
              <w:left w:val="nil"/>
              <w:bottom w:val="single" w:sz="4" w:space="0" w:color="auto"/>
              <w:right w:val="single" w:sz="4" w:space="0" w:color="auto"/>
            </w:tcBorders>
          </w:tcPr>
          <w:p w14:paraId="6BFFF37F" w14:textId="77777777" w:rsidR="00871C14" w:rsidRPr="00871C14" w:rsidRDefault="00871C14" w:rsidP="00871C14">
            <w:pPr>
              <w:jc w:val="both"/>
              <w:rPr>
                <w:b/>
                <w:bCs/>
                <w:lang w:eastAsia="en-US"/>
              </w:rPr>
            </w:pPr>
          </w:p>
        </w:tc>
        <w:tc>
          <w:tcPr>
            <w:tcW w:w="1540" w:type="dxa"/>
            <w:tcBorders>
              <w:top w:val="nil"/>
              <w:left w:val="nil"/>
              <w:bottom w:val="single" w:sz="4" w:space="0" w:color="auto"/>
              <w:right w:val="single" w:sz="4" w:space="0" w:color="auto"/>
            </w:tcBorders>
          </w:tcPr>
          <w:p w14:paraId="552D3689" w14:textId="77777777" w:rsidR="00871C14" w:rsidRPr="00871C14" w:rsidRDefault="00871C14" w:rsidP="00871C14">
            <w:pPr>
              <w:jc w:val="both"/>
              <w:rPr>
                <w:b/>
                <w:bCs/>
                <w:lang w:eastAsia="en-US"/>
              </w:rPr>
            </w:pPr>
          </w:p>
        </w:tc>
        <w:tc>
          <w:tcPr>
            <w:tcW w:w="2220" w:type="dxa"/>
            <w:tcBorders>
              <w:top w:val="nil"/>
              <w:left w:val="nil"/>
              <w:bottom w:val="single" w:sz="4" w:space="0" w:color="auto"/>
              <w:right w:val="single" w:sz="4" w:space="0" w:color="auto"/>
            </w:tcBorders>
            <w:noWrap/>
            <w:vAlign w:val="bottom"/>
          </w:tcPr>
          <w:p w14:paraId="42921916" w14:textId="77777777" w:rsidR="00871C14" w:rsidRPr="00871C14" w:rsidRDefault="00871C14" w:rsidP="00871C14">
            <w:pPr>
              <w:jc w:val="both"/>
              <w:rPr>
                <w:lang w:eastAsia="en-US"/>
              </w:rPr>
            </w:pPr>
            <w:r w:rsidRPr="00871C14">
              <w:rPr>
                <w:lang w:eastAsia="en-US"/>
              </w:rPr>
              <w:t> </w:t>
            </w:r>
          </w:p>
        </w:tc>
      </w:tr>
      <w:tr w:rsidR="00871C14" w:rsidRPr="00871C14" w14:paraId="608B9BB3" w14:textId="77777777" w:rsidTr="00DA58E5">
        <w:trPr>
          <w:trHeight w:val="255"/>
        </w:trPr>
        <w:tc>
          <w:tcPr>
            <w:tcW w:w="7070" w:type="dxa"/>
            <w:tcBorders>
              <w:top w:val="nil"/>
              <w:left w:val="single" w:sz="4" w:space="0" w:color="auto"/>
              <w:bottom w:val="single" w:sz="4" w:space="0" w:color="auto"/>
              <w:right w:val="single" w:sz="4" w:space="0" w:color="auto"/>
            </w:tcBorders>
          </w:tcPr>
          <w:p w14:paraId="1B150D30" w14:textId="77777777" w:rsidR="00871C14" w:rsidRPr="00871C14" w:rsidRDefault="00871C14" w:rsidP="00871C14">
            <w:pPr>
              <w:jc w:val="both"/>
              <w:rPr>
                <w:lang w:eastAsia="en-US"/>
              </w:rPr>
            </w:pPr>
            <w:r w:rsidRPr="00871C14">
              <w:rPr>
                <w:lang w:eastAsia="en-US"/>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11A79EAA"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667EAA62"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245B6E82"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62AB4332" w14:textId="77777777" w:rsidR="00871C14" w:rsidRPr="00871C14" w:rsidRDefault="00871C14" w:rsidP="00871C14">
            <w:pPr>
              <w:jc w:val="both"/>
              <w:rPr>
                <w:lang w:eastAsia="en-US"/>
              </w:rPr>
            </w:pPr>
          </w:p>
        </w:tc>
        <w:tc>
          <w:tcPr>
            <w:tcW w:w="2220" w:type="dxa"/>
            <w:tcBorders>
              <w:top w:val="nil"/>
              <w:left w:val="nil"/>
              <w:bottom w:val="single" w:sz="4" w:space="0" w:color="auto"/>
              <w:right w:val="single" w:sz="4" w:space="0" w:color="auto"/>
            </w:tcBorders>
            <w:noWrap/>
            <w:vAlign w:val="bottom"/>
          </w:tcPr>
          <w:p w14:paraId="5F3DCA6D" w14:textId="77777777" w:rsidR="00871C14" w:rsidRPr="00871C14" w:rsidRDefault="00871C14" w:rsidP="00871C14">
            <w:pPr>
              <w:jc w:val="both"/>
              <w:rPr>
                <w:lang w:eastAsia="en-US"/>
              </w:rPr>
            </w:pPr>
            <w:r w:rsidRPr="00871C14">
              <w:rPr>
                <w:lang w:eastAsia="en-US"/>
              </w:rPr>
              <w:t> </w:t>
            </w:r>
          </w:p>
        </w:tc>
      </w:tr>
      <w:tr w:rsidR="00871C14" w:rsidRPr="00871C14" w14:paraId="2AA8360F" w14:textId="77777777" w:rsidTr="00DA58E5">
        <w:trPr>
          <w:trHeight w:val="255"/>
        </w:trPr>
        <w:tc>
          <w:tcPr>
            <w:tcW w:w="7070" w:type="dxa"/>
            <w:tcBorders>
              <w:top w:val="nil"/>
              <w:left w:val="single" w:sz="4" w:space="0" w:color="auto"/>
              <w:bottom w:val="single" w:sz="4" w:space="0" w:color="auto"/>
              <w:right w:val="single" w:sz="4" w:space="0" w:color="auto"/>
            </w:tcBorders>
          </w:tcPr>
          <w:p w14:paraId="66E115A4" w14:textId="77777777" w:rsidR="00871C14" w:rsidRPr="00871C14" w:rsidRDefault="00871C14" w:rsidP="00871C14">
            <w:pPr>
              <w:jc w:val="both"/>
              <w:rPr>
                <w:vertAlign w:val="superscript"/>
                <w:lang w:eastAsia="en-US"/>
              </w:rPr>
            </w:pPr>
            <w:r w:rsidRPr="00871C14">
              <w:rPr>
                <w:lang w:eastAsia="en-US"/>
              </w:rPr>
              <w:t xml:space="preserve">  Poistné a príspevok do poisťovní (620)</w:t>
            </w:r>
          </w:p>
        </w:tc>
        <w:tc>
          <w:tcPr>
            <w:tcW w:w="1540" w:type="dxa"/>
            <w:tcBorders>
              <w:top w:val="nil"/>
              <w:left w:val="nil"/>
              <w:bottom w:val="single" w:sz="4" w:space="0" w:color="auto"/>
              <w:right w:val="single" w:sz="4" w:space="0" w:color="auto"/>
            </w:tcBorders>
          </w:tcPr>
          <w:p w14:paraId="640818D5"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25AD7E92"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0BDD5CB1"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4639A7E0" w14:textId="77777777" w:rsidR="00871C14" w:rsidRPr="00871C14" w:rsidRDefault="00871C14" w:rsidP="00871C14">
            <w:pPr>
              <w:jc w:val="both"/>
              <w:rPr>
                <w:lang w:eastAsia="en-US"/>
              </w:rPr>
            </w:pPr>
          </w:p>
        </w:tc>
        <w:tc>
          <w:tcPr>
            <w:tcW w:w="2220" w:type="dxa"/>
            <w:tcBorders>
              <w:top w:val="nil"/>
              <w:left w:val="nil"/>
              <w:bottom w:val="single" w:sz="4" w:space="0" w:color="auto"/>
              <w:right w:val="single" w:sz="4" w:space="0" w:color="auto"/>
            </w:tcBorders>
            <w:noWrap/>
            <w:vAlign w:val="bottom"/>
          </w:tcPr>
          <w:p w14:paraId="2CEA1158" w14:textId="77777777" w:rsidR="00871C14" w:rsidRPr="00871C14" w:rsidRDefault="00871C14" w:rsidP="00871C14">
            <w:pPr>
              <w:jc w:val="both"/>
              <w:rPr>
                <w:lang w:eastAsia="en-US"/>
              </w:rPr>
            </w:pPr>
            <w:r w:rsidRPr="00871C14">
              <w:rPr>
                <w:lang w:eastAsia="en-US"/>
              </w:rPr>
              <w:t> </w:t>
            </w:r>
          </w:p>
        </w:tc>
      </w:tr>
      <w:tr w:rsidR="00871C14" w:rsidRPr="00871C14" w14:paraId="6289CC27" w14:textId="77777777" w:rsidTr="00DA58E5">
        <w:trPr>
          <w:trHeight w:val="255"/>
        </w:trPr>
        <w:tc>
          <w:tcPr>
            <w:tcW w:w="7070" w:type="dxa"/>
            <w:tcBorders>
              <w:top w:val="nil"/>
              <w:left w:val="single" w:sz="4" w:space="0" w:color="auto"/>
              <w:bottom w:val="single" w:sz="4" w:space="0" w:color="auto"/>
              <w:right w:val="single" w:sz="4" w:space="0" w:color="auto"/>
            </w:tcBorders>
          </w:tcPr>
          <w:p w14:paraId="122EB62B" w14:textId="77777777" w:rsidR="00871C14" w:rsidRPr="00871C14" w:rsidRDefault="00871C14" w:rsidP="00871C14">
            <w:pPr>
              <w:jc w:val="both"/>
              <w:rPr>
                <w:vertAlign w:val="superscript"/>
                <w:lang w:eastAsia="en-US"/>
              </w:rPr>
            </w:pPr>
            <w:r w:rsidRPr="00871C14">
              <w:rPr>
                <w:lang w:eastAsia="en-US"/>
              </w:rPr>
              <w:t xml:space="preserve">  Tovary a služby (630)</w:t>
            </w:r>
            <w:r w:rsidRPr="00871C14">
              <w:rPr>
                <w:vertAlign w:val="superscript"/>
                <w:lang w:eastAsia="en-US"/>
              </w:rPr>
              <w:t>2</w:t>
            </w:r>
          </w:p>
        </w:tc>
        <w:tc>
          <w:tcPr>
            <w:tcW w:w="1540" w:type="dxa"/>
            <w:tcBorders>
              <w:top w:val="nil"/>
              <w:left w:val="nil"/>
              <w:bottom w:val="single" w:sz="4" w:space="0" w:color="auto"/>
              <w:right w:val="single" w:sz="4" w:space="0" w:color="auto"/>
            </w:tcBorders>
          </w:tcPr>
          <w:p w14:paraId="250F457F"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55E9E39D"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08CDED02"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5F0A1993" w14:textId="77777777" w:rsidR="00871C14" w:rsidRPr="00871C14" w:rsidRDefault="00871C14" w:rsidP="00871C14">
            <w:pPr>
              <w:jc w:val="both"/>
              <w:rPr>
                <w:lang w:eastAsia="en-US"/>
              </w:rPr>
            </w:pPr>
          </w:p>
        </w:tc>
        <w:tc>
          <w:tcPr>
            <w:tcW w:w="2220" w:type="dxa"/>
            <w:tcBorders>
              <w:top w:val="nil"/>
              <w:left w:val="nil"/>
              <w:bottom w:val="single" w:sz="4" w:space="0" w:color="auto"/>
              <w:right w:val="single" w:sz="4" w:space="0" w:color="auto"/>
            </w:tcBorders>
            <w:noWrap/>
            <w:vAlign w:val="bottom"/>
          </w:tcPr>
          <w:p w14:paraId="218410EB" w14:textId="77777777" w:rsidR="00871C14" w:rsidRPr="00871C14" w:rsidRDefault="00871C14" w:rsidP="00871C14">
            <w:pPr>
              <w:jc w:val="both"/>
              <w:rPr>
                <w:lang w:eastAsia="en-US"/>
              </w:rPr>
            </w:pPr>
            <w:r w:rsidRPr="00871C14">
              <w:rPr>
                <w:lang w:eastAsia="en-US"/>
              </w:rPr>
              <w:t> </w:t>
            </w:r>
          </w:p>
        </w:tc>
      </w:tr>
      <w:tr w:rsidR="00871C14" w:rsidRPr="00871C14" w14:paraId="588A8171" w14:textId="77777777" w:rsidTr="00DA58E5">
        <w:trPr>
          <w:trHeight w:val="255"/>
        </w:trPr>
        <w:tc>
          <w:tcPr>
            <w:tcW w:w="7070" w:type="dxa"/>
            <w:tcBorders>
              <w:top w:val="nil"/>
              <w:left w:val="single" w:sz="4" w:space="0" w:color="auto"/>
              <w:bottom w:val="single" w:sz="4" w:space="0" w:color="auto"/>
              <w:right w:val="single" w:sz="4" w:space="0" w:color="auto"/>
            </w:tcBorders>
          </w:tcPr>
          <w:p w14:paraId="5B69EAA1" w14:textId="77777777" w:rsidR="00871C14" w:rsidRPr="00871C14" w:rsidRDefault="00871C14" w:rsidP="00871C14">
            <w:pPr>
              <w:jc w:val="both"/>
              <w:rPr>
                <w:lang w:eastAsia="en-US"/>
              </w:rPr>
            </w:pPr>
            <w:r w:rsidRPr="00871C14">
              <w:rPr>
                <w:lang w:eastAsia="en-US"/>
              </w:rPr>
              <w:t xml:space="preserve">  Bežné transfery (640)</w:t>
            </w:r>
            <w:r w:rsidRPr="00871C14">
              <w:rPr>
                <w:vertAlign w:val="superscript"/>
                <w:lang w:eastAsia="en-US"/>
              </w:rPr>
              <w:t>2</w:t>
            </w:r>
          </w:p>
        </w:tc>
        <w:tc>
          <w:tcPr>
            <w:tcW w:w="1540" w:type="dxa"/>
            <w:tcBorders>
              <w:top w:val="nil"/>
              <w:left w:val="nil"/>
              <w:bottom w:val="single" w:sz="4" w:space="0" w:color="auto"/>
              <w:right w:val="single" w:sz="4" w:space="0" w:color="auto"/>
            </w:tcBorders>
          </w:tcPr>
          <w:p w14:paraId="095B0300"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038EC8AE"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17B57F19"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28D9AB4A" w14:textId="77777777" w:rsidR="00871C14" w:rsidRPr="00871C14" w:rsidRDefault="00871C14" w:rsidP="00871C14">
            <w:pPr>
              <w:jc w:val="both"/>
              <w:rPr>
                <w:lang w:eastAsia="en-US"/>
              </w:rPr>
            </w:pPr>
          </w:p>
        </w:tc>
        <w:tc>
          <w:tcPr>
            <w:tcW w:w="2220" w:type="dxa"/>
            <w:tcBorders>
              <w:top w:val="nil"/>
              <w:left w:val="nil"/>
              <w:bottom w:val="single" w:sz="4" w:space="0" w:color="auto"/>
              <w:right w:val="single" w:sz="4" w:space="0" w:color="auto"/>
            </w:tcBorders>
            <w:noWrap/>
            <w:vAlign w:val="bottom"/>
          </w:tcPr>
          <w:p w14:paraId="418CFB1E" w14:textId="77777777" w:rsidR="00871C14" w:rsidRPr="00871C14" w:rsidRDefault="00871C14" w:rsidP="00871C14">
            <w:pPr>
              <w:jc w:val="both"/>
              <w:rPr>
                <w:lang w:eastAsia="en-US"/>
              </w:rPr>
            </w:pPr>
            <w:r w:rsidRPr="00871C14">
              <w:rPr>
                <w:lang w:eastAsia="en-US"/>
              </w:rPr>
              <w:t> </w:t>
            </w:r>
          </w:p>
        </w:tc>
      </w:tr>
      <w:tr w:rsidR="00871C14" w:rsidRPr="00871C14" w14:paraId="4DD24F42" w14:textId="77777777" w:rsidTr="00DA58E5">
        <w:trPr>
          <w:trHeight w:val="255"/>
        </w:trPr>
        <w:tc>
          <w:tcPr>
            <w:tcW w:w="7070" w:type="dxa"/>
            <w:tcBorders>
              <w:top w:val="nil"/>
              <w:left w:val="single" w:sz="4" w:space="0" w:color="auto"/>
              <w:bottom w:val="single" w:sz="4" w:space="0" w:color="auto"/>
              <w:right w:val="single" w:sz="4" w:space="0" w:color="auto"/>
            </w:tcBorders>
            <w:vAlign w:val="center"/>
          </w:tcPr>
          <w:p w14:paraId="5494BA32" w14:textId="77777777" w:rsidR="00871C14" w:rsidRPr="00871C14" w:rsidRDefault="00871C14" w:rsidP="00871C14">
            <w:pPr>
              <w:jc w:val="both"/>
              <w:rPr>
                <w:lang w:eastAsia="en-US"/>
              </w:rPr>
            </w:pPr>
            <w:r w:rsidRPr="00871C14">
              <w:rPr>
                <w:lang w:eastAsia="en-US"/>
              </w:rPr>
              <w:t xml:space="preserve">  Splácanie úrokov a ostatné platby súvisiace s  úverom, pôžičkou, návratnou finančnou výpomocou a finančným prenájmom (650)</w:t>
            </w:r>
            <w:r w:rsidRPr="00871C14">
              <w:rPr>
                <w:vertAlign w:val="superscript"/>
                <w:lang w:eastAsia="en-US"/>
              </w:rPr>
              <w:t>2</w:t>
            </w:r>
          </w:p>
        </w:tc>
        <w:tc>
          <w:tcPr>
            <w:tcW w:w="1540" w:type="dxa"/>
            <w:tcBorders>
              <w:top w:val="nil"/>
              <w:left w:val="nil"/>
              <w:bottom w:val="single" w:sz="4" w:space="0" w:color="auto"/>
              <w:right w:val="single" w:sz="4" w:space="0" w:color="auto"/>
            </w:tcBorders>
          </w:tcPr>
          <w:p w14:paraId="68B7EA73"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72AA3942"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07638002"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0F3276EA" w14:textId="77777777" w:rsidR="00871C14" w:rsidRPr="00871C14" w:rsidRDefault="00871C14" w:rsidP="00871C14">
            <w:pPr>
              <w:jc w:val="both"/>
              <w:rPr>
                <w:lang w:eastAsia="en-US"/>
              </w:rPr>
            </w:pPr>
          </w:p>
        </w:tc>
        <w:tc>
          <w:tcPr>
            <w:tcW w:w="2220" w:type="dxa"/>
            <w:tcBorders>
              <w:top w:val="nil"/>
              <w:left w:val="nil"/>
              <w:bottom w:val="single" w:sz="4" w:space="0" w:color="auto"/>
              <w:right w:val="single" w:sz="4" w:space="0" w:color="auto"/>
            </w:tcBorders>
            <w:noWrap/>
            <w:vAlign w:val="bottom"/>
          </w:tcPr>
          <w:p w14:paraId="1E08AC9A" w14:textId="77777777" w:rsidR="00871C14" w:rsidRPr="00871C14" w:rsidRDefault="00871C14" w:rsidP="00871C14">
            <w:pPr>
              <w:jc w:val="both"/>
              <w:rPr>
                <w:lang w:eastAsia="en-US"/>
              </w:rPr>
            </w:pPr>
          </w:p>
        </w:tc>
      </w:tr>
      <w:tr w:rsidR="00871C14" w:rsidRPr="00871C14" w14:paraId="74AAC31D" w14:textId="77777777" w:rsidTr="00DA58E5">
        <w:trPr>
          <w:trHeight w:val="255"/>
        </w:trPr>
        <w:tc>
          <w:tcPr>
            <w:tcW w:w="7070" w:type="dxa"/>
            <w:tcBorders>
              <w:top w:val="nil"/>
              <w:left w:val="single" w:sz="4" w:space="0" w:color="auto"/>
              <w:bottom w:val="single" w:sz="4" w:space="0" w:color="auto"/>
              <w:right w:val="single" w:sz="4" w:space="0" w:color="auto"/>
            </w:tcBorders>
          </w:tcPr>
          <w:p w14:paraId="1837837A" w14:textId="77777777" w:rsidR="00871C14" w:rsidRPr="00871C14" w:rsidRDefault="00871C14" w:rsidP="00871C14">
            <w:pPr>
              <w:jc w:val="both"/>
              <w:rPr>
                <w:b/>
                <w:bCs/>
                <w:lang w:eastAsia="en-US"/>
              </w:rPr>
            </w:pPr>
            <w:r w:rsidRPr="00871C14">
              <w:rPr>
                <w:b/>
                <w:bCs/>
                <w:lang w:eastAsia="en-US"/>
              </w:rPr>
              <w:t>Kapitálové výdavky (700)</w:t>
            </w:r>
          </w:p>
        </w:tc>
        <w:tc>
          <w:tcPr>
            <w:tcW w:w="1540" w:type="dxa"/>
            <w:tcBorders>
              <w:top w:val="nil"/>
              <w:left w:val="nil"/>
              <w:bottom w:val="single" w:sz="4" w:space="0" w:color="auto"/>
              <w:right w:val="single" w:sz="4" w:space="0" w:color="auto"/>
            </w:tcBorders>
          </w:tcPr>
          <w:p w14:paraId="24BB9366" w14:textId="77777777" w:rsidR="00871C14" w:rsidRPr="00871C14" w:rsidRDefault="00871C14" w:rsidP="00871C14">
            <w:pPr>
              <w:jc w:val="both"/>
              <w:rPr>
                <w:b/>
                <w:bCs/>
                <w:lang w:eastAsia="en-US"/>
              </w:rPr>
            </w:pPr>
          </w:p>
        </w:tc>
        <w:tc>
          <w:tcPr>
            <w:tcW w:w="1540" w:type="dxa"/>
            <w:tcBorders>
              <w:top w:val="nil"/>
              <w:left w:val="nil"/>
              <w:bottom w:val="single" w:sz="4" w:space="0" w:color="auto"/>
              <w:right w:val="single" w:sz="4" w:space="0" w:color="auto"/>
            </w:tcBorders>
          </w:tcPr>
          <w:p w14:paraId="4B126CBF" w14:textId="77777777" w:rsidR="00871C14" w:rsidRPr="00871C14" w:rsidRDefault="00871C14" w:rsidP="00871C14">
            <w:pPr>
              <w:jc w:val="both"/>
              <w:rPr>
                <w:b/>
                <w:bCs/>
                <w:lang w:eastAsia="en-US"/>
              </w:rPr>
            </w:pPr>
            <w:r w:rsidRPr="00871C14">
              <w:rPr>
                <w:b/>
                <w:bCs/>
                <w:lang w:eastAsia="en-US"/>
              </w:rPr>
              <w:t>88 000</w:t>
            </w:r>
          </w:p>
        </w:tc>
        <w:tc>
          <w:tcPr>
            <w:tcW w:w="1540" w:type="dxa"/>
            <w:tcBorders>
              <w:top w:val="nil"/>
              <w:left w:val="nil"/>
              <w:bottom w:val="single" w:sz="4" w:space="0" w:color="auto"/>
              <w:right w:val="single" w:sz="4" w:space="0" w:color="auto"/>
            </w:tcBorders>
          </w:tcPr>
          <w:p w14:paraId="1CE2BA2C" w14:textId="77777777" w:rsidR="00871C14" w:rsidRPr="00871C14" w:rsidRDefault="00871C14" w:rsidP="00871C14">
            <w:pPr>
              <w:jc w:val="both"/>
              <w:rPr>
                <w:b/>
                <w:bCs/>
                <w:lang w:eastAsia="en-US"/>
              </w:rPr>
            </w:pPr>
            <w:r w:rsidRPr="00871C14">
              <w:rPr>
                <w:b/>
                <w:bCs/>
                <w:lang w:eastAsia="en-US"/>
              </w:rPr>
              <w:t>0</w:t>
            </w:r>
          </w:p>
        </w:tc>
        <w:tc>
          <w:tcPr>
            <w:tcW w:w="1540" w:type="dxa"/>
            <w:tcBorders>
              <w:top w:val="nil"/>
              <w:left w:val="nil"/>
              <w:bottom w:val="single" w:sz="4" w:space="0" w:color="auto"/>
              <w:right w:val="single" w:sz="4" w:space="0" w:color="auto"/>
            </w:tcBorders>
          </w:tcPr>
          <w:p w14:paraId="410CFB35" w14:textId="77777777" w:rsidR="00871C14" w:rsidRPr="00871C14" w:rsidRDefault="00871C14" w:rsidP="00871C14">
            <w:pPr>
              <w:jc w:val="both"/>
              <w:rPr>
                <w:b/>
                <w:bCs/>
                <w:lang w:eastAsia="en-US"/>
              </w:rPr>
            </w:pPr>
            <w:r w:rsidRPr="00871C14">
              <w:rPr>
                <w:b/>
                <w:bCs/>
                <w:lang w:eastAsia="en-US"/>
              </w:rPr>
              <w:t>0</w:t>
            </w:r>
          </w:p>
        </w:tc>
        <w:tc>
          <w:tcPr>
            <w:tcW w:w="2220" w:type="dxa"/>
            <w:tcBorders>
              <w:top w:val="nil"/>
              <w:left w:val="nil"/>
              <w:bottom w:val="single" w:sz="4" w:space="0" w:color="auto"/>
              <w:right w:val="single" w:sz="4" w:space="0" w:color="auto"/>
            </w:tcBorders>
            <w:noWrap/>
            <w:vAlign w:val="bottom"/>
          </w:tcPr>
          <w:p w14:paraId="2A0DF633" w14:textId="77777777" w:rsidR="00871C14" w:rsidRPr="00871C14" w:rsidRDefault="00871C14" w:rsidP="00871C14">
            <w:pPr>
              <w:jc w:val="both"/>
              <w:rPr>
                <w:lang w:eastAsia="en-US"/>
              </w:rPr>
            </w:pPr>
            <w:r w:rsidRPr="00871C14">
              <w:rPr>
                <w:lang w:eastAsia="en-US"/>
              </w:rPr>
              <w:t> </w:t>
            </w:r>
          </w:p>
        </w:tc>
      </w:tr>
      <w:tr w:rsidR="00871C14" w:rsidRPr="00871C14" w14:paraId="5BB8E2F0" w14:textId="77777777" w:rsidTr="00DA58E5">
        <w:trPr>
          <w:trHeight w:val="255"/>
        </w:trPr>
        <w:tc>
          <w:tcPr>
            <w:tcW w:w="7070" w:type="dxa"/>
            <w:tcBorders>
              <w:top w:val="nil"/>
              <w:left w:val="single" w:sz="4" w:space="0" w:color="auto"/>
              <w:bottom w:val="single" w:sz="4" w:space="0" w:color="auto"/>
              <w:right w:val="single" w:sz="4" w:space="0" w:color="auto"/>
            </w:tcBorders>
          </w:tcPr>
          <w:p w14:paraId="560C1F67" w14:textId="77777777" w:rsidR="00871C14" w:rsidRPr="00871C14" w:rsidRDefault="00871C14" w:rsidP="00871C14">
            <w:pPr>
              <w:jc w:val="both"/>
              <w:rPr>
                <w:lang w:eastAsia="en-US"/>
              </w:rPr>
            </w:pPr>
            <w:r w:rsidRPr="00871C14">
              <w:rPr>
                <w:lang w:eastAsia="en-US"/>
              </w:rPr>
              <w:t xml:space="preserve">  Obstarávanie kapitálových aktív (710)</w:t>
            </w:r>
            <w:r w:rsidRPr="00871C14">
              <w:rPr>
                <w:vertAlign w:val="superscript"/>
                <w:lang w:eastAsia="en-US"/>
              </w:rPr>
              <w:t>2</w:t>
            </w:r>
          </w:p>
        </w:tc>
        <w:tc>
          <w:tcPr>
            <w:tcW w:w="1540" w:type="dxa"/>
            <w:tcBorders>
              <w:top w:val="nil"/>
              <w:left w:val="nil"/>
              <w:bottom w:val="single" w:sz="4" w:space="0" w:color="auto"/>
              <w:right w:val="single" w:sz="4" w:space="0" w:color="auto"/>
            </w:tcBorders>
          </w:tcPr>
          <w:p w14:paraId="2A1D939A"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4BB444F9" w14:textId="77777777" w:rsidR="00871C14" w:rsidRPr="00871C14" w:rsidRDefault="00871C14" w:rsidP="00871C14">
            <w:pPr>
              <w:jc w:val="both"/>
              <w:rPr>
                <w:lang w:eastAsia="en-US"/>
              </w:rPr>
            </w:pPr>
            <w:r w:rsidRPr="00871C14">
              <w:rPr>
                <w:lang w:eastAsia="en-US"/>
              </w:rPr>
              <w:t>88 000</w:t>
            </w:r>
          </w:p>
        </w:tc>
        <w:tc>
          <w:tcPr>
            <w:tcW w:w="1540" w:type="dxa"/>
            <w:tcBorders>
              <w:top w:val="nil"/>
              <w:left w:val="nil"/>
              <w:bottom w:val="single" w:sz="4" w:space="0" w:color="auto"/>
              <w:right w:val="single" w:sz="4" w:space="0" w:color="auto"/>
            </w:tcBorders>
          </w:tcPr>
          <w:p w14:paraId="5DC6EFFA" w14:textId="77777777" w:rsidR="00871C14" w:rsidRPr="00871C14" w:rsidRDefault="00871C14" w:rsidP="00871C14">
            <w:pPr>
              <w:jc w:val="both"/>
              <w:rPr>
                <w:lang w:eastAsia="en-US"/>
              </w:rPr>
            </w:pPr>
            <w:r w:rsidRPr="00871C14">
              <w:rPr>
                <w:lang w:eastAsia="en-US"/>
              </w:rPr>
              <w:t>0</w:t>
            </w:r>
          </w:p>
        </w:tc>
        <w:tc>
          <w:tcPr>
            <w:tcW w:w="1540" w:type="dxa"/>
            <w:tcBorders>
              <w:top w:val="nil"/>
              <w:left w:val="nil"/>
              <w:bottom w:val="single" w:sz="4" w:space="0" w:color="auto"/>
              <w:right w:val="single" w:sz="4" w:space="0" w:color="auto"/>
            </w:tcBorders>
          </w:tcPr>
          <w:p w14:paraId="33F13CC3" w14:textId="77777777" w:rsidR="00871C14" w:rsidRPr="00871C14" w:rsidRDefault="00871C14" w:rsidP="00871C14">
            <w:pPr>
              <w:jc w:val="both"/>
              <w:rPr>
                <w:lang w:eastAsia="en-US"/>
              </w:rPr>
            </w:pPr>
            <w:r w:rsidRPr="00871C14">
              <w:rPr>
                <w:lang w:eastAsia="en-US"/>
              </w:rPr>
              <w:t>0</w:t>
            </w:r>
          </w:p>
        </w:tc>
        <w:tc>
          <w:tcPr>
            <w:tcW w:w="2220" w:type="dxa"/>
            <w:tcBorders>
              <w:top w:val="nil"/>
              <w:left w:val="nil"/>
              <w:bottom w:val="single" w:sz="4" w:space="0" w:color="auto"/>
              <w:right w:val="single" w:sz="4" w:space="0" w:color="auto"/>
            </w:tcBorders>
            <w:noWrap/>
            <w:vAlign w:val="bottom"/>
          </w:tcPr>
          <w:p w14:paraId="48B4D0BE" w14:textId="77777777" w:rsidR="00871C14" w:rsidRPr="00871C14" w:rsidRDefault="00871C14" w:rsidP="00871C14">
            <w:pPr>
              <w:jc w:val="both"/>
              <w:rPr>
                <w:lang w:eastAsia="en-US"/>
              </w:rPr>
            </w:pPr>
            <w:r w:rsidRPr="00871C14">
              <w:rPr>
                <w:lang w:eastAsia="en-US"/>
              </w:rPr>
              <w:t> </w:t>
            </w:r>
          </w:p>
        </w:tc>
      </w:tr>
      <w:tr w:rsidR="00871C14" w:rsidRPr="00871C14" w14:paraId="0CAF8955" w14:textId="77777777" w:rsidTr="00DA58E5">
        <w:trPr>
          <w:trHeight w:val="255"/>
        </w:trPr>
        <w:tc>
          <w:tcPr>
            <w:tcW w:w="7070" w:type="dxa"/>
            <w:tcBorders>
              <w:top w:val="nil"/>
              <w:left w:val="single" w:sz="4" w:space="0" w:color="auto"/>
              <w:bottom w:val="single" w:sz="4" w:space="0" w:color="auto"/>
              <w:right w:val="single" w:sz="4" w:space="0" w:color="auto"/>
            </w:tcBorders>
          </w:tcPr>
          <w:p w14:paraId="5EE6E9D3" w14:textId="77777777" w:rsidR="00871C14" w:rsidRPr="00871C14" w:rsidRDefault="00871C14" w:rsidP="00871C14">
            <w:pPr>
              <w:jc w:val="both"/>
              <w:rPr>
                <w:lang w:eastAsia="en-US"/>
              </w:rPr>
            </w:pPr>
            <w:r w:rsidRPr="00871C14">
              <w:rPr>
                <w:lang w:eastAsia="en-US"/>
              </w:rPr>
              <w:t xml:space="preserve"> v tom: 713 005</w:t>
            </w:r>
          </w:p>
        </w:tc>
        <w:tc>
          <w:tcPr>
            <w:tcW w:w="1540" w:type="dxa"/>
            <w:tcBorders>
              <w:top w:val="nil"/>
              <w:left w:val="nil"/>
              <w:bottom w:val="single" w:sz="4" w:space="0" w:color="auto"/>
              <w:right w:val="single" w:sz="4" w:space="0" w:color="auto"/>
            </w:tcBorders>
          </w:tcPr>
          <w:p w14:paraId="5BA53F48"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6D79A21E" w14:textId="77777777" w:rsidR="00871C14" w:rsidRPr="00871C14" w:rsidRDefault="00871C14" w:rsidP="00871C14">
            <w:pPr>
              <w:jc w:val="both"/>
              <w:rPr>
                <w:lang w:eastAsia="en-US"/>
              </w:rPr>
            </w:pPr>
            <w:r w:rsidRPr="00871C14">
              <w:rPr>
                <w:lang w:eastAsia="en-US"/>
              </w:rPr>
              <w:t xml:space="preserve">88 000 </w:t>
            </w:r>
          </w:p>
        </w:tc>
        <w:tc>
          <w:tcPr>
            <w:tcW w:w="1540" w:type="dxa"/>
            <w:tcBorders>
              <w:top w:val="nil"/>
              <w:left w:val="nil"/>
              <w:bottom w:val="single" w:sz="4" w:space="0" w:color="auto"/>
              <w:right w:val="single" w:sz="4" w:space="0" w:color="auto"/>
            </w:tcBorders>
          </w:tcPr>
          <w:p w14:paraId="6E4D477D" w14:textId="77777777" w:rsidR="00871C14" w:rsidRPr="00871C14" w:rsidRDefault="00871C14" w:rsidP="00871C14">
            <w:pPr>
              <w:jc w:val="both"/>
              <w:rPr>
                <w:lang w:eastAsia="en-US"/>
              </w:rPr>
            </w:pPr>
            <w:r w:rsidRPr="00871C14">
              <w:rPr>
                <w:lang w:eastAsia="en-US"/>
              </w:rPr>
              <w:t>0</w:t>
            </w:r>
          </w:p>
        </w:tc>
        <w:tc>
          <w:tcPr>
            <w:tcW w:w="1540" w:type="dxa"/>
            <w:tcBorders>
              <w:top w:val="nil"/>
              <w:left w:val="nil"/>
              <w:bottom w:val="single" w:sz="4" w:space="0" w:color="auto"/>
              <w:right w:val="single" w:sz="4" w:space="0" w:color="auto"/>
            </w:tcBorders>
          </w:tcPr>
          <w:p w14:paraId="25BC8A83" w14:textId="77777777" w:rsidR="00871C14" w:rsidRPr="00871C14" w:rsidRDefault="00871C14" w:rsidP="00871C14">
            <w:pPr>
              <w:jc w:val="both"/>
              <w:rPr>
                <w:lang w:eastAsia="en-US"/>
              </w:rPr>
            </w:pPr>
            <w:r w:rsidRPr="00871C14">
              <w:rPr>
                <w:lang w:eastAsia="en-US"/>
              </w:rPr>
              <w:t>0</w:t>
            </w:r>
          </w:p>
        </w:tc>
        <w:tc>
          <w:tcPr>
            <w:tcW w:w="2220" w:type="dxa"/>
            <w:tcBorders>
              <w:top w:val="nil"/>
              <w:left w:val="nil"/>
              <w:bottom w:val="single" w:sz="4" w:space="0" w:color="auto"/>
              <w:right w:val="single" w:sz="4" w:space="0" w:color="auto"/>
            </w:tcBorders>
            <w:noWrap/>
            <w:vAlign w:val="bottom"/>
          </w:tcPr>
          <w:p w14:paraId="4D1A800E" w14:textId="77777777" w:rsidR="00871C14" w:rsidRPr="00871C14" w:rsidRDefault="00871C14" w:rsidP="00871C14">
            <w:pPr>
              <w:jc w:val="both"/>
              <w:rPr>
                <w:lang w:eastAsia="en-US"/>
              </w:rPr>
            </w:pPr>
          </w:p>
        </w:tc>
      </w:tr>
      <w:tr w:rsidR="00871C14" w:rsidRPr="00871C14" w14:paraId="22E7060F" w14:textId="77777777" w:rsidTr="00DA58E5">
        <w:trPr>
          <w:trHeight w:val="255"/>
        </w:trPr>
        <w:tc>
          <w:tcPr>
            <w:tcW w:w="7070" w:type="dxa"/>
            <w:tcBorders>
              <w:top w:val="nil"/>
              <w:left w:val="single" w:sz="4" w:space="0" w:color="auto"/>
              <w:bottom w:val="single" w:sz="4" w:space="0" w:color="auto"/>
              <w:right w:val="single" w:sz="4" w:space="0" w:color="auto"/>
            </w:tcBorders>
          </w:tcPr>
          <w:p w14:paraId="4534391A" w14:textId="77777777" w:rsidR="00871C14" w:rsidRPr="00871C14" w:rsidRDefault="00871C14" w:rsidP="00871C14">
            <w:pPr>
              <w:jc w:val="both"/>
              <w:rPr>
                <w:lang w:eastAsia="en-US"/>
              </w:rPr>
            </w:pPr>
            <w:r w:rsidRPr="00871C14">
              <w:rPr>
                <w:lang w:eastAsia="en-US"/>
              </w:rPr>
              <w:t xml:space="preserve">  Kapitálové transfery (720)</w:t>
            </w:r>
            <w:r w:rsidRPr="00871C14">
              <w:rPr>
                <w:vertAlign w:val="superscript"/>
                <w:lang w:eastAsia="en-US"/>
              </w:rPr>
              <w:t>2</w:t>
            </w:r>
          </w:p>
        </w:tc>
        <w:tc>
          <w:tcPr>
            <w:tcW w:w="1540" w:type="dxa"/>
            <w:tcBorders>
              <w:top w:val="nil"/>
              <w:left w:val="nil"/>
              <w:bottom w:val="single" w:sz="4" w:space="0" w:color="auto"/>
              <w:right w:val="single" w:sz="4" w:space="0" w:color="auto"/>
            </w:tcBorders>
          </w:tcPr>
          <w:p w14:paraId="7F7F6F43"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56DC4EDB"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5CCA0897"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4DB86B50" w14:textId="77777777" w:rsidR="00871C14" w:rsidRPr="00871C14" w:rsidRDefault="00871C14" w:rsidP="00871C14">
            <w:pPr>
              <w:jc w:val="both"/>
              <w:rPr>
                <w:lang w:eastAsia="en-US"/>
              </w:rPr>
            </w:pPr>
          </w:p>
        </w:tc>
        <w:tc>
          <w:tcPr>
            <w:tcW w:w="2220" w:type="dxa"/>
            <w:tcBorders>
              <w:top w:val="nil"/>
              <w:left w:val="nil"/>
              <w:bottom w:val="single" w:sz="4" w:space="0" w:color="auto"/>
              <w:right w:val="single" w:sz="4" w:space="0" w:color="auto"/>
            </w:tcBorders>
            <w:noWrap/>
            <w:vAlign w:val="bottom"/>
          </w:tcPr>
          <w:p w14:paraId="36F9A977" w14:textId="77777777" w:rsidR="00871C14" w:rsidRPr="00871C14" w:rsidRDefault="00871C14" w:rsidP="00871C14">
            <w:pPr>
              <w:jc w:val="both"/>
              <w:rPr>
                <w:lang w:eastAsia="en-US"/>
              </w:rPr>
            </w:pPr>
            <w:r w:rsidRPr="00871C14">
              <w:rPr>
                <w:lang w:eastAsia="en-US"/>
              </w:rPr>
              <w:t> </w:t>
            </w:r>
          </w:p>
        </w:tc>
      </w:tr>
      <w:tr w:rsidR="00871C14" w:rsidRPr="00871C14" w14:paraId="1CA5F023" w14:textId="77777777" w:rsidTr="00DA58E5">
        <w:trPr>
          <w:trHeight w:val="255"/>
        </w:trPr>
        <w:tc>
          <w:tcPr>
            <w:tcW w:w="7070" w:type="dxa"/>
            <w:tcBorders>
              <w:top w:val="nil"/>
              <w:left w:val="single" w:sz="4" w:space="0" w:color="auto"/>
              <w:bottom w:val="single" w:sz="4" w:space="0" w:color="auto"/>
              <w:right w:val="single" w:sz="4" w:space="0" w:color="auto"/>
            </w:tcBorders>
          </w:tcPr>
          <w:p w14:paraId="13E04066" w14:textId="77777777" w:rsidR="00871C14" w:rsidRPr="00871C14" w:rsidRDefault="00871C14" w:rsidP="00871C14">
            <w:pPr>
              <w:jc w:val="both"/>
              <w:rPr>
                <w:b/>
                <w:bCs/>
                <w:lang w:eastAsia="en-US"/>
              </w:rPr>
            </w:pPr>
            <w:r w:rsidRPr="00871C14">
              <w:rPr>
                <w:b/>
                <w:bCs/>
                <w:lang w:eastAsia="en-US"/>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1D133F75" w14:textId="77777777" w:rsidR="00871C14" w:rsidRPr="00871C14" w:rsidRDefault="00871C14" w:rsidP="00871C14">
            <w:pPr>
              <w:jc w:val="both"/>
              <w:rPr>
                <w:b/>
                <w:bCs/>
                <w:lang w:eastAsia="en-US"/>
              </w:rPr>
            </w:pPr>
          </w:p>
        </w:tc>
        <w:tc>
          <w:tcPr>
            <w:tcW w:w="1540" w:type="dxa"/>
            <w:tcBorders>
              <w:top w:val="nil"/>
              <w:left w:val="nil"/>
              <w:bottom w:val="single" w:sz="4" w:space="0" w:color="auto"/>
              <w:right w:val="single" w:sz="4" w:space="0" w:color="auto"/>
            </w:tcBorders>
            <w:shd w:val="clear" w:color="auto" w:fill="FFFF99"/>
          </w:tcPr>
          <w:p w14:paraId="06761A0A" w14:textId="77777777" w:rsidR="00871C14" w:rsidRPr="00871C14" w:rsidRDefault="00871C14" w:rsidP="00871C14">
            <w:pPr>
              <w:jc w:val="both"/>
              <w:rPr>
                <w:b/>
                <w:bCs/>
                <w:lang w:eastAsia="en-US"/>
              </w:rPr>
            </w:pPr>
            <w:r w:rsidRPr="00871C14">
              <w:rPr>
                <w:b/>
                <w:bCs/>
                <w:lang w:eastAsia="en-US"/>
              </w:rPr>
              <w:t> </w:t>
            </w:r>
          </w:p>
        </w:tc>
        <w:tc>
          <w:tcPr>
            <w:tcW w:w="1540" w:type="dxa"/>
            <w:tcBorders>
              <w:top w:val="nil"/>
              <w:left w:val="nil"/>
              <w:bottom w:val="single" w:sz="4" w:space="0" w:color="auto"/>
              <w:right w:val="single" w:sz="4" w:space="0" w:color="auto"/>
            </w:tcBorders>
            <w:shd w:val="clear" w:color="auto" w:fill="FFFF99"/>
          </w:tcPr>
          <w:p w14:paraId="7BD19D63" w14:textId="77777777" w:rsidR="00871C14" w:rsidRPr="00871C14" w:rsidRDefault="00871C14" w:rsidP="00871C14">
            <w:pPr>
              <w:jc w:val="both"/>
              <w:rPr>
                <w:b/>
                <w:bCs/>
                <w:lang w:eastAsia="en-US"/>
              </w:rPr>
            </w:pPr>
            <w:r w:rsidRPr="00871C14">
              <w:rPr>
                <w:b/>
                <w:bCs/>
                <w:lang w:eastAsia="en-US"/>
              </w:rPr>
              <w:t> </w:t>
            </w:r>
          </w:p>
        </w:tc>
        <w:tc>
          <w:tcPr>
            <w:tcW w:w="1540" w:type="dxa"/>
            <w:tcBorders>
              <w:top w:val="nil"/>
              <w:left w:val="nil"/>
              <w:bottom w:val="single" w:sz="4" w:space="0" w:color="auto"/>
              <w:right w:val="single" w:sz="4" w:space="0" w:color="auto"/>
            </w:tcBorders>
            <w:shd w:val="clear" w:color="auto" w:fill="FFFF99"/>
          </w:tcPr>
          <w:p w14:paraId="338FE22A" w14:textId="77777777" w:rsidR="00871C14" w:rsidRPr="00871C14" w:rsidRDefault="00871C14" w:rsidP="00871C14">
            <w:pPr>
              <w:jc w:val="both"/>
              <w:rPr>
                <w:b/>
                <w:bCs/>
                <w:lang w:eastAsia="en-US"/>
              </w:rPr>
            </w:pPr>
            <w:r w:rsidRPr="00871C14">
              <w:rPr>
                <w:b/>
                <w:bCs/>
                <w:lang w:eastAsia="en-US"/>
              </w:rPr>
              <w:t> </w:t>
            </w:r>
          </w:p>
        </w:tc>
        <w:tc>
          <w:tcPr>
            <w:tcW w:w="2220" w:type="dxa"/>
            <w:tcBorders>
              <w:top w:val="nil"/>
              <w:left w:val="nil"/>
              <w:bottom w:val="single" w:sz="4" w:space="0" w:color="auto"/>
              <w:right w:val="single" w:sz="4" w:space="0" w:color="auto"/>
            </w:tcBorders>
            <w:noWrap/>
            <w:vAlign w:val="bottom"/>
          </w:tcPr>
          <w:p w14:paraId="31E44132" w14:textId="77777777" w:rsidR="00871C14" w:rsidRPr="00871C14" w:rsidRDefault="00871C14" w:rsidP="00871C14">
            <w:pPr>
              <w:jc w:val="both"/>
              <w:rPr>
                <w:lang w:eastAsia="en-US"/>
              </w:rPr>
            </w:pPr>
            <w:r w:rsidRPr="00871C14">
              <w:rPr>
                <w:lang w:eastAsia="en-US"/>
              </w:rPr>
              <w:t> </w:t>
            </w:r>
          </w:p>
        </w:tc>
      </w:tr>
      <w:tr w:rsidR="00871C14" w:rsidRPr="00871C14" w14:paraId="04ADAD7D" w14:textId="77777777" w:rsidTr="00871C14">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14:paraId="24FA2171" w14:textId="77777777" w:rsidR="00871C14" w:rsidRPr="00871C14" w:rsidRDefault="00871C14" w:rsidP="00871C14">
            <w:pPr>
              <w:jc w:val="both"/>
              <w:rPr>
                <w:b/>
                <w:bCs/>
                <w:lang w:eastAsia="en-US"/>
              </w:rPr>
            </w:pPr>
            <w:r w:rsidRPr="00871C14">
              <w:rPr>
                <w:b/>
                <w:bCs/>
                <w:lang w:eastAsia="en-US"/>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cPr>
          <w:p w14:paraId="2AE1C4C4" w14:textId="77777777" w:rsidR="00871C14" w:rsidRPr="00871C14" w:rsidRDefault="00871C14" w:rsidP="00871C14">
            <w:pPr>
              <w:jc w:val="both"/>
              <w:rPr>
                <w:b/>
                <w:bCs/>
                <w:lang w:eastAsia="en-US"/>
              </w:rPr>
            </w:pPr>
          </w:p>
        </w:tc>
        <w:tc>
          <w:tcPr>
            <w:tcW w:w="1540" w:type="dxa"/>
            <w:tcBorders>
              <w:top w:val="single" w:sz="4" w:space="0" w:color="auto"/>
              <w:left w:val="nil"/>
              <w:bottom w:val="single" w:sz="4" w:space="0" w:color="auto"/>
              <w:right w:val="single" w:sz="4" w:space="0" w:color="auto"/>
            </w:tcBorders>
            <w:shd w:val="clear" w:color="auto" w:fill="BFBFBF"/>
          </w:tcPr>
          <w:p w14:paraId="32466F71" w14:textId="77777777" w:rsidR="00871C14" w:rsidRPr="00871C14" w:rsidRDefault="00871C14" w:rsidP="00871C14">
            <w:pPr>
              <w:jc w:val="both"/>
              <w:rPr>
                <w:b/>
                <w:bCs/>
                <w:lang w:eastAsia="en-US"/>
              </w:rPr>
            </w:pPr>
            <w:r w:rsidRPr="00871C14">
              <w:rPr>
                <w:b/>
                <w:bCs/>
                <w:lang w:eastAsia="en-US"/>
              </w:rPr>
              <w:t>88 000</w:t>
            </w:r>
          </w:p>
        </w:tc>
        <w:tc>
          <w:tcPr>
            <w:tcW w:w="1540" w:type="dxa"/>
            <w:tcBorders>
              <w:top w:val="single" w:sz="4" w:space="0" w:color="auto"/>
              <w:left w:val="nil"/>
              <w:bottom w:val="single" w:sz="4" w:space="0" w:color="auto"/>
              <w:right w:val="single" w:sz="4" w:space="0" w:color="auto"/>
            </w:tcBorders>
            <w:shd w:val="clear" w:color="auto" w:fill="BFBFBF"/>
          </w:tcPr>
          <w:p w14:paraId="532E0C87" w14:textId="77777777" w:rsidR="00871C14" w:rsidRPr="00871C14" w:rsidRDefault="00871C14" w:rsidP="00871C14">
            <w:pPr>
              <w:jc w:val="both"/>
              <w:rPr>
                <w:b/>
                <w:bCs/>
                <w:lang w:eastAsia="en-US"/>
              </w:rPr>
            </w:pPr>
            <w:r w:rsidRPr="00871C14">
              <w:rPr>
                <w:b/>
                <w:bCs/>
                <w:lang w:eastAsia="en-US"/>
              </w:rPr>
              <w:t>0</w:t>
            </w:r>
          </w:p>
        </w:tc>
        <w:tc>
          <w:tcPr>
            <w:tcW w:w="1540" w:type="dxa"/>
            <w:tcBorders>
              <w:top w:val="single" w:sz="4" w:space="0" w:color="auto"/>
              <w:left w:val="nil"/>
              <w:bottom w:val="single" w:sz="4" w:space="0" w:color="auto"/>
              <w:right w:val="single" w:sz="4" w:space="0" w:color="auto"/>
            </w:tcBorders>
            <w:shd w:val="clear" w:color="auto" w:fill="BFBFBF"/>
          </w:tcPr>
          <w:p w14:paraId="28A38603" w14:textId="77777777" w:rsidR="00871C14" w:rsidRPr="00871C14" w:rsidRDefault="00871C14" w:rsidP="00871C14">
            <w:pPr>
              <w:jc w:val="both"/>
              <w:rPr>
                <w:b/>
                <w:bCs/>
                <w:lang w:eastAsia="en-US"/>
              </w:rPr>
            </w:pPr>
            <w:r w:rsidRPr="00871C14">
              <w:rPr>
                <w:b/>
                <w:bCs/>
                <w:lang w:eastAsia="en-US"/>
              </w:rPr>
              <w:t>0</w:t>
            </w:r>
          </w:p>
        </w:tc>
        <w:tc>
          <w:tcPr>
            <w:tcW w:w="2220" w:type="dxa"/>
            <w:tcBorders>
              <w:top w:val="single" w:sz="4" w:space="0" w:color="auto"/>
              <w:left w:val="nil"/>
              <w:bottom w:val="single" w:sz="4" w:space="0" w:color="auto"/>
              <w:right w:val="single" w:sz="4" w:space="0" w:color="auto"/>
            </w:tcBorders>
            <w:shd w:val="clear" w:color="auto" w:fill="BFBFBF"/>
            <w:noWrap/>
            <w:vAlign w:val="bottom"/>
          </w:tcPr>
          <w:p w14:paraId="2458FB4E" w14:textId="77777777" w:rsidR="00871C14" w:rsidRPr="00871C14" w:rsidRDefault="00871C14" w:rsidP="00871C14">
            <w:pPr>
              <w:jc w:val="both"/>
              <w:rPr>
                <w:lang w:eastAsia="en-US"/>
              </w:rPr>
            </w:pPr>
            <w:r w:rsidRPr="00871C14">
              <w:rPr>
                <w:lang w:eastAsia="en-US"/>
              </w:rPr>
              <w:t> </w:t>
            </w:r>
          </w:p>
        </w:tc>
      </w:tr>
    </w:tbl>
    <w:p w14:paraId="15E55932" w14:textId="77777777" w:rsidR="00871C14" w:rsidRPr="00871C14" w:rsidRDefault="00871C14" w:rsidP="00871C14">
      <w:pPr>
        <w:jc w:val="both"/>
        <w:rPr>
          <w:bCs/>
          <w:lang w:eastAsia="en-US"/>
        </w:rPr>
      </w:pPr>
      <w:r w:rsidRPr="00871C14">
        <w:rPr>
          <w:bCs/>
          <w:lang w:eastAsia="en-US"/>
        </w:rPr>
        <w:t>2 –  výdavky rozpísať až do položiek platnej ekonomickej klasifikácie</w:t>
      </w:r>
    </w:p>
    <w:p w14:paraId="1A9BA344" w14:textId="77777777" w:rsidR="00871C14" w:rsidRPr="00871C14" w:rsidRDefault="00871C14" w:rsidP="00871C14">
      <w:pPr>
        <w:jc w:val="both"/>
        <w:rPr>
          <w:bCs/>
          <w:lang w:eastAsia="en-US"/>
        </w:rPr>
      </w:pPr>
    </w:p>
    <w:p w14:paraId="5FD321D9" w14:textId="77777777" w:rsidR="00871C14" w:rsidRPr="00871C14" w:rsidRDefault="00871C14" w:rsidP="00871C14">
      <w:pPr>
        <w:jc w:val="both"/>
        <w:rPr>
          <w:b/>
          <w:bCs/>
          <w:lang w:eastAsia="en-US"/>
        </w:rPr>
      </w:pPr>
      <w:r w:rsidRPr="00871C14">
        <w:rPr>
          <w:b/>
          <w:bCs/>
          <w:lang w:eastAsia="en-US"/>
        </w:rPr>
        <w:t>Poznámka:</w:t>
      </w:r>
    </w:p>
    <w:p w14:paraId="41C659DF" w14:textId="77777777" w:rsidR="00871C14" w:rsidRPr="00871C14" w:rsidRDefault="00871C14" w:rsidP="00871C14">
      <w:pPr>
        <w:jc w:val="both"/>
        <w:rPr>
          <w:bCs/>
          <w:lang w:eastAsia="en-US"/>
        </w:rPr>
      </w:pPr>
      <w:r w:rsidRPr="00871C14">
        <w:rPr>
          <w:bCs/>
          <w:lang w:eastAsia="en-US"/>
        </w:rPr>
        <w:t>Ak sa vplyv týka viacerých subjektov verejnej správy, vypĺňa sa samostatná tabuľka za každý subjekt.</w:t>
      </w:r>
    </w:p>
    <w:p w14:paraId="7172AA42" w14:textId="77777777" w:rsidR="00871C14" w:rsidRPr="00871C14" w:rsidRDefault="00871C14" w:rsidP="00871C14">
      <w:pPr>
        <w:jc w:val="both"/>
        <w:rPr>
          <w:lang w:eastAsia="en-US"/>
        </w:rPr>
      </w:pPr>
      <w:r w:rsidRPr="00871C14">
        <w:rPr>
          <w:b/>
          <w:bCs/>
          <w:lang w:eastAsia="en-US"/>
        </w:rPr>
        <w:br w:type="page"/>
      </w:r>
    </w:p>
    <w:p w14:paraId="56FA958B" w14:textId="77777777" w:rsidR="00871C14" w:rsidRPr="00871C14" w:rsidRDefault="00871C14" w:rsidP="00871C14">
      <w:pPr>
        <w:tabs>
          <w:tab w:val="num" w:pos="1080"/>
        </w:tabs>
        <w:spacing w:before="120"/>
        <w:ind w:left="-900"/>
        <w:jc w:val="both"/>
        <w:rPr>
          <w:bCs/>
          <w:sz w:val="20"/>
          <w:szCs w:val="20"/>
          <w:lang w:eastAsia="sk-SK"/>
        </w:rPr>
      </w:pPr>
      <w:r w:rsidRPr="00871C14">
        <w:rPr>
          <w:bCs/>
          <w:sz w:val="20"/>
          <w:szCs w:val="20"/>
          <w:lang w:eastAsia="sk-SK"/>
        </w:rPr>
        <w:lastRenderedPageBreak/>
        <w:t>MV SR</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871C14" w:rsidRPr="00871C14" w14:paraId="6C64089C" w14:textId="77777777" w:rsidTr="00871C14">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6647E12B" w14:textId="77777777" w:rsidR="00871C14" w:rsidRPr="00871C14" w:rsidRDefault="00871C14" w:rsidP="00871C14">
            <w:pPr>
              <w:jc w:val="both"/>
              <w:rPr>
                <w:b/>
                <w:bCs/>
                <w:lang w:eastAsia="en-US"/>
              </w:rPr>
            </w:pPr>
            <w:r w:rsidRPr="00871C14">
              <w:rPr>
                <w:b/>
                <w:bCs/>
                <w:lang w:eastAsia="en-US"/>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cPr>
          <w:p w14:paraId="6E960922" w14:textId="77777777" w:rsidR="00871C14" w:rsidRPr="00871C14" w:rsidRDefault="00871C14" w:rsidP="00871C14">
            <w:pPr>
              <w:jc w:val="both"/>
              <w:rPr>
                <w:b/>
                <w:bCs/>
                <w:lang w:eastAsia="en-US"/>
              </w:rPr>
            </w:pPr>
            <w:r w:rsidRPr="00871C14">
              <w:rPr>
                <w:b/>
                <w:bCs/>
                <w:lang w:eastAsia="en-US"/>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0CE94761" w14:textId="77777777" w:rsidR="00871C14" w:rsidRPr="00871C14" w:rsidRDefault="00871C14" w:rsidP="00871C14">
            <w:pPr>
              <w:jc w:val="both"/>
              <w:rPr>
                <w:b/>
                <w:bCs/>
                <w:lang w:eastAsia="en-US"/>
              </w:rPr>
            </w:pPr>
            <w:r w:rsidRPr="00871C14">
              <w:rPr>
                <w:b/>
                <w:bCs/>
                <w:lang w:eastAsia="en-US"/>
              </w:rPr>
              <w:t>poznámka</w:t>
            </w:r>
          </w:p>
        </w:tc>
      </w:tr>
      <w:tr w:rsidR="00871C14" w:rsidRPr="00871C14" w14:paraId="5C8EE94E" w14:textId="77777777" w:rsidTr="00871C14">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54AB4799" w14:textId="77777777" w:rsidR="00871C14" w:rsidRPr="00871C14" w:rsidRDefault="00871C14" w:rsidP="00871C14">
            <w:pPr>
              <w:jc w:val="both"/>
              <w:rPr>
                <w:b/>
                <w:bCs/>
                <w:lang w:eastAsia="en-US"/>
              </w:rPr>
            </w:pPr>
          </w:p>
        </w:tc>
        <w:tc>
          <w:tcPr>
            <w:tcW w:w="1540" w:type="dxa"/>
            <w:tcBorders>
              <w:top w:val="nil"/>
              <w:left w:val="nil"/>
              <w:bottom w:val="single" w:sz="4" w:space="0" w:color="auto"/>
              <w:right w:val="single" w:sz="4" w:space="0" w:color="auto"/>
            </w:tcBorders>
            <w:shd w:val="clear" w:color="auto" w:fill="BFBFBF"/>
          </w:tcPr>
          <w:p w14:paraId="49E6AD65" w14:textId="77777777" w:rsidR="00871C14" w:rsidRPr="00871C14" w:rsidRDefault="00871C14" w:rsidP="00871C14">
            <w:pPr>
              <w:jc w:val="both"/>
              <w:rPr>
                <w:b/>
                <w:bCs/>
                <w:lang w:eastAsia="en-US"/>
              </w:rPr>
            </w:pPr>
            <w:r w:rsidRPr="00871C14">
              <w:rPr>
                <w:b/>
                <w:bCs/>
                <w:lang w:eastAsia="en-US"/>
              </w:rPr>
              <w:t>2022</w:t>
            </w:r>
          </w:p>
        </w:tc>
        <w:tc>
          <w:tcPr>
            <w:tcW w:w="1540" w:type="dxa"/>
            <w:tcBorders>
              <w:top w:val="nil"/>
              <w:left w:val="nil"/>
              <w:bottom w:val="single" w:sz="4" w:space="0" w:color="auto"/>
              <w:right w:val="single" w:sz="4" w:space="0" w:color="auto"/>
            </w:tcBorders>
            <w:shd w:val="clear" w:color="auto" w:fill="BFBFBF"/>
          </w:tcPr>
          <w:p w14:paraId="3196DC5A" w14:textId="77777777" w:rsidR="00871C14" w:rsidRPr="00871C14" w:rsidRDefault="00871C14" w:rsidP="00871C14">
            <w:pPr>
              <w:jc w:val="both"/>
              <w:rPr>
                <w:b/>
                <w:bCs/>
                <w:lang w:eastAsia="en-US"/>
              </w:rPr>
            </w:pPr>
            <w:r w:rsidRPr="00871C14">
              <w:rPr>
                <w:b/>
                <w:bCs/>
                <w:lang w:eastAsia="en-US"/>
              </w:rPr>
              <w:t>2023</w:t>
            </w:r>
          </w:p>
        </w:tc>
        <w:tc>
          <w:tcPr>
            <w:tcW w:w="1540" w:type="dxa"/>
            <w:tcBorders>
              <w:top w:val="nil"/>
              <w:left w:val="nil"/>
              <w:bottom w:val="single" w:sz="4" w:space="0" w:color="auto"/>
              <w:right w:val="single" w:sz="4" w:space="0" w:color="auto"/>
            </w:tcBorders>
            <w:shd w:val="clear" w:color="auto" w:fill="BFBFBF"/>
          </w:tcPr>
          <w:p w14:paraId="03902850" w14:textId="77777777" w:rsidR="00871C14" w:rsidRPr="00871C14" w:rsidRDefault="00871C14" w:rsidP="00871C14">
            <w:pPr>
              <w:jc w:val="both"/>
              <w:rPr>
                <w:b/>
                <w:bCs/>
                <w:lang w:eastAsia="en-US"/>
              </w:rPr>
            </w:pPr>
            <w:r w:rsidRPr="00871C14">
              <w:rPr>
                <w:b/>
                <w:bCs/>
                <w:lang w:eastAsia="en-US"/>
              </w:rPr>
              <w:t>2024</w:t>
            </w:r>
          </w:p>
        </w:tc>
        <w:tc>
          <w:tcPr>
            <w:tcW w:w="1540" w:type="dxa"/>
            <w:tcBorders>
              <w:top w:val="nil"/>
              <w:left w:val="nil"/>
              <w:bottom w:val="single" w:sz="4" w:space="0" w:color="auto"/>
              <w:right w:val="single" w:sz="4" w:space="0" w:color="auto"/>
            </w:tcBorders>
            <w:shd w:val="clear" w:color="auto" w:fill="BFBFBF"/>
          </w:tcPr>
          <w:p w14:paraId="4C6740B4" w14:textId="77777777" w:rsidR="00871C14" w:rsidRPr="00871C14" w:rsidRDefault="00871C14" w:rsidP="00871C14">
            <w:pPr>
              <w:jc w:val="both"/>
              <w:rPr>
                <w:b/>
                <w:bCs/>
                <w:lang w:eastAsia="en-US"/>
              </w:rPr>
            </w:pPr>
            <w:r w:rsidRPr="00871C14">
              <w:rPr>
                <w:b/>
                <w:bCs/>
                <w:lang w:eastAsia="en-US"/>
              </w:rPr>
              <w:t>2025</w:t>
            </w:r>
          </w:p>
        </w:tc>
        <w:tc>
          <w:tcPr>
            <w:tcW w:w="2220" w:type="dxa"/>
            <w:vMerge/>
            <w:tcBorders>
              <w:top w:val="single" w:sz="4" w:space="0" w:color="auto"/>
              <w:left w:val="single" w:sz="4" w:space="0" w:color="auto"/>
              <w:bottom w:val="single" w:sz="4" w:space="0" w:color="auto"/>
              <w:right w:val="single" w:sz="4" w:space="0" w:color="auto"/>
            </w:tcBorders>
            <w:vAlign w:val="center"/>
          </w:tcPr>
          <w:p w14:paraId="302A29B6" w14:textId="77777777" w:rsidR="00871C14" w:rsidRPr="00871C14" w:rsidRDefault="00871C14" w:rsidP="00871C14">
            <w:pPr>
              <w:jc w:val="both"/>
              <w:rPr>
                <w:b/>
                <w:bCs/>
                <w:lang w:eastAsia="en-US"/>
              </w:rPr>
            </w:pPr>
          </w:p>
        </w:tc>
      </w:tr>
      <w:tr w:rsidR="00871C14" w:rsidRPr="00871C14" w14:paraId="1A1AEFE2" w14:textId="77777777" w:rsidTr="00DA58E5">
        <w:trPr>
          <w:trHeight w:val="255"/>
        </w:trPr>
        <w:tc>
          <w:tcPr>
            <w:tcW w:w="7070" w:type="dxa"/>
            <w:tcBorders>
              <w:top w:val="nil"/>
              <w:left w:val="single" w:sz="4" w:space="0" w:color="auto"/>
              <w:bottom w:val="single" w:sz="4" w:space="0" w:color="auto"/>
              <w:right w:val="single" w:sz="4" w:space="0" w:color="auto"/>
            </w:tcBorders>
          </w:tcPr>
          <w:p w14:paraId="71994C65" w14:textId="77777777" w:rsidR="00871C14" w:rsidRPr="00871C14" w:rsidRDefault="00871C14" w:rsidP="00871C14">
            <w:pPr>
              <w:jc w:val="both"/>
              <w:rPr>
                <w:b/>
                <w:bCs/>
                <w:lang w:eastAsia="en-US"/>
              </w:rPr>
            </w:pPr>
            <w:r w:rsidRPr="00871C14">
              <w:rPr>
                <w:b/>
                <w:bCs/>
                <w:lang w:eastAsia="en-US"/>
              </w:rPr>
              <w:t>Bežné výdavky (600)</w:t>
            </w:r>
          </w:p>
        </w:tc>
        <w:tc>
          <w:tcPr>
            <w:tcW w:w="1540" w:type="dxa"/>
            <w:tcBorders>
              <w:top w:val="nil"/>
              <w:left w:val="nil"/>
              <w:bottom w:val="single" w:sz="4" w:space="0" w:color="auto"/>
              <w:right w:val="single" w:sz="4" w:space="0" w:color="auto"/>
            </w:tcBorders>
          </w:tcPr>
          <w:p w14:paraId="2114B096" w14:textId="77777777" w:rsidR="00871C14" w:rsidRPr="00871C14" w:rsidRDefault="00871C14" w:rsidP="00871C14">
            <w:pPr>
              <w:jc w:val="both"/>
              <w:rPr>
                <w:b/>
                <w:bCs/>
                <w:lang w:eastAsia="en-US"/>
              </w:rPr>
            </w:pPr>
          </w:p>
        </w:tc>
        <w:tc>
          <w:tcPr>
            <w:tcW w:w="1540" w:type="dxa"/>
            <w:tcBorders>
              <w:top w:val="nil"/>
              <w:left w:val="nil"/>
              <w:bottom w:val="single" w:sz="4" w:space="0" w:color="auto"/>
              <w:right w:val="single" w:sz="4" w:space="0" w:color="auto"/>
            </w:tcBorders>
          </w:tcPr>
          <w:p w14:paraId="31C72191" w14:textId="77777777" w:rsidR="00871C14" w:rsidRPr="00871C14" w:rsidRDefault="00871C14" w:rsidP="00871C14">
            <w:pPr>
              <w:jc w:val="both"/>
              <w:rPr>
                <w:b/>
                <w:bCs/>
                <w:lang w:eastAsia="en-US"/>
              </w:rPr>
            </w:pPr>
          </w:p>
        </w:tc>
        <w:tc>
          <w:tcPr>
            <w:tcW w:w="1540" w:type="dxa"/>
            <w:tcBorders>
              <w:top w:val="nil"/>
              <w:left w:val="nil"/>
              <w:bottom w:val="single" w:sz="4" w:space="0" w:color="auto"/>
              <w:right w:val="single" w:sz="4" w:space="0" w:color="auto"/>
            </w:tcBorders>
          </w:tcPr>
          <w:p w14:paraId="3F5F7E8F" w14:textId="77777777" w:rsidR="00871C14" w:rsidRPr="00871C14" w:rsidRDefault="00871C14" w:rsidP="00871C14">
            <w:pPr>
              <w:jc w:val="both"/>
              <w:rPr>
                <w:b/>
                <w:bCs/>
                <w:lang w:eastAsia="en-US"/>
              </w:rPr>
            </w:pPr>
          </w:p>
        </w:tc>
        <w:tc>
          <w:tcPr>
            <w:tcW w:w="1540" w:type="dxa"/>
            <w:tcBorders>
              <w:top w:val="nil"/>
              <w:left w:val="nil"/>
              <w:bottom w:val="single" w:sz="4" w:space="0" w:color="auto"/>
              <w:right w:val="single" w:sz="4" w:space="0" w:color="auto"/>
            </w:tcBorders>
          </w:tcPr>
          <w:p w14:paraId="4D870758" w14:textId="77777777" w:rsidR="00871C14" w:rsidRPr="00871C14" w:rsidRDefault="00871C14" w:rsidP="00871C14">
            <w:pPr>
              <w:jc w:val="both"/>
              <w:rPr>
                <w:b/>
                <w:bCs/>
                <w:lang w:eastAsia="en-US"/>
              </w:rPr>
            </w:pPr>
          </w:p>
        </w:tc>
        <w:tc>
          <w:tcPr>
            <w:tcW w:w="2220" w:type="dxa"/>
            <w:tcBorders>
              <w:top w:val="nil"/>
              <w:left w:val="nil"/>
              <w:bottom w:val="single" w:sz="4" w:space="0" w:color="auto"/>
              <w:right w:val="single" w:sz="4" w:space="0" w:color="auto"/>
            </w:tcBorders>
            <w:noWrap/>
            <w:vAlign w:val="bottom"/>
          </w:tcPr>
          <w:p w14:paraId="50319B2D" w14:textId="77777777" w:rsidR="00871C14" w:rsidRPr="00871C14" w:rsidRDefault="00871C14" w:rsidP="00871C14">
            <w:pPr>
              <w:jc w:val="both"/>
              <w:rPr>
                <w:lang w:eastAsia="en-US"/>
              </w:rPr>
            </w:pPr>
            <w:r w:rsidRPr="00871C14">
              <w:rPr>
                <w:lang w:eastAsia="en-US"/>
              </w:rPr>
              <w:t> </w:t>
            </w:r>
          </w:p>
        </w:tc>
      </w:tr>
      <w:tr w:rsidR="00871C14" w:rsidRPr="00871C14" w14:paraId="16974F80" w14:textId="77777777" w:rsidTr="00DA58E5">
        <w:trPr>
          <w:trHeight w:val="255"/>
        </w:trPr>
        <w:tc>
          <w:tcPr>
            <w:tcW w:w="7070" w:type="dxa"/>
            <w:tcBorders>
              <w:top w:val="nil"/>
              <w:left w:val="single" w:sz="4" w:space="0" w:color="auto"/>
              <w:bottom w:val="single" w:sz="4" w:space="0" w:color="auto"/>
              <w:right w:val="single" w:sz="4" w:space="0" w:color="auto"/>
            </w:tcBorders>
          </w:tcPr>
          <w:p w14:paraId="16715F1C" w14:textId="77777777" w:rsidR="00871C14" w:rsidRPr="00871C14" w:rsidRDefault="00871C14" w:rsidP="00871C14">
            <w:pPr>
              <w:jc w:val="both"/>
              <w:rPr>
                <w:lang w:eastAsia="en-US"/>
              </w:rPr>
            </w:pPr>
            <w:r w:rsidRPr="00871C14">
              <w:rPr>
                <w:lang w:eastAsia="en-US"/>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165A7CE2"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2875970F"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4230F3B0"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6B018D96" w14:textId="77777777" w:rsidR="00871C14" w:rsidRPr="00871C14" w:rsidRDefault="00871C14" w:rsidP="00871C14">
            <w:pPr>
              <w:jc w:val="both"/>
              <w:rPr>
                <w:lang w:eastAsia="en-US"/>
              </w:rPr>
            </w:pPr>
          </w:p>
        </w:tc>
        <w:tc>
          <w:tcPr>
            <w:tcW w:w="2220" w:type="dxa"/>
            <w:tcBorders>
              <w:top w:val="nil"/>
              <w:left w:val="nil"/>
              <w:bottom w:val="single" w:sz="4" w:space="0" w:color="auto"/>
              <w:right w:val="single" w:sz="4" w:space="0" w:color="auto"/>
            </w:tcBorders>
            <w:noWrap/>
            <w:vAlign w:val="bottom"/>
          </w:tcPr>
          <w:p w14:paraId="35A1ADDA" w14:textId="77777777" w:rsidR="00871C14" w:rsidRPr="00871C14" w:rsidRDefault="00871C14" w:rsidP="00871C14">
            <w:pPr>
              <w:jc w:val="both"/>
              <w:rPr>
                <w:lang w:eastAsia="en-US"/>
              </w:rPr>
            </w:pPr>
            <w:r w:rsidRPr="00871C14">
              <w:rPr>
                <w:lang w:eastAsia="en-US"/>
              </w:rPr>
              <w:t> </w:t>
            </w:r>
          </w:p>
        </w:tc>
      </w:tr>
      <w:tr w:rsidR="00871C14" w:rsidRPr="00871C14" w14:paraId="6C4509F3" w14:textId="77777777" w:rsidTr="00DA58E5">
        <w:trPr>
          <w:trHeight w:val="255"/>
        </w:trPr>
        <w:tc>
          <w:tcPr>
            <w:tcW w:w="7070" w:type="dxa"/>
            <w:tcBorders>
              <w:top w:val="nil"/>
              <w:left w:val="single" w:sz="4" w:space="0" w:color="auto"/>
              <w:bottom w:val="single" w:sz="4" w:space="0" w:color="auto"/>
              <w:right w:val="single" w:sz="4" w:space="0" w:color="auto"/>
            </w:tcBorders>
          </w:tcPr>
          <w:p w14:paraId="45D1AA08" w14:textId="77777777" w:rsidR="00871C14" w:rsidRPr="00871C14" w:rsidRDefault="00871C14" w:rsidP="00871C14">
            <w:pPr>
              <w:jc w:val="both"/>
              <w:rPr>
                <w:vertAlign w:val="superscript"/>
                <w:lang w:eastAsia="en-US"/>
              </w:rPr>
            </w:pPr>
            <w:r w:rsidRPr="00871C14">
              <w:rPr>
                <w:lang w:eastAsia="en-US"/>
              </w:rPr>
              <w:t xml:space="preserve">  Poistné a príspevok do poisťovní (620)</w:t>
            </w:r>
          </w:p>
        </w:tc>
        <w:tc>
          <w:tcPr>
            <w:tcW w:w="1540" w:type="dxa"/>
            <w:tcBorders>
              <w:top w:val="nil"/>
              <w:left w:val="nil"/>
              <w:bottom w:val="single" w:sz="4" w:space="0" w:color="auto"/>
              <w:right w:val="single" w:sz="4" w:space="0" w:color="auto"/>
            </w:tcBorders>
          </w:tcPr>
          <w:p w14:paraId="1774C828"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762F5270"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107A7D77"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462BEB90" w14:textId="77777777" w:rsidR="00871C14" w:rsidRPr="00871C14" w:rsidRDefault="00871C14" w:rsidP="00871C14">
            <w:pPr>
              <w:jc w:val="both"/>
              <w:rPr>
                <w:lang w:eastAsia="en-US"/>
              </w:rPr>
            </w:pPr>
          </w:p>
        </w:tc>
        <w:tc>
          <w:tcPr>
            <w:tcW w:w="2220" w:type="dxa"/>
            <w:tcBorders>
              <w:top w:val="nil"/>
              <w:left w:val="nil"/>
              <w:bottom w:val="single" w:sz="4" w:space="0" w:color="auto"/>
              <w:right w:val="single" w:sz="4" w:space="0" w:color="auto"/>
            </w:tcBorders>
            <w:noWrap/>
            <w:vAlign w:val="bottom"/>
          </w:tcPr>
          <w:p w14:paraId="1DF8C908" w14:textId="77777777" w:rsidR="00871C14" w:rsidRPr="00871C14" w:rsidRDefault="00871C14" w:rsidP="00871C14">
            <w:pPr>
              <w:jc w:val="both"/>
              <w:rPr>
                <w:lang w:eastAsia="en-US"/>
              </w:rPr>
            </w:pPr>
            <w:r w:rsidRPr="00871C14">
              <w:rPr>
                <w:lang w:eastAsia="en-US"/>
              </w:rPr>
              <w:t> </w:t>
            </w:r>
          </w:p>
        </w:tc>
      </w:tr>
      <w:tr w:rsidR="00871C14" w:rsidRPr="00871C14" w14:paraId="5376B543" w14:textId="77777777" w:rsidTr="00DA58E5">
        <w:trPr>
          <w:trHeight w:val="255"/>
        </w:trPr>
        <w:tc>
          <w:tcPr>
            <w:tcW w:w="7070" w:type="dxa"/>
            <w:tcBorders>
              <w:top w:val="nil"/>
              <w:left w:val="single" w:sz="4" w:space="0" w:color="auto"/>
              <w:bottom w:val="single" w:sz="4" w:space="0" w:color="auto"/>
              <w:right w:val="single" w:sz="4" w:space="0" w:color="auto"/>
            </w:tcBorders>
          </w:tcPr>
          <w:p w14:paraId="2F9BAB83" w14:textId="77777777" w:rsidR="00871C14" w:rsidRPr="00871C14" w:rsidRDefault="00871C14" w:rsidP="00871C14">
            <w:pPr>
              <w:jc w:val="both"/>
              <w:rPr>
                <w:vertAlign w:val="superscript"/>
                <w:lang w:eastAsia="en-US"/>
              </w:rPr>
            </w:pPr>
            <w:r w:rsidRPr="00871C14">
              <w:rPr>
                <w:lang w:eastAsia="en-US"/>
              </w:rPr>
              <w:t xml:space="preserve">  Tovary a služby (630)</w:t>
            </w:r>
            <w:r w:rsidRPr="00871C14">
              <w:rPr>
                <w:vertAlign w:val="superscript"/>
                <w:lang w:eastAsia="en-US"/>
              </w:rPr>
              <w:t>2</w:t>
            </w:r>
          </w:p>
        </w:tc>
        <w:tc>
          <w:tcPr>
            <w:tcW w:w="1540" w:type="dxa"/>
            <w:tcBorders>
              <w:top w:val="nil"/>
              <w:left w:val="nil"/>
              <w:bottom w:val="single" w:sz="4" w:space="0" w:color="auto"/>
              <w:right w:val="single" w:sz="4" w:space="0" w:color="auto"/>
            </w:tcBorders>
          </w:tcPr>
          <w:p w14:paraId="020F7A5D"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26D5F6FC"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7970FA09"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7E352FF7" w14:textId="77777777" w:rsidR="00871C14" w:rsidRPr="00871C14" w:rsidRDefault="00871C14" w:rsidP="00871C14">
            <w:pPr>
              <w:jc w:val="both"/>
              <w:rPr>
                <w:lang w:eastAsia="en-US"/>
              </w:rPr>
            </w:pPr>
          </w:p>
        </w:tc>
        <w:tc>
          <w:tcPr>
            <w:tcW w:w="2220" w:type="dxa"/>
            <w:tcBorders>
              <w:top w:val="nil"/>
              <w:left w:val="nil"/>
              <w:bottom w:val="single" w:sz="4" w:space="0" w:color="auto"/>
              <w:right w:val="single" w:sz="4" w:space="0" w:color="auto"/>
            </w:tcBorders>
            <w:noWrap/>
            <w:vAlign w:val="bottom"/>
          </w:tcPr>
          <w:p w14:paraId="597E0AF1" w14:textId="77777777" w:rsidR="00871C14" w:rsidRPr="00871C14" w:rsidRDefault="00871C14" w:rsidP="00871C14">
            <w:pPr>
              <w:jc w:val="both"/>
              <w:rPr>
                <w:lang w:eastAsia="en-US"/>
              </w:rPr>
            </w:pPr>
            <w:r w:rsidRPr="00871C14">
              <w:rPr>
                <w:lang w:eastAsia="en-US"/>
              </w:rPr>
              <w:t> </w:t>
            </w:r>
          </w:p>
        </w:tc>
      </w:tr>
      <w:tr w:rsidR="00871C14" w:rsidRPr="00871C14" w14:paraId="14C7E602" w14:textId="77777777" w:rsidTr="00DA58E5">
        <w:trPr>
          <w:trHeight w:val="255"/>
        </w:trPr>
        <w:tc>
          <w:tcPr>
            <w:tcW w:w="7070" w:type="dxa"/>
            <w:tcBorders>
              <w:top w:val="nil"/>
              <w:left w:val="single" w:sz="4" w:space="0" w:color="auto"/>
              <w:bottom w:val="single" w:sz="4" w:space="0" w:color="auto"/>
              <w:right w:val="single" w:sz="4" w:space="0" w:color="auto"/>
            </w:tcBorders>
          </w:tcPr>
          <w:p w14:paraId="0C14B2E5" w14:textId="77777777" w:rsidR="00871C14" w:rsidRPr="00871C14" w:rsidRDefault="00871C14" w:rsidP="00871C14">
            <w:pPr>
              <w:jc w:val="both"/>
              <w:rPr>
                <w:lang w:eastAsia="en-US"/>
              </w:rPr>
            </w:pPr>
            <w:r w:rsidRPr="00871C14">
              <w:rPr>
                <w:lang w:eastAsia="en-US"/>
              </w:rPr>
              <w:t xml:space="preserve">  Bežné transfery (640)</w:t>
            </w:r>
            <w:r w:rsidRPr="00871C14">
              <w:rPr>
                <w:vertAlign w:val="superscript"/>
                <w:lang w:eastAsia="en-US"/>
              </w:rPr>
              <w:t>2</w:t>
            </w:r>
          </w:p>
        </w:tc>
        <w:tc>
          <w:tcPr>
            <w:tcW w:w="1540" w:type="dxa"/>
            <w:tcBorders>
              <w:top w:val="nil"/>
              <w:left w:val="nil"/>
              <w:bottom w:val="single" w:sz="4" w:space="0" w:color="auto"/>
              <w:right w:val="single" w:sz="4" w:space="0" w:color="auto"/>
            </w:tcBorders>
          </w:tcPr>
          <w:p w14:paraId="111FAFB8"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07A4E5FC"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5C17BA9A"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155E9FC8" w14:textId="77777777" w:rsidR="00871C14" w:rsidRPr="00871C14" w:rsidRDefault="00871C14" w:rsidP="00871C14">
            <w:pPr>
              <w:jc w:val="both"/>
              <w:rPr>
                <w:lang w:eastAsia="en-US"/>
              </w:rPr>
            </w:pPr>
          </w:p>
        </w:tc>
        <w:tc>
          <w:tcPr>
            <w:tcW w:w="2220" w:type="dxa"/>
            <w:tcBorders>
              <w:top w:val="nil"/>
              <w:left w:val="nil"/>
              <w:bottom w:val="single" w:sz="4" w:space="0" w:color="auto"/>
              <w:right w:val="single" w:sz="4" w:space="0" w:color="auto"/>
            </w:tcBorders>
            <w:noWrap/>
            <w:vAlign w:val="bottom"/>
          </w:tcPr>
          <w:p w14:paraId="6A247C78" w14:textId="77777777" w:rsidR="00871C14" w:rsidRPr="00871C14" w:rsidRDefault="00871C14" w:rsidP="00871C14">
            <w:pPr>
              <w:jc w:val="both"/>
              <w:rPr>
                <w:lang w:eastAsia="en-US"/>
              </w:rPr>
            </w:pPr>
            <w:r w:rsidRPr="00871C14">
              <w:rPr>
                <w:lang w:eastAsia="en-US"/>
              </w:rPr>
              <w:t> </w:t>
            </w:r>
          </w:p>
        </w:tc>
      </w:tr>
      <w:tr w:rsidR="00871C14" w:rsidRPr="00871C14" w14:paraId="1E2320D3" w14:textId="77777777" w:rsidTr="00DA58E5">
        <w:trPr>
          <w:trHeight w:val="255"/>
        </w:trPr>
        <w:tc>
          <w:tcPr>
            <w:tcW w:w="7070" w:type="dxa"/>
            <w:tcBorders>
              <w:top w:val="nil"/>
              <w:left w:val="single" w:sz="4" w:space="0" w:color="auto"/>
              <w:bottom w:val="single" w:sz="4" w:space="0" w:color="auto"/>
              <w:right w:val="single" w:sz="4" w:space="0" w:color="auto"/>
            </w:tcBorders>
            <w:vAlign w:val="center"/>
          </w:tcPr>
          <w:p w14:paraId="53CF891B" w14:textId="77777777" w:rsidR="00871C14" w:rsidRPr="00871C14" w:rsidRDefault="00871C14" w:rsidP="00871C14">
            <w:pPr>
              <w:jc w:val="both"/>
              <w:rPr>
                <w:lang w:eastAsia="en-US"/>
              </w:rPr>
            </w:pPr>
            <w:r w:rsidRPr="00871C14">
              <w:rPr>
                <w:lang w:eastAsia="en-US"/>
              </w:rPr>
              <w:t xml:space="preserve">  Splácanie úrokov a ostatné platby súvisiace s  úverom, pôžičkou, návratnou finančnou výpomocou a finančným prenájmom (650)</w:t>
            </w:r>
            <w:r w:rsidRPr="00871C14">
              <w:rPr>
                <w:vertAlign w:val="superscript"/>
                <w:lang w:eastAsia="en-US"/>
              </w:rPr>
              <w:t>2</w:t>
            </w:r>
          </w:p>
        </w:tc>
        <w:tc>
          <w:tcPr>
            <w:tcW w:w="1540" w:type="dxa"/>
            <w:tcBorders>
              <w:top w:val="nil"/>
              <w:left w:val="nil"/>
              <w:bottom w:val="single" w:sz="4" w:space="0" w:color="auto"/>
              <w:right w:val="single" w:sz="4" w:space="0" w:color="auto"/>
            </w:tcBorders>
          </w:tcPr>
          <w:p w14:paraId="5BCBBB5B"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31DF7723"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64EA54D3"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0CC51E10" w14:textId="77777777" w:rsidR="00871C14" w:rsidRPr="00871C14" w:rsidRDefault="00871C14" w:rsidP="00871C14">
            <w:pPr>
              <w:jc w:val="both"/>
              <w:rPr>
                <w:lang w:eastAsia="en-US"/>
              </w:rPr>
            </w:pPr>
          </w:p>
        </w:tc>
        <w:tc>
          <w:tcPr>
            <w:tcW w:w="2220" w:type="dxa"/>
            <w:tcBorders>
              <w:top w:val="nil"/>
              <w:left w:val="nil"/>
              <w:bottom w:val="single" w:sz="4" w:space="0" w:color="auto"/>
              <w:right w:val="single" w:sz="4" w:space="0" w:color="auto"/>
            </w:tcBorders>
            <w:noWrap/>
            <w:vAlign w:val="bottom"/>
          </w:tcPr>
          <w:p w14:paraId="011F0583" w14:textId="77777777" w:rsidR="00871C14" w:rsidRPr="00871C14" w:rsidRDefault="00871C14" w:rsidP="00871C14">
            <w:pPr>
              <w:jc w:val="both"/>
              <w:rPr>
                <w:lang w:eastAsia="en-US"/>
              </w:rPr>
            </w:pPr>
          </w:p>
        </w:tc>
      </w:tr>
      <w:tr w:rsidR="00871C14" w:rsidRPr="00871C14" w14:paraId="5369CD01" w14:textId="77777777" w:rsidTr="00DA58E5">
        <w:trPr>
          <w:trHeight w:val="255"/>
        </w:trPr>
        <w:tc>
          <w:tcPr>
            <w:tcW w:w="7070" w:type="dxa"/>
            <w:tcBorders>
              <w:top w:val="nil"/>
              <w:left w:val="single" w:sz="4" w:space="0" w:color="auto"/>
              <w:bottom w:val="single" w:sz="4" w:space="0" w:color="auto"/>
              <w:right w:val="single" w:sz="4" w:space="0" w:color="auto"/>
            </w:tcBorders>
          </w:tcPr>
          <w:p w14:paraId="44AEF4E7" w14:textId="77777777" w:rsidR="00871C14" w:rsidRPr="00871C14" w:rsidRDefault="00871C14" w:rsidP="00871C14">
            <w:pPr>
              <w:jc w:val="both"/>
              <w:rPr>
                <w:b/>
                <w:bCs/>
                <w:lang w:eastAsia="en-US"/>
              </w:rPr>
            </w:pPr>
            <w:r w:rsidRPr="00871C14">
              <w:rPr>
                <w:b/>
                <w:bCs/>
                <w:lang w:eastAsia="en-US"/>
              </w:rPr>
              <w:t>Kapitálové výdavky (700)</w:t>
            </w:r>
          </w:p>
        </w:tc>
        <w:tc>
          <w:tcPr>
            <w:tcW w:w="1540" w:type="dxa"/>
            <w:tcBorders>
              <w:top w:val="nil"/>
              <w:left w:val="nil"/>
              <w:bottom w:val="single" w:sz="4" w:space="0" w:color="auto"/>
              <w:right w:val="single" w:sz="4" w:space="0" w:color="auto"/>
            </w:tcBorders>
          </w:tcPr>
          <w:p w14:paraId="06F61461" w14:textId="77777777" w:rsidR="00871C14" w:rsidRPr="00871C14" w:rsidRDefault="00871C14" w:rsidP="00871C14">
            <w:pPr>
              <w:jc w:val="both"/>
              <w:rPr>
                <w:b/>
                <w:bCs/>
                <w:lang w:eastAsia="en-US"/>
              </w:rPr>
            </w:pPr>
          </w:p>
        </w:tc>
        <w:tc>
          <w:tcPr>
            <w:tcW w:w="1540" w:type="dxa"/>
            <w:tcBorders>
              <w:top w:val="nil"/>
              <w:left w:val="nil"/>
              <w:bottom w:val="single" w:sz="4" w:space="0" w:color="auto"/>
              <w:right w:val="single" w:sz="4" w:space="0" w:color="auto"/>
            </w:tcBorders>
          </w:tcPr>
          <w:p w14:paraId="29788FED" w14:textId="77777777" w:rsidR="00871C14" w:rsidRPr="00871C14" w:rsidRDefault="00871C14" w:rsidP="00871C14">
            <w:pPr>
              <w:jc w:val="both"/>
              <w:rPr>
                <w:b/>
                <w:bCs/>
                <w:lang w:eastAsia="en-US"/>
              </w:rPr>
            </w:pPr>
            <w:r w:rsidRPr="00871C14">
              <w:rPr>
                <w:b/>
                <w:bCs/>
                <w:lang w:eastAsia="en-US"/>
              </w:rPr>
              <w:t>100 000</w:t>
            </w:r>
          </w:p>
        </w:tc>
        <w:tc>
          <w:tcPr>
            <w:tcW w:w="1540" w:type="dxa"/>
            <w:tcBorders>
              <w:top w:val="nil"/>
              <w:left w:val="nil"/>
              <w:bottom w:val="single" w:sz="4" w:space="0" w:color="auto"/>
              <w:right w:val="single" w:sz="4" w:space="0" w:color="auto"/>
            </w:tcBorders>
          </w:tcPr>
          <w:p w14:paraId="113643E7" w14:textId="77777777" w:rsidR="00871C14" w:rsidRPr="00871C14" w:rsidRDefault="00871C14" w:rsidP="00871C14">
            <w:pPr>
              <w:jc w:val="both"/>
              <w:rPr>
                <w:b/>
                <w:bCs/>
                <w:lang w:eastAsia="en-US"/>
              </w:rPr>
            </w:pPr>
            <w:r w:rsidRPr="00871C14">
              <w:rPr>
                <w:b/>
                <w:bCs/>
                <w:lang w:eastAsia="en-US"/>
              </w:rPr>
              <w:t>0</w:t>
            </w:r>
          </w:p>
        </w:tc>
        <w:tc>
          <w:tcPr>
            <w:tcW w:w="1540" w:type="dxa"/>
            <w:tcBorders>
              <w:top w:val="nil"/>
              <w:left w:val="nil"/>
              <w:bottom w:val="single" w:sz="4" w:space="0" w:color="auto"/>
              <w:right w:val="single" w:sz="4" w:space="0" w:color="auto"/>
            </w:tcBorders>
          </w:tcPr>
          <w:p w14:paraId="69D7AF5C" w14:textId="77777777" w:rsidR="00871C14" w:rsidRPr="00871C14" w:rsidRDefault="00871C14" w:rsidP="00871C14">
            <w:pPr>
              <w:jc w:val="both"/>
              <w:rPr>
                <w:b/>
                <w:bCs/>
                <w:lang w:eastAsia="en-US"/>
              </w:rPr>
            </w:pPr>
            <w:r w:rsidRPr="00871C14">
              <w:rPr>
                <w:b/>
                <w:bCs/>
                <w:lang w:eastAsia="en-US"/>
              </w:rPr>
              <w:t>0</w:t>
            </w:r>
          </w:p>
        </w:tc>
        <w:tc>
          <w:tcPr>
            <w:tcW w:w="2220" w:type="dxa"/>
            <w:tcBorders>
              <w:top w:val="nil"/>
              <w:left w:val="nil"/>
              <w:bottom w:val="single" w:sz="4" w:space="0" w:color="auto"/>
              <w:right w:val="single" w:sz="4" w:space="0" w:color="auto"/>
            </w:tcBorders>
            <w:noWrap/>
            <w:vAlign w:val="bottom"/>
          </w:tcPr>
          <w:p w14:paraId="126F5057" w14:textId="77777777" w:rsidR="00871C14" w:rsidRPr="00871C14" w:rsidRDefault="00871C14" w:rsidP="00871C14">
            <w:pPr>
              <w:jc w:val="both"/>
              <w:rPr>
                <w:lang w:eastAsia="en-US"/>
              </w:rPr>
            </w:pPr>
            <w:r w:rsidRPr="00871C14">
              <w:rPr>
                <w:lang w:eastAsia="en-US"/>
              </w:rPr>
              <w:t> </w:t>
            </w:r>
          </w:p>
        </w:tc>
      </w:tr>
      <w:tr w:rsidR="00871C14" w:rsidRPr="00871C14" w14:paraId="77A41E68" w14:textId="77777777" w:rsidTr="00DA58E5">
        <w:trPr>
          <w:trHeight w:val="255"/>
        </w:trPr>
        <w:tc>
          <w:tcPr>
            <w:tcW w:w="7070" w:type="dxa"/>
            <w:tcBorders>
              <w:top w:val="nil"/>
              <w:left w:val="single" w:sz="4" w:space="0" w:color="auto"/>
              <w:bottom w:val="single" w:sz="4" w:space="0" w:color="auto"/>
              <w:right w:val="single" w:sz="4" w:space="0" w:color="auto"/>
            </w:tcBorders>
          </w:tcPr>
          <w:p w14:paraId="1CEA906F" w14:textId="77777777" w:rsidR="00871C14" w:rsidRPr="00871C14" w:rsidRDefault="00871C14" w:rsidP="00871C14">
            <w:pPr>
              <w:jc w:val="both"/>
              <w:rPr>
                <w:lang w:eastAsia="en-US"/>
              </w:rPr>
            </w:pPr>
            <w:r w:rsidRPr="00871C14">
              <w:rPr>
                <w:lang w:eastAsia="en-US"/>
              </w:rPr>
              <w:t xml:space="preserve">  Obstarávanie kapitálových aktív (710)</w:t>
            </w:r>
            <w:r w:rsidRPr="00871C14">
              <w:rPr>
                <w:vertAlign w:val="superscript"/>
                <w:lang w:eastAsia="en-US"/>
              </w:rPr>
              <w:t>2</w:t>
            </w:r>
          </w:p>
        </w:tc>
        <w:tc>
          <w:tcPr>
            <w:tcW w:w="1540" w:type="dxa"/>
            <w:tcBorders>
              <w:top w:val="nil"/>
              <w:left w:val="nil"/>
              <w:bottom w:val="single" w:sz="4" w:space="0" w:color="auto"/>
              <w:right w:val="single" w:sz="4" w:space="0" w:color="auto"/>
            </w:tcBorders>
          </w:tcPr>
          <w:p w14:paraId="6DB3A978"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207954CF" w14:textId="77777777" w:rsidR="00871C14" w:rsidRPr="00871C14" w:rsidRDefault="00871C14" w:rsidP="00871C14">
            <w:pPr>
              <w:jc w:val="both"/>
              <w:rPr>
                <w:lang w:eastAsia="en-US"/>
              </w:rPr>
            </w:pPr>
            <w:r w:rsidRPr="00871C14">
              <w:rPr>
                <w:lang w:eastAsia="en-US"/>
              </w:rPr>
              <w:t>100 000</w:t>
            </w:r>
          </w:p>
        </w:tc>
        <w:tc>
          <w:tcPr>
            <w:tcW w:w="1540" w:type="dxa"/>
            <w:tcBorders>
              <w:top w:val="nil"/>
              <w:left w:val="nil"/>
              <w:bottom w:val="single" w:sz="4" w:space="0" w:color="auto"/>
              <w:right w:val="single" w:sz="4" w:space="0" w:color="auto"/>
            </w:tcBorders>
          </w:tcPr>
          <w:p w14:paraId="69B7588C" w14:textId="77777777" w:rsidR="00871C14" w:rsidRPr="00871C14" w:rsidRDefault="00871C14" w:rsidP="00871C14">
            <w:pPr>
              <w:jc w:val="both"/>
              <w:rPr>
                <w:lang w:eastAsia="en-US"/>
              </w:rPr>
            </w:pPr>
            <w:r w:rsidRPr="00871C14">
              <w:rPr>
                <w:lang w:eastAsia="en-US"/>
              </w:rPr>
              <w:t>0</w:t>
            </w:r>
          </w:p>
        </w:tc>
        <w:tc>
          <w:tcPr>
            <w:tcW w:w="1540" w:type="dxa"/>
            <w:tcBorders>
              <w:top w:val="nil"/>
              <w:left w:val="nil"/>
              <w:bottom w:val="single" w:sz="4" w:space="0" w:color="auto"/>
              <w:right w:val="single" w:sz="4" w:space="0" w:color="auto"/>
            </w:tcBorders>
          </w:tcPr>
          <w:p w14:paraId="39CCDA69" w14:textId="77777777" w:rsidR="00871C14" w:rsidRPr="00871C14" w:rsidRDefault="00871C14" w:rsidP="00871C14">
            <w:pPr>
              <w:jc w:val="both"/>
              <w:rPr>
                <w:lang w:eastAsia="en-US"/>
              </w:rPr>
            </w:pPr>
            <w:r w:rsidRPr="00871C14">
              <w:rPr>
                <w:lang w:eastAsia="en-US"/>
              </w:rPr>
              <w:t>0</w:t>
            </w:r>
          </w:p>
        </w:tc>
        <w:tc>
          <w:tcPr>
            <w:tcW w:w="2220" w:type="dxa"/>
            <w:tcBorders>
              <w:top w:val="nil"/>
              <w:left w:val="nil"/>
              <w:bottom w:val="single" w:sz="4" w:space="0" w:color="auto"/>
              <w:right w:val="single" w:sz="4" w:space="0" w:color="auto"/>
            </w:tcBorders>
            <w:noWrap/>
            <w:vAlign w:val="bottom"/>
          </w:tcPr>
          <w:p w14:paraId="02E3C909" w14:textId="77777777" w:rsidR="00871C14" w:rsidRPr="00871C14" w:rsidRDefault="00871C14" w:rsidP="00871C14">
            <w:pPr>
              <w:jc w:val="both"/>
              <w:rPr>
                <w:lang w:eastAsia="en-US"/>
              </w:rPr>
            </w:pPr>
            <w:r w:rsidRPr="00871C14">
              <w:rPr>
                <w:lang w:eastAsia="en-US"/>
              </w:rPr>
              <w:t> </w:t>
            </w:r>
          </w:p>
        </w:tc>
      </w:tr>
      <w:tr w:rsidR="00871C14" w:rsidRPr="00871C14" w14:paraId="28FEAE99" w14:textId="77777777" w:rsidTr="00DA58E5">
        <w:trPr>
          <w:trHeight w:val="255"/>
        </w:trPr>
        <w:tc>
          <w:tcPr>
            <w:tcW w:w="7070" w:type="dxa"/>
            <w:tcBorders>
              <w:top w:val="nil"/>
              <w:left w:val="single" w:sz="4" w:space="0" w:color="auto"/>
              <w:bottom w:val="single" w:sz="4" w:space="0" w:color="auto"/>
              <w:right w:val="single" w:sz="4" w:space="0" w:color="auto"/>
            </w:tcBorders>
          </w:tcPr>
          <w:p w14:paraId="6E2F6834" w14:textId="77777777" w:rsidR="00871C14" w:rsidRPr="00871C14" w:rsidRDefault="00871C14" w:rsidP="00871C14">
            <w:pPr>
              <w:jc w:val="both"/>
              <w:rPr>
                <w:lang w:eastAsia="en-US"/>
              </w:rPr>
            </w:pPr>
            <w:r w:rsidRPr="00871C14">
              <w:rPr>
                <w:lang w:eastAsia="en-US"/>
              </w:rPr>
              <w:t xml:space="preserve"> v tom: 713 005</w:t>
            </w:r>
          </w:p>
        </w:tc>
        <w:tc>
          <w:tcPr>
            <w:tcW w:w="1540" w:type="dxa"/>
            <w:tcBorders>
              <w:top w:val="nil"/>
              <w:left w:val="nil"/>
              <w:bottom w:val="single" w:sz="4" w:space="0" w:color="auto"/>
              <w:right w:val="single" w:sz="4" w:space="0" w:color="auto"/>
            </w:tcBorders>
          </w:tcPr>
          <w:p w14:paraId="2BBD7D5E"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1F7F36F9" w14:textId="77777777" w:rsidR="00871C14" w:rsidRPr="00871C14" w:rsidRDefault="00871C14" w:rsidP="00871C14">
            <w:pPr>
              <w:jc w:val="both"/>
              <w:rPr>
                <w:lang w:eastAsia="en-US"/>
              </w:rPr>
            </w:pPr>
            <w:r w:rsidRPr="00871C14">
              <w:rPr>
                <w:lang w:eastAsia="en-US"/>
              </w:rPr>
              <w:t>100 000</w:t>
            </w:r>
          </w:p>
        </w:tc>
        <w:tc>
          <w:tcPr>
            <w:tcW w:w="1540" w:type="dxa"/>
            <w:tcBorders>
              <w:top w:val="nil"/>
              <w:left w:val="nil"/>
              <w:bottom w:val="single" w:sz="4" w:space="0" w:color="auto"/>
              <w:right w:val="single" w:sz="4" w:space="0" w:color="auto"/>
            </w:tcBorders>
          </w:tcPr>
          <w:p w14:paraId="6E6CAE4B" w14:textId="77777777" w:rsidR="00871C14" w:rsidRPr="00871C14" w:rsidRDefault="00871C14" w:rsidP="00871C14">
            <w:pPr>
              <w:jc w:val="both"/>
              <w:rPr>
                <w:lang w:eastAsia="en-US"/>
              </w:rPr>
            </w:pPr>
            <w:r w:rsidRPr="00871C14">
              <w:rPr>
                <w:lang w:eastAsia="en-US"/>
              </w:rPr>
              <w:t>0</w:t>
            </w:r>
          </w:p>
        </w:tc>
        <w:tc>
          <w:tcPr>
            <w:tcW w:w="1540" w:type="dxa"/>
            <w:tcBorders>
              <w:top w:val="nil"/>
              <w:left w:val="nil"/>
              <w:bottom w:val="single" w:sz="4" w:space="0" w:color="auto"/>
              <w:right w:val="single" w:sz="4" w:space="0" w:color="auto"/>
            </w:tcBorders>
          </w:tcPr>
          <w:p w14:paraId="5A676A28" w14:textId="77777777" w:rsidR="00871C14" w:rsidRPr="00871C14" w:rsidRDefault="00871C14" w:rsidP="00871C14">
            <w:pPr>
              <w:jc w:val="both"/>
              <w:rPr>
                <w:lang w:eastAsia="en-US"/>
              </w:rPr>
            </w:pPr>
            <w:r w:rsidRPr="00871C14">
              <w:rPr>
                <w:lang w:eastAsia="en-US"/>
              </w:rPr>
              <w:t>0</w:t>
            </w:r>
          </w:p>
        </w:tc>
        <w:tc>
          <w:tcPr>
            <w:tcW w:w="2220" w:type="dxa"/>
            <w:tcBorders>
              <w:top w:val="nil"/>
              <w:left w:val="nil"/>
              <w:bottom w:val="single" w:sz="4" w:space="0" w:color="auto"/>
              <w:right w:val="single" w:sz="4" w:space="0" w:color="auto"/>
            </w:tcBorders>
            <w:noWrap/>
            <w:vAlign w:val="bottom"/>
          </w:tcPr>
          <w:p w14:paraId="4C60648F" w14:textId="77777777" w:rsidR="00871C14" w:rsidRPr="00871C14" w:rsidRDefault="00871C14" w:rsidP="00871C14">
            <w:pPr>
              <w:jc w:val="both"/>
              <w:rPr>
                <w:lang w:eastAsia="en-US"/>
              </w:rPr>
            </w:pPr>
          </w:p>
        </w:tc>
      </w:tr>
      <w:tr w:rsidR="00871C14" w:rsidRPr="00871C14" w14:paraId="2044D6AD" w14:textId="77777777" w:rsidTr="00DA58E5">
        <w:trPr>
          <w:trHeight w:val="255"/>
        </w:trPr>
        <w:tc>
          <w:tcPr>
            <w:tcW w:w="7070" w:type="dxa"/>
            <w:tcBorders>
              <w:top w:val="nil"/>
              <w:left w:val="single" w:sz="4" w:space="0" w:color="auto"/>
              <w:bottom w:val="single" w:sz="4" w:space="0" w:color="auto"/>
              <w:right w:val="single" w:sz="4" w:space="0" w:color="auto"/>
            </w:tcBorders>
          </w:tcPr>
          <w:p w14:paraId="4D7CE598" w14:textId="77777777" w:rsidR="00871C14" w:rsidRPr="00871C14" w:rsidRDefault="00871C14" w:rsidP="00871C14">
            <w:pPr>
              <w:jc w:val="both"/>
              <w:rPr>
                <w:lang w:eastAsia="en-US"/>
              </w:rPr>
            </w:pPr>
            <w:r w:rsidRPr="00871C14">
              <w:rPr>
                <w:lang w:eastAsia="en-US"/>
              </w:rPr>
              <w:t xml:space="preserve">  Kapitálové transfery (720)</w:t>
            </w:r>
            <w:r w:rsidRPr="00871C14">
              <w:rPr>
                <w:vertAlign w:val="superscript"/>
                <w:lang w:eastAsia="en-US"/>
              </w:rPr>
              <w:t>2</w:t>
            </w:r>
          </w:p>
        </w:tc>
        <w:tc>
          <w:tcPr>
            <w:tcW w:w="1540" w:type="dxa"/>
            <w:tcBorders>
              <w:top w:val="nil"/>
              <w:left w:val="nil"/>
              <w:bottom w:val="single" w:sz="4" w:space="0" w:color="auto"/>
              <w:right w:val="single" w:sz="4" w:space="0" w:color="auto"/>
            </w:tcBorders>
          </w:tcPr>
          <w:p w14:paraId="4B80D308"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282CB971"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56D2EE3B" w14:textId="77777777" w:rsidR="00871C14" w:rsidRPr="00871C14" w:rsidRDefault="00871C14" w:rsidP="00871C14">
            <w:pPr>
              <w:jc w:val="both"/>
              <w:rPr>
                <w:lang w:eastAsia="en-US"/>
              </w:rPr>
            </w:pPr>
          </w:p>
        </w:tc>
        <w:tc>
          <w:tcPr>
            <w:tcW w:w="1540" w:type="dxa"/>
            <w:tcBorders>
              <w:top w:val="nil"/>
              <w:left w:val="nil"/>
              <w:bottom w:val="single" w:sz="4" w:space="0" w:color="auto"/>
              <w:right w:val="single" w:sz="4" w:space="0" w:color="auto"/>
            </w:tcBorders>
          </w:tcPr>
          <w:p w14:paraId="750A2087" w14:textId="77777777" w:rsidR="00871C14" w:rsidRPr="00871C14" w:rsidRDefault="00871C14" w:rsidP="00871C14">
            <w:pPr>
              <w:jc w:val="both"/>
              <w:rPr>
                <w:lang w:eastAsia="en-US"/>
              </w:rPr>
            </w:pPr>
          </w:p>
        </w:tc>
        <w:tc>
          <w:tcPr>
            <w:tcW w:w="2220" w:type="dxa"/>
            <w:tcBorders>
              <w:top w:val="nil"/>
              <w:left w:val="nil"/>
              <w:bottom w:val="single" w:sz="4" w:space="0" w:color="auto"/>
              <w:right w:val="single" w:sz="4" w:space="0" w:color="auto"/>
            </w:tcBorders>
            <w:noWrap/>
            <w:vAlign w:val="bottom"/>
          </w:tcPr>
          <w:p w14:paraId="208EC5BE" w14:textId="77777777" w:rsidR="00871C14" w:rsidRPr="00871C14" w:rsidRDefault="00871C14" w:rsidP="00871C14">
            <w:pPr>
              <w:jc w:val="both"/>
              <w:rPr>
                <w:lang w:eastAsia="en-US"/>
              </w:rPr>
            </w:pPr>
            <w:r w:rsidRPr="00871C14">
              <w:rPr>
                <w:lang w:eastAsia="en-US"/>
              </w:rPr>
              <w:t> </w:t>
            </w:r>
          </w:p>
        </w:tc>
      </w:tr>
      <w:tr w:rsidR="00871C14" w:rsidRPr="00871C14" w14:paraId="7AA12F11" w14:textId="77777777" w:rsidTr="00DA58E5">
        <w:trPr>
          <w:trHeight w:val="255"/>
        </w:trPr>
        <w:tc>
          <w:tcPr>
            <w:tcW w:w="7070" w:type="dxa"/>
            <w:tcBorders>
              <w:top w:val="nil"/>
              <w:left w:val="single" w:sz="4" w:space="0" w:color="auto"/>
              <w:bottom w:val="single" w:sz="4" w:space="0" w:color="auto"/>
              <w:right w:val="single" w:sz="4" w:space="0" w:color="auto"/>
            </w:tcBorders>
          </w:tcPr>
          <w:p w14:paraId="0BEC7DB9" w14:textId="77777777" w:rsidR="00871C14" w:rsidRPr="00871C14" w:rsidRDefault="00871C14" w:rsidP="00871C14">
            <w:pPr>
              <w:jc w:val="both"/>
              <w:rPr>
                <w:b/>
                <w:bCs/>
                <w:lang w:eastAsia="en-US"/>
              </w:rPr>
            </w:pPr>
            <w:r w:rsidRPr="00871C14">
              <w:rPr>
                <w:b/>
                <w:bCs/>
                <w:lang w:eastAsia="en-US"/>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0A9FD1A4" w14:textId="77777777" w:rsidR="00871C14" w:rsidRPr="00871C14" w:rsidRDefault="00871C14" w:rsidP="00871C14">
            <w:pPr>
              <w:jc w:val="both"/>
              <w:rPr>
                <w:b/>
                <w:bCs/>
                <w:lang w:eastAsia="en-US"/>
              </w:rPr>
            </w:pPr>
          </w:p>
        </w:tc>
        <w:tc>
          <w:tcPr>
            <w:tcW w:w="1540" w:type="dxa"/>
            <w:tcBorders>
              <w:top w:val="nil"/>
              <w:left w:val="nil"/>
              <w:bottom w:val="single" w:sz="4" w:space="0" w:color="auto"/>
              <w:right w:val="single" w:sz="4" w:space="0" w:color="auto"/>
            </w:tcBorders>
            <w:shd w:val="clear" w:color="auto" w:fill="FFFF99"/>
          </w:tcPr>
          <w:p w14:paraId="303A333B" w14:textId="77777777" w:rsidR="00871C14" w:rsidRPr="00871C14" w:rsidRDefault="00871C14" w:rsidP="00871C14">
            <w:pPr>
              <w:jc w:val="both"/>
              <w:rPr>
                <w:b/>
                <w:bCs/>
                <w:lang w:eastAsia="en-US"/>
              </w:rPr>
            </w:pPr>
            <w:r w:rsidRPr="00871C14">
              <w:rPr>
                <w:b/>
                <w:bCs/>
                <w:lang w:eastAsia="en-US"/>
              </w:rPr>
              <w:t> </w:t>
            </w:r>
          </w:p>
        </w:tc>
        <w:tc>
          <w:tcPr>
            <w:tcW w:w="1540" w:type="dxa"/>
            <w:tcBorders>
              <w:top w:val="nil"/>
              <w:left w:val="nil"/>
              <w:bottom w:val="single" w:sz="4" w:space="0" w:color="auto"/>
              <w:right w:val="single" w:sz="4" w:space="0" w:color="auto"/>
            </w:tcBorders>
            <w:shd w:val="clear" w:color="auto" w:fill="FFFF99"/>
          </w:tcPr>
          <w:p w14:paraId="43CC302E" w14:textId="77777777" w:rsidR="00871C14" w:rsidRPr="00871C14" w:rsidRDefault="00871C14" w:rsidP="00871C14">
            <w:pPr>
              <w:jc w:val="both"/>
              <w:rPr>
                <w:b/>
                <w:bCs/>
                <w:lang w:eastAsia="en-US"/>
              </w:rPr>
            </w:pPr>
            <w:r w:rsidRPr="00871C14">
              <w:rPr>
                <w:b/>
                <w:bCs/>
                <w:lang w:eastAsia="en-US"/>
              </w:rPr>
              <w:t> </w:t>
            </w:r>
          </w:p>
        </w:tc>
        <w:tc>
          <w:tcPr>
            <w:tcW w:w="1540" w:type="dxa"/>
            <w:tcBorders>
              <w:top w:val="nil"/>
              <w:left w:val="nil"/>
              <w:bottom w:val="single" w:sz="4" w:space="0" w:color="auto"/>
              <w:right w:val="single" w:sz="4" w:space="0" w:color="auto"/>
            </w:tcBorders>
            <w:shd w:val="clear" w:color="auto" w:fill="FFFF99"/>
          </w:tcPr>
          <w:p w14:paraId="0B613512" w14:textId="77777777" w:rsidR="00871C14" w:rsidRPr="00871C14" w:rsidRDefault="00871C14" w:rsidP="00871C14">
            <w:pPr>
              <w:jc w:val="both"/>
              <w:rPr>
                <w:b/>
                <w:bCs/>
                <w:lang w:eastAsia="en-US"/>
              </w:rPr>
            </w:pPr>
            <w:r w:rsidRPr="00871C14">
              <w:rPr>
                <w:b/>
                <w:bCs/>
                <w:lang w:eastAsia="en-US"/>
              </w:rPr>
              <w:t> </w:t>
            </w:r>
          </w:p>
        </w:tc>
        <w:tc>
          <w:tcPr>
            <w:tcW w:w="2220" w:type="dxa"/>
            <w:tcBorders>
              <w:top w:val="nil"/>
              <w:left w:val="nil"/>
              <w:bottom w:val="single" w:sz="4" w:space="0" w:color="auto"/>
              <w:right w:val="single" w:sz="4" w:space="0" w:color="auto"/>
            </w:tcBorders>
            <w:noWrap/>
            <w:vAlign w:val="bottom"/>
          </w:tcPr>
          <w:p w14:paraId="2B3DBDA5" w14:textId="77777777" w:rsidR="00871C14" w:rsidRPr="00871C14" w:rsidRDefault="00871C14" w:rsidP="00871C14">
            <w:pPr>
              <w:jc w:val="both"/>
              <w:rPr>
                <w:lang w:eastAsia="en-US"/>
              </w:rPr>
            </w:pPr>
            <w:r w:rsidRPr="00871C14">
              <w:rPr>
                <w:lang w:eastAsia="en-US"/>
              </w:rPr>
              <w:t> </w:t>
            </w:r>
          </w:p>
        </w:tc>
      </w:tr>
      <w:tr w:rsidR="00871C14" w:rsidRPr="00871C14" w14:paraId="371D87CB" w14:textId="77777777" w:rsidTr="00871C14">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14:paraId="14978DFF" w14:textId="77777777" w:rsidR="00871C14" w:rsidRPr="00871C14" w:rsidRDefault="00871C14" w:rsidP="00871C14">
            <w:pPr>
              <w:jc w:val="both"/>
              <w:rPr>
                <w:b/>
                <w:bCs/>
                <w:lang w:eastAsia="en-US"/>
              </w:rPr>
            </w:pPr>
            <w:r w:rsidRPr="00871C14">
              <w:rPr>
                <w:b/>
                <w:bCs/>
                <w:lang w:eastAsia="en-US"/>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cPr>
          <w:p w14:paraId="152F3BFE" w14:textId="77777777" w:rsidR="00871C14" w:rsidRPr="00871C14" w:rsidRDefault="00871C14" w:rsidP="00871C14">
            <w:pPr>
              <w:jc w:val="both"/>
              <w:rPr>
                <w:b/>
                <w:bCs/>
                <w:lang w:eastAsia="en-US"/>
              </w:rPr>
            </w:pPr>
          </w:p>
        </w:tc>
        <w:tc>
          <w:tcPr>
            <w:tcW w:w="1540" w:type="dxa"/>
            <w:tcBorders>
              <w:top w:val="single" w:sz="4" w:space="0" w:color="auto"/>
              <w:left w:val="nil"/>
              <w:bottom w:val="single" w:sz="4" w:space="0" w:color="auto"/>
              <w:right w:val="single" w:sz="4" w:space="0" w:color="auto"/>
            </w:tcBorders>
            <w:shd w:val="clear" w:color="auto" w:fill="BFBFBF"/>
          </w:tcPr>
          <w:p w14:paraId="501D3645" w14:textId="77777777" w:rsidR="00871C14" w:rsidRPr="00871C14" w:rsidRDefault="00871C14" w:rsidP="00871C14">
            <w:pPr>
              <w:jc w:val="both"/>
              <w:rPr>
                <w:b/>
                <w:bCs/>
                <w:lang w:eastAsia="en-US"/>
              </w:rPr>
            </w:pPr>
            <w:r w:rsidRPr="00871C14">
              <w:rPr>
                <w:b/>
                <w:bCs/>
                <w:lang w:eastAsia="en-US"/>
              </w:rPr>
              <w:t>100 000</w:t>
            </w:r>
          </w:p>
        </w:tc>
        <w:tc>
          <w:tcPr>
            <w:tcW w:w="1540" w:type="dxa"/>
            <w:tcBorders>
              <w:top w:val="single" w:sz="4" w:space="0" w:color="auto"/>
              <w:left w:val="nil"/>
              <w:bottom w:val="single" w:sz="4" w:space="0" w:color="auto"/>
              <w:right w:val="single" w:sz="4" w:space="0" w:color="auto"/>
            </w:tcBorders>
            <w:shd w:val="clear" w:color="auto" w:fill="BFBFBF"/>
          </w:tcPr>
          <w:p w14:paraId="0BB7DB59" w14:textId="77777777" w:rsidR="00871C14" w:rsidRPr="00871C14" w:rsidRDefault="00871C14" w:rsidP="00871C14">
            <w:pPr>
              <w:jc w:val="both"/>
              <w:rPr>
                <w:b/>
                <w:bCs/>
                <w:lang w:eastAsia="en-US"/>
              </w:rPr>
            </w:pPr>
            <w:r w:rsidRPr="00871C14">
              <w:rPr>
                <w:b/>
                <w:bCs/>
                <w:lang w:eastAsia="en-US"/>
              </w:rPr>
              <w:t>0</w:t>
            </w:r>
          </w:p>
        </w:tc>
        <w:tc>
          <w:tcPr>
            <w:tcW w:w="1540" w:type="dxa"/>
            <w:tcBorders>
              <w:top w:val="single" w:sz="4" w:space="0" w:color="auto"/>
              <w:left w:val="nil"/>
              <w:bottom w:val="single" w:sz="4" w:space="0" w:color="auto"/>
              <w:right w:val="single" w:sz="4" w:space="0" w:color="auto"/>
            </w:tcBorders>
            <w:shd w:val="clear" w:color="auto" w:fill="BFBFBF"/>
          </w:tcPr>
          <w:p w14:paraId="2766967D" w14:textId="77777777" w:rsidR="00871C14" w:rsidRPr="00871C14" w:rsidRDefault="00871C14" w:rsidP="00871C14">
            <w:pPr>
              <w:jc w:val="both"/>
              <w:rPr>
                <w:b/>
                <w:bCs/>
                <w:lang w:eastAsia="en-US"/>
              </w:rPr>
            </w:pPr>
            <w:r w:rsidRPr="00871C14">
              <w:rPr>
                <w:b/>
                <w:bCs/>
                <w:lang w:eastAsia="en-US"/>
              </w:rPr>
              <w:t>0</w:t>
            </w:r>
          </w:p>
        </w:tc>
        <w:tc>
          <w:tcPr>
            <w:tcW w:w="2220" w:type="dxa"/>
            <w:tcBorders>
              <w:top w:val="single" w:sz="4" w:space="0" w:color="auto"/>
              <w:left w:val="nil"/>
              <w:bottom w:val="single" w:sz="4" w:space="0" w:color="auto"/>
              <w:right w:val="single" w:sz="4" w:space="0" w:color="auto"/>
            </w:tcBorders>
            <w:shd w:val="clear" w:color="auto" w:fill="BFBFBF"/>
            <w:noWrap/>
            <w:vAlign w:val="bottom"/>
          </w:tcPr>
          <w:p w14:paraId="25A7F2E2" w14:textId="77777777" w:rsidR="00871C14" w:rsidRPr="00871C14" w:rsidRDefault="00871C14" w:rsidP="00871C14">
            <w:pPr>
              <w:jc w:val="both"/>
              <w:rPr>
                <w:lang w:eastAsia="en-US"/>
              </w:rPr>
            </w:pPr>
            <w:r w:rsidRPr="00871C14">
              <w:rPr>
                <w:lang w:eastAsia="en-US"/>
              </w:rPr>
              <w:t> </w:t>
            </w:r>
          </w:p>
        </w:tc>
      </w:tr>
    </w:tbl>
    <w:p w14:paraId="02EF395D" w14:textId="77777777" w:rsidR="00871C14" w:rsidRPr="00871C14" w:rsidRDefault="00871C14" w:rsidP="00871C14">
      <w:pPr>
        <w:tabs>
          <w:tab w:val="num" w:pos="1080"/>
        </w:tabs>
        <w:spacing w:before="120"/>
        <w:ind w:left="-900"/>
        <w:jc w:val="both"/>
        <w:rPr>
          <w:bCs/>
          <w:sz w:val="20"/>
          <w:szCs w:val="20"/>
          <w:lang w:eastAsia="sk-SK"/>
        </w:rPr>
      </w:pPr>
    </w:p>
    <w:p w14:paraId="74ABF836" w14:textId="5E48F3F6" w:rsidR="00FB0432" w:rsidRDefault="00FB0432">
      <w:r>
        <w:br w:type="page"/>
      </w:r>
    </w:p>
    <w:p w14:paraId="5B97CE87" w14:textId="77777777" w:rsidR="00FB0432" w:rsidRDefault="00FB0432" w:rsidP="00DA58E5">
      <w:pPr>
        <w:jc w:val="center"/>
        <w:rPr>
          <w:b/>
          <w:sz w:val="28"/>
          <w:szCs w:val="20"/>
          <w:lang w:eastAsia="sk-SK"/>
        </w:rPr>
        <w:sectPr w:rsidR="00FB0432" w:rsidSect="00871C14">
          <w:footerReference w:type="default" r:id="rId21"/>
          <w:pgSz w:w="16838" w:h="11906" w:orient="landscape"/>
          <w:pgMar w:top="1418" w:right="1418" w:bottom="1418" w:left="1418" w:header="709" w:footer="709" w:gutter="0"/>
          <w:cols w:space="708"/>
          <w:titlePg/>
        </w:sectPr>
      </w:pPr>
    </w:p>
    <w:tbl>
      <w:tblPr>
        <w:tblStyle w:val="Mriekatabuky1"/>
        <w:tblW w:w="0" w:type="auto"/>
        <w:tblLook w:val="04A0" w:firstRow="1" w:lastRow="0" w:firstColumn="1" w:lastColumn="0" w:noHBand="0" w:noVBand="1"/>
      </w:tblPr>
      <w:tblGrid>
        <w:gridCol w:w="9060"/>
      </w:tblGrid>
      <w:tr w:rsidR="00FB0432" w:rsidRPr="005F703B" w14:paraId="7C3FE89F" w14:textId="77777777" w:rsidTr="00DA58E5">
        <w:trPr>
          <w:trHeight w:val="567"/>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99C6C0" w14:textId="5462565B" w:rsidR="00FB0432" w:rsidRPr="005F703B" w:rsidRDefault="00FB0432" w:rsidP="00DA58E5">
            <w:pPr>
              <w:jc w:val="center"/>
              <w:rPr>
                <w:rFonts w:ascii="Times New Roman" w:hAnsi="Times New Roman"/>
                <w:b/>
                <w:szCs w:val="20"/>
                <w:lang w:eastAsia="sk-SK"/>
              </w:rPr>
            </w:pPr>
            <w:r w:rsidRPr="005F703B">
              <w:rPr>
                <w:rFonts w:ascii="Times New Roman" w:hAnsi="Times New Roman"/>
                <w:b/>
                <w:sz w:val="28"/>
                <w:szCs w:val="20"/>
                <w:lang w:eastAsia="sk-SK"/>
              </w:rPr>
              <w:lastRenderedPageBreak/>
              <w:t>Analýza vplyvov na podnikateľské prostredie</w:t>
            </w:r>
          </w:p>
          <w:p w14:paraId="5C6A7CBB" w14:textId="77777777" w:rsidR="00FB0432" w:rsidRPr="005F703B" w:rsidRDefault="00FB0432" w:rsidP="00DA58E5">
            <w:pPr>
              <w:jc w:val="center"/>
              <w:rPr>
                <w:rFonts w:ascii="Times New Roman" w:hAnsi="Times New Roman"/>
                <w:b/>
                <w:szCs w:val="20"/>
                <w:lang w:eastAsia="sk-SK"/>
              </w:rPr>
            </w:pPr>
            <w:r w:rsidRPr="005F703B">
              <w:rPr>
                <w:rFonts w:ascii="Times New Roman" w:hAnsi="Times New Roman"/>
                <w:b/>
                <w:szCs w:val="20"/>
                <w:lang w:eastAsia="sk-SK"/>
              </w:rPr>
              <w:t>(vrátane testu MSP)</w:t>
            </w:r>
          </w:p>
        </w:tc>
      </w:tr>
      <w:tr w:rsidR="00FB0432" w:rsidRPr="005F703B" w14:paraId="444279ED" w14:textId="77777777" w:rsidTr="00DA58E5">
        <w:trPr>
          <w:trHeight w:val="567"/>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CC2209" w14:textId="77777777" w:rsidR="00FB0432" w:rsidRPr="005F703B" w:rsidRDefault="00FB0432" w:rsidP="00DA58E5">
            <w:pPr>
              <w:rPr>
                <w:rFonts w:ascii="Times New Roman" w:hAnsi="Times New Roman"/>
                <w:b/>
                <w:szCs w:val="20"/>
                <w:lang w:eastAsia="sk-SK"/>
              </w:rPr>
            </w:pPr>
            <w:r w:rsidRPr="005F703B">
              <w:rPr>
                <w:rFonts w:ascii="Times New Roman" w:hAnsi="Times New Roman"/>
                <w:b/>
                <w:szCs w:val="20"/>
                <w:lang w:eastAsia="sk-SK"/>
              </w:rPr>
              <w:t>Materiál bude mať vplyv s ohľadom na veľkostnú kategóriu podnikov:</w:t>
            </w:r>
          </w:p>
        </w:tc>
      </w:tr>
      <w:tr w:rsidR="00FB0432" w:rsidRPr="005F703B" w14:paraId="0B084B8A" w14:textId="77777777" w:rsidTr="00DA58E5">
        <w:trPr>
          <w:trHeight w:val="567"/>
        </w:trPr>
        <w:tc>
          <w:tcPr>
            <w:tcW w:w="9062" w:type="dxa"/>
            <w:tcBorders>
              <w:top w:val="single" w:sz="4" w:space="0" w:color="auto"/>
              <w:left w:val="single" w:sz="4" w:space="0" w:color="auto"/>
              <w:bottom w:val="single" w:sz="4" w:space="0" w:color="auto"/>
              <w:right w:val="single" w:sz="4" w:space="0" w:color="auto"/>
            </w:tcBorders>
            <w:hideMark/>
          </w:tcPr>
          <w:tbl>
            <w:tblPr>
              <w:tblStyle w:val="Mriekatabu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388"/>
            </w:tblGrid>
            <w:tr w:rsidR="00FB0432" w:rsidRPr="005F703B" w14:paraId="7B7BA93C" w14:textId="77777777" w:rsidTr="00DA58E5">
              <w:sdt>
                <w:sdtPr>
                  <w:rPr>
                    <w:rFonts w:eastAsiaTheme="minorHAnsi" w:cstheme="minorBidi"/>
                    <w:szCs w:val="20"/>
                    <w:lang w:eastAsia="sk-SK"/>
                  </w:rPr>
                  <w:id w:val="43339831"/>
                  <w14:checkbox>
                    <w14:checked w14:val="0"/>
                    <w14:checkedState w14:val="2612" w14:font="MS Gothic"/>
                    <w14:uncheckedState w14:val="2610" w14:font="MS Gothic"/>
                  </w14:checkbox>
                </w:sdtPr>
                <w:sdtEndPr/>
                <w:sdtContent>
                  <w:tc>
                    <w:tcPr>
                      <w:tcW w:w="436" w:type="dxa"/>
                      <w:hideMark/>
                    </w:tcPr>
                    <w:p w14:paraId="454C5DF3" w14:textId="77777777" w:rsidR="00FB0432" w:rsidRPr="005F703B" w:rsidRDefault="00FB0432" w:rsidP="00DA58E5">
                      <w:pPr>
                        <w:jc w:val="center"/>
                        <w:rPr>
                          <w:rFonts w:ascii="Times New Roman" w:hAnsi="Times New Roman"/>
                          <w:szCs w:val="20"/>
                          <w:lang w:eastAsia="sk-SK"/>
                        </w:rPr>
                      </w:pPr>
                      <w:r w:rsidRPr="005F703B">
                        <w:rPr>
                          <w:rFonts w:ascii="MS Gothic" w:eastAsia="MS Gothic" w:hAnsi="MS Gothic" w:cstheme="minorBidi"/>
                          <w:szCs w:val="20"/>
                          <w:lang w:eastAsia="sk-SK"/>
                        </w:rPr>
                        <w:t>☐</w:t>
                      </w:r>
                    </w:p>
                  </w:tc>
                </w:sdtContent>
              </w:sdt>
              <w:tc>
                <w:tcPr>
                  <w:tcW w:w="8545" w:type="dxa"/>
                  <w:hideMark/>
                </w:tcPr>
                <w:p w14:paraId="1DBD1FDA" w14:textId="77777777" w:rsidR="00FB0432" w:rsidRPr="005F703B" w:rsidRDefault="00FB0432" w:rsidP="00DA58E5">
                  <w:pPr>
                    <w:rPr>
                      <w:rFonts w:ascii="Times New Roman" w:hAnsi="Times New Roman"/>
                      <w:b/>
                      <w:lang w:eastAsia="sk-SK"/>
                    </w:rPr>
                  </w:pPr>
                  <w:r w:rsidRPr="005F703B">
                    <w:rPr>
                      <w:rFonts w:ascii="Times New Roman" w:hAnsi="Times New Roman"/>
                      <w:b/>
                      <w:lang w:eastAsia="sk-SK"/>
                    </w:rPr>
                    <w:t xml:space="preserve">iba na MSP (0 - 249 zamestnancov) </w:t>
                  </w:r>
                </w:p>
              </w:tc>
            </w:tr>
            <w:tr w:rsidR="00FB0432" w:rsidRPr="005F703B" w14:paraId="73C8484F" w14:textId="77777777" w:rsidTr="00DA58E5">
              <w:sdt>
                <w:sdtPr>
                  <w:rPr>
                    <w:rFonts w:eastAsiaTheme="minorHAnsi" w:cstheme="minorBidi"/>
                    <w:szCs w:val="20"/>
                    <w:lang w:eastAsia="sk-SK"/>
                  </w:rPr>
                  <w:id w:val="-79453833"/>
                  <w14:checkbox>
                    <w14:checked w14:val="0"/>
                    <w14:checkedState w14:val="2612" w14:font="MS Gothic"/>
                    <w14:uncheckedState w14:val="2610" w14:font="MS Gothic"/>
                  </w14:checkbox>
                </w:sdtPr>
                <w:sdtEndPr/>
                <w:sdtContent>
                  <w:tc>
                    <w:tcPr>
                      <w:tcW w:w="436" w:type="dxa"/>
                      <w:hideMark/>
                    </w:tcPr>
                    <w:p w14:paraId="52186818" w14:textId="77777777" w:rsidR="00FB0432" w:rsidRPr="005F703B" w:rsidRDefault="00FB0432" w:rsidP="00DA58E5">
                      <w:pPr>
                        <w:jc w:val="center"/>
                        <w:rPr>
                          <w:rFonts w:ascii="Times New Roman" w:hAnsi="Times New Roman"/>
                          <w:szCs w:val="20"/>
                          <w:lang w:eastAsia="sk-SK"/>
                        </w:rPr>
                      </w:pPr>
                      <w:r w:rsidRPr="005F703B">
                        <w:rPr>
                          <w:rFonts w:ascii="MS Gothic" w:eastAsia="MS Gothic" w:hAnsi="MS Gothic" w:cs="MS Gothic"/>
                          <w:szCs w:val="20"/>
                          <w:lang w:eastAsia="sk-SK"/>
                        </w:rPr>
                        <w:t>☐</w:t>
                      </w:r>
                    </w:p>
                  </w:tc>
                </w:sdtContent>
              </w:sdt>
              <w:tc>
                <w:tcPr>
                  <w:tcW w:w="8545" w:type="dxa"/>
                  <w:hideMark/>
                </w:tcPr>
                <w:p w14:paraId="0D5E3FF5" w14:textId="77777777" w:rsidR="00FB0432" w:rsidRPr="005F703B" w:rsidRDefault="00FB0432" w:rsidP="00DA58E5">
                  <w:pPr>
                    <w:rPr>
                      <w:rFonts w:ascii="Times New Roman" w:hAnsi="Times New Roman"/>
                      <w:b/>
                      <w:lang w:eastAsia="sk-SK"/>
                    </w:rPr>
                  </w:pPr>
                  <w:r w:rsidRPr="005F703B">
                    <w:rPr>
                      <w:rFonts w:ascii="Times New Roman" w:hAnsi="Times New Roman"/>
                      <w:b/>
                      <w:lang w:eastAsia="sk-SK"/>
                    </w:rPr>
                    <w:t>iba na veľké podniky (250 a viac zamestnancov)</w:t>
                  </w:r>
                </w:p>
              </w:tc>
            </w:tr>
            <w:tr w:rsidR="00FB0432" w:rsidRPr="005F703B" w14:paraId="527118E2" w14:textId="77777777" w:rsidTr="00DA58E5">
              <w:sdt>
                <w:sdtPr>
                  <w:rPr>
                    <w:rFonts w:eastAsiaTheme="minorHAnsi" w:cstheme="minorBidi"/>
                    <w:szCs w:val="20"/>
                    <w:lang w:eastAsia="sk-SK"/>
                  </w:rPr>
                  <w:id w:val="1290634502"/>
                  <w14:checkbox>
                    <w14:checked w14:val="1"/>
                    <w14:checkedState w14:val="2612" w14:font="MS Gothic"/>
                    <w14:uncheckedState w14:val="2610" w14:font="MS Gothic"/>
                  </w14:checkbox>
                </w:sdtPr>
                <w:sdtEndPr/>
                <w:sdtContent>
                  <w:tc>
                    <w:tcPr>
                      <w:tcW w:w="436" w:type="dxa"/>
                      <w:hideMark/>
                    </w:tcPr>
                    <w:p w14:paraId="658AE247" w14:textId="77777777" w:rsidR="00FB0432" w:rsidRPr="005F703B" w:rsidRDefault="00FB0432" w:rsidP="00DA58E5">
                      <w:pPr>
                        <w:jc w:val="center"/>
                        <w:rPr>
                          <w:rFonts w:ascii="Times New Roman" w:hAnsi="Times New Roman"/>
                          <w:szCs w:val="20"/>
                          <w:lang w:eastAsia="sk-SK"/>
                        </w:rPr>
                      </w:pPr>
                      <w:r w:rsidRPr="005F703B">
                        <w:rPr>
                          <w:rFonts w:ascii="MS Gothic" w:eastAsia="MS Gothic" w:hAnsi="MS Gothic" w:cstheme="minorBidi"/>
                          <w:szCs w:val="20"/>
                          <w:lang w:eastAsia="sk-SK"/>
                        </w:rPr>
                        <w:t>☒</w:t>
                      </w:r>
                    </w:p>
                  </w:tc>
                </w:sdtContent>
              </w:sdt>
              <w:tc>
                <w:tcPr>
                  <w:tcW w:w="8545" w:type="dxa"/>
                  <w:hideMark/>
                </w:tcPr>
                <w:p w14:paraId="1C17A712" w14:textId="77777777" w:rsidR="00FB0432" w:rsidRPr="005F703B" w:rsidRDefault="00FB0432" w:rsidP="00DA58E5">
                  <w:pPr>
                    <w:rPr>
                      <w:rFonts w:ascii="Times New Roman" w:hAnsi="Times New Roman"/>
                      <w:lang w:eastAsia="sk-SK"/>
                    </w:rPr>
                  </w:pPr>
                  <w:r w:rsidRPr="005F703B">
                    <w:rPr>
                      <w:rFonts w:ascii="Times New Roman" w:hAnsi="Times New Roman"/>
                      <w:b/>
                      <w:lang w:eastAsia="sk-SK"/>
                    </w:rPr>
                    <w:t>na všetky kategórie podnikov</w:t>
                  </w:r>
                </w:p>
              </w:tc>
            </w:tr>
          </w:tbl>
          <w:p w14:paraId="57D46A8B" w14:textId="77777777" w:rsidR="00FB0432" w:rsidRPr="005F703B" w:rsidRDefault="00FB0432" w:rsidP="00DA58E5">
            <w:pPr>
              <w:rPr>
                <w:rFonts w:ascii="Times New Roman" w:hAnsi="Times New Roman"/>
                <w:b/>
                <w:szCs w:val="20"/>
                <w:lang w:eastAsia="sk-SK"/>
              </w:rPr>
            </w:pPr>
          </w:p>
        </w:tc>
      </w:tr>
      <w:tr w:rsidR="00FB0432" w:rsidRPr="005F703B" w14:paraId="7F3116E1" w14:textId="77777777" w:rsidTr="00DA58E5">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4695F8" w14:textId="77777777" w:rsidR="00FB0432" w:rsidRPr="005F703B" w:rsidRDefault="00FB0432" w:rsidP="00DA58E5">
            <w:pPr>
              <w:rPr>
                <w:rFonts w:ascii="Times New Roman" w:hAnsi="Times New Roman"/>
                <w:b/>
                <w:szCs w:val="20"/>
                <w:lang w:eastAsia="sk-SK"/>
              </w:rPr>
            </w:pPr>
            <w:r w:rsidRPr="005F703B">
              <w:rPr>
                <w:rFonts w:ascii="Times New Roman" w:hAnsi="Times New Roman"/>
                <w:b/>
                <w:szCs w:val="20"/>
                <w:lang w:eastAsia="sk-SK"/>
              </w:rPr>
              <w:t>3.1 Dotknuté podnikateľské subjekty</w:t>
            </w:r>
          </w:p>
          <w:p w14:paraId="26F424B6" w14:textId="77777777" w:rsidR="00FB0432" w:rsidRPr="005F703B" w:rsidRDefault="00FB0432" w:rsidP="00DA58E5">
            <w:pPr>
              <w:ind w:left="284"/>
              <w:rPr>
                <w:rFonts w:ascii="Times New Roman" w:hAnsi="Times New Roman"/>
                <w:b/>
                <w:szCs w:val="20"/>
                <w:lang w:eastAsia="sk-SK"/>
              </w:rPr>
            </w:pPr>
            <w:r w:rsidRPr="005F703B">
              <w:rPr>
                <w:rFonts w:ascii="Times New Roman" w:hAnsi="Times New Roman"/>
                <w:szCs w:val="20"/>
                <w:lang w:eastAsia="sk-SK"/>
              </w:rPr>
              <w:t xml:space="preserve"> - </w:t>
            </w:r>
            <w:r w:rsidRPr="005F703B">
              <w:rPr>
                <w:rFonts w:ascii="Times New Roman" w:hAnsi="Times New Roman"/>
                <w:b/>
                <w:szCs w:val="20"/>
                <w:lang w:eastAsia="sk-SK"/>
              </w:rPr>
              <w:t>z toho MSP</w:t>
            </w:r>
          </w:p>
        </w:tc>
      </w:tr>
      <w:tr w:rsidR="00FB0432" w:rsidRPr="005F703B" w14:paraId="1205D875" w14:textId="77777777" w:rsidTr="00DA58E5">
        <w:tc>
          <w:tcPr>
            <w:tcW w:w="9062" w:type="dxa"/>
            <w:tcBorders>
              <w:top w:val="single" w:sz="4" w:space="0" w:color="auto"/>
              <w:left w:val="single" w:sz="4" w:space="0" w:color="auto"/>
              <w:bottom w:val="single" w:sz="4" w:space="0" w:color="auto"/>
              <w:right w:val="single" w:sz="4" w:space="0" w:color="auto"/>
            </w:tcBorders>
            <w:hideMark/>
          </w:tcPr>
          <w:p w14:paraId="1947C1DB" w14:textId="77777777" w:rsidR="00FB0432" w:rsidRPr="005F703B" w:rsidRDefault="00FB0432" w:rsidP="00DA58E5">
            <w:pPr>
              <w:jc w:val="both"/>
              <w:rPr>
                <w:rFonts w:ascii="Times New Roman" w:hAnsi="Times New Roman"/>
                <w:i/>
                <w:szCs w:val="20"/>
                <w:lang w:eastAsia="sk-SK"/>
              </w:rPr>
            </w:pPr>
            <w:r w:rsidRPr="005F703B">
              <w:rPr>
                <w:rFonts w:ascii="Times New Roman" w:hAnsi="Times New Roman"/>
                <w:i/>
                <w:szCs w:val="20"/>
                <w:lang w:eastAsia="sk-SK"/>
              </w:rPr>
              <w:t>Uveďte, aké podnikateľské subjekty budú predkladaným návrhom ovplyvnené.</w:t>
            </w:r>
          </w:p>
          <w:p w14:paraId="70E4BBCF" w14:textId="77777777" w:rsidR="00FB0432" w:rsidRPr="005F703B" w:rsidRDefault="00FB0432" w:rsidP="00DA58E5">
            <w:pPr>
              <w:jc w:val="both"/>
              <w:rPr>
                <w:rFonts w:ascii="Times New Roman" w:hAnsi="Times New Roman"/>
                <w:i/>
                <w:szCs w:val="20"/>
                <w:lang w:eastAsia="sk-SK"/>
              </w:rPr>
            </w:pPr>
            <w:r w:rsidRPr="005F703B">
              <w:rPr>
                <w:rFonts w:ascii="Times New Roman" w:hAnsi="Times New Roman"/>
                <w:i/>
                <w:szCs w:val="20"/>
                <w:lang w:eastAsia="sk-SK"/>
              </w:rPr>
              <w:t>Aký je ich počet?</w:t>
            </w:r>
          </w:p>
        </w:tc>
      </w:tr>
      <w:tr w:rsidR="00FB0432" w:rsidRPr="005F703B" w14:paraId="550660C1" w14:textId="77777777" w:rsidTr="00DA58E5">
        <w:trPr>
          <w:trHeight w:val="1440"/>
        </w:trPr>
        <w:tc>
          <w:tcPr>
            <w:tcW w:w="9062" w:type="dxa"/>
            <w:tcBorders>
              <w:top w:val="single" w:sz="4" w:space="0" w:color="auto"/>
              <w:left w:val="single" w:sz="4" w:space="0" w:color="auto"/>
              <w:bottom w:val="single" w:sz="4" w:space="0" w:color="auto"/>
              <w:right w:val="single" w:sz="4" w:space="0" w:color="auto"/>
            </w:tcBorders>
            <w:hideMark/>
          </w:tcPr>
          <w:p w14:paraId="054DB57B" w14:textId="77777777" w:rsidR="00FB0432" w:rsidRPr="005F703B" w:rsidRDefault="00FB0432" w:rsidP="00DA58E5">
            <w:pPr>
              <w:jc w:val="both"/>
              <w:rPr>
                <w:rFonts w:ascii="Times New Roman" w:hAnsi="Times New Roman"/>
                <w:lang w:eastAsia="sk-SK"/>
              </w:rPr>
            </w:pPr>
            <w:r w:rsidRPr="005F703B">
              <w:rPr>
                <w:rFonts w:ascii="Times New Roman" w:hAnsi="Times New Roman"/>
                <w:lang w:eastAsia="sk-SK"/>
              </w:rPr>
              <w:t>Návrh zákona sa bude týkať najmä dopravcov v nákladnej a v osobnej doprave</w:t>
            </w:r>
            <w:r>
              <w:rPr>
                <w:rFonts w:ascii="Times New Roman" w:hAnsi="Times New Roman"/>
                <w:lang w:eastAsia="sk-SK"/>
              </w:rPr>
              <w:t xml:space="preserve">. </w:t>
            </w:r>
          </w:p>
          <w:p w14:paraId="1137F346" w14:textId="77777777" w:rsidR="00FB0432" w:rsidRPr="005F703B" w:rsidRDefault="00FB0432" w:rsidP="00DA58E5">
            <w:pPr>
              <w:jc w:val="both"/>
              <w:rPr>
                <w:rFonts w:ascii="Times New Roman" w:hAnsi="Times New Roman"/>
                <w:lang w:eastAsia="sk-SK"/>
              </w:rPr>
            </w:pPr>
          </w:p>
          <w:p w14:paraId="2A7C71C3" w14:textId="77777777" w:rsidR="00FB0432" w:rsidRPr="005F703B" w:rsidRDefault="00FB0432" w:rsidP="00DA58E5">
            <w:pPr>
              <w:jc w:val="both"/>
              <w:rPr>
                <w:rFonts w:ascii="Times New Roman" w:hAnsi="Times New Roman"/>
                <w:lang w:eastAsia="sk-SK"/>
              </w:rPr>
            </w:pPr>
            <w:r w:rsidRPr="005F703B">
              <w:rPr>
                <w:rFonts w:ascii="Times New Roman" w:hAnsi="Times New Roman"/>
                <w:lang w:eastAsia="sk-SK"/>
              </w:rPr>
              <w:t>K 31. decembru 2020 bolo v Slovenskej republike evidovaných 7</w:t>
            </w:r>
            <w:r>
              <w:rPr>
                <w:rFonts w:ascii="Times New Roman" w:hAnsi="Times New Roman"/>
                <w:lang w:eastAsia="sk-SK"/>
              </w:rPr>
              <w:t xml:space="preserve"> </w:t>
            </w:r>
            <w:r w:rsidRPr="005F703B">
              <w:rPr>
                <w:rFonts w:ascii="Times New Roman" w:hAnsi="Times New Roman"/>
                <w:lang w:eastAsia="sk-SK"/>
              </w:rPr>
              <w:t>152 dopravcov, ktorí boli držiteľmi licencie Spoločenstva pre nákladnú dopravu. Títo dopravcovia majú vydané overené kópie licencií Spoločenstva pre vozidlá v počte 53 662.</w:t>
            </w:r>
          </w:p>
          <w:p w14:paraId="03251B90" w14:textId="77777777" w:rsidR="00FB0432" w:rsidRPr="005F703B" w:rsidRDefault="00FB0432" w:rsidP="00DA58E5">
            <w:pPr>
              <w:jc w:val="both"/>
              <w:rPr>
                <w:rFonts w:ascii="Times New Roman" w:hAnsi="Times New Roman"/>
                <w:lang w:eastAsia="sk-SK"/>
              </w:rPr>
            </w:pPr>
            <w:r w:rsidRPr="005F703B">
              <w:rPr>
                <w:rFonts w:ascii="Times New Roman" w:hAnsi="Times New Roman"/>
                <w:lang w:eastAsia="sk-SK"/>
              </w:rPr>
              <w:t>K 31. decembru 2020 bolo v Slovenskej republike evidovaných 826 dopravcov, ktorí boli držiteľmi licencie Spoločenstva na medzinárodnú osobnú prepravu autobusmi a autokarmi. Títo dopravcovia majú vydané 4</w:t>
            </w:r>
            <w:r>
              <w:rPr>
                <w:rFonts w:ascii="Times New Roman" w:hAnsi="Times New Roman"/>
                <w:lang w:eastAsia="sk-SK"/>
              </w:rPr>
              <w:t xml:space="preserve"> </w:t>
            </w:r>
            <w:r w:rsidRPr="005F703B">
              <w:rPr>
                <w:rFonts w:ascii="Times New Roman" w:hAnsi="Times New Roman"/>
                <w:lang w:eastAsia="sk-SK"/>
              </w:rPr>
              <w:t xml:space="preserve">058 overených kópii licencií Spoločenstva pre ich vozidlá. </w:t>
            </w:r>
          </w:p>
          <w:p w14:paraId="419F0EFF" w14:textId="77777777" w:rsidR="00FB0432" w:rsidRPr="005F703B" w:rsidRDefault="00FB0432" w:rsidP="00DA58E5">
            <w:pPr>
              <w:jc w:val="both"/>
              <w:rPr>
                <w:rFonts w:ascii="Times New Roman" w:hAnsi="Times New Roman"/>
                <w:lang w:eastAsia="sk-SK"/>
              </w:rPr>
            </w:pPr>
          </w:p>
          <w:p w14:paraId="0E0F2283" w14:textId="77777777" w:rsidR="00FB0432" w:rsidRPr="005F703B" w:rsidRDefault="00FB0432" w:rsidP="00DA58E5">
            <w:pPr>
              <w:jc w:val="both"/>
              <w:rPr>
                <w:rFonts w:ascii="Times New Roman" w:hAnsi="Times New Roman"/>
                <w:lang w:eastAsia="sk-SK"/>
              </w:rPr>
            </w:pPr>
            <w:r w:rsidRPr="005F703B">
              <w:rPr>
                <w:rFonts w:ascii="Times New Roman" w:hAnsi="Times New Roman"/>
                <w:lang w:eastAsia="sk-SK"/>
              </w:rPr>
              <w:t>Návrh zákona sa bude týkať aj 2</w:t>
            </w:r>
            <w:r>
              <w:rPr>
                <w:rFonts w:ascii="Times New Roman" w:hAnsi="Times New Roman"/>
                <w:lang w:eastAsia="sk-SK"/>
              </w:rPr>
              <w:t xml:space="preserve"> </w:t>
            </w:r>
            <w:r w:rsidRPr="005F703B">
              <w:rPr>
                <w:rFonts w:ascii="Times New Roman" w:hAnsi="Times New Roman"/>
                <w:lang w:eastAsia="sk-SK"/>
              </w:rPr>
              <w:t>registrovaných dieln</w:t>
            </w:r>
            <w:r>
              <w:rPr>
                <w:rFonts w:ascii="Times New Roman" w:hAnsi="Times New Roman"/>
                <w:lang w:eastAsia="sk-SK"/>
              </w:rPr>
              <w:t>í</w:t>
            </w:r>
            <w:r w:rsidRPr="005F703B">
              <w:rPr>
                <w:rFonts w:ascii="Times New Roman" w:hAnsi="Times New Roman"/>
                <w:lang w:eastAsia="sk-SK"/>
              </w:rPr>
              <w:t xml:space="preserve"> a</w:t>
            </w:r>
            <w:r>
              <w:rPr>
                <w:rFonts w:ascii="Times New Roman" w:hAnsi="Times New Roman"/>
                <w:lang w:eastAsia="sk-SK"/>
              </w:rPr>
              <w:t> </w:t>
            </w:r>
            <w:r w:rsidRPr="005F703B">
              <w:rPr>
                <w:rFonts w:ascii="Times New Roman" w:hAnsi="Times New Roman"/>
                <w:lang w:eastAsia="sk-SK"/>
              </w:rPr>
              <w:t>29</w:t>
            </w:r>
            <w:r>
              <w:rPr>
                <w:rFonts w:ascii="Times New Roman" w:hAnsi="Times New Roman"/>
                <w:lang w:eastAsia="sk-SK"/>
              </w:rPr>
              <w:t xml:space="preserve"> </w:t>
            </w:r>
            <w:r w:rsidRPr="005F703B">
              <w:rPr>
                <w:rFonts w:ascii="Times New Roman" w:hAnsi="Times New Roman"/>
                <w:lang w:eastAsia="sk-SK"/>
              </w:rPr>
              <w:t>autorizovaných dielní vrátane pracovísk pre vykonávanie inštaláci</w:t>
            </w:r>
            <w:r>
              <w:rPr>
                <w:rFonts w:ascii="Times New Roman" w:hAnsi="Times New Roman"/>
                <w:lang w:eastAsia="sk-SK"/>
              </w:rPr>
              <w:t>e</w:t>
            </w:r>
            <w:r w:rsidRPr="005F703B">
              <w:rPr>
                <w:rFonts w:ascii="Times New Roman" w:hAnsi="Times New Roman"/>
                <w:lang w:eastAsia="sk-SK"/>
              </w:rPr>
              <w:t xml:space="preserve"> a overovanie záznamových zariadení.</w:t>
            </w:r>
          </w:p>
          <w:p w14:paraId="75ABA5D9" w14:textId="77777777" w:rsidR="00FB0432" w:rsidRPr="005F703B" w:rsidRDefault="00FB0432" w:rsidP="00DA58E5">
            <w:pPr>
              <w:jc w:val="both"/>
              <w:rPr>
                <w:rFonts w:ascii="Times New Roman" w:hAnsi="Times New Roman"/>
                <w:lang w:eastAsia="sk-SK"/>
              </w:rPr>
            </w:pPr>
          </w:p>
        </w:tc>
      </w:tr>
      <w:tr w:rsidR="00FB0432" w:rsidRPr="005F703B" w14:paraId="068D023C" w14:textId="77777777" w:rsidTr="00DA58E5">
        <w:trPr>
          <w:trHeight w:val="339"/>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BAADBE" w14:textId="77777777" w:rsidR="00FB0432" w:rsidRPr="005F703B" w:rsidRDefault="00FB0432" w:rsidP="00DA58E5">
            <w:pPr>
              <w:rPr>
                <w:rFonts w:ascii="Times New Roman" w:hAnsi="Times New Roman"/>
                <w:b/>
                <w:szCs w:val="20"/>
                <w:lang w:eastAsia="sk-SK"/>
              </w:rPr>
            </w:pPr>
            <w:r w:rsidRPr="005F703B">
              <w:rPr>
                <w:rFonts w:ascii="Times New Roman" w:hAnsi="Times New Roman"/>
                <w:b/>
                <w:szCs w:val="20"/>
                <w:lang w:eastAsia="sk-SK"/>
              </w:rPr>
              <w:t>3.2 Vyhodnotenie konzultácií</w:t>
            </w:r>
          </w:p>
          <w:p w14:paraId="44A845DD" w14:textId="77777777" w:rsidR="00FB0432" w:rsidRPr="005F703B" w:rsidRDefault="00FB0432" w:rsidP="00DA58E5">
            <w:pPr>
              <w:rPr>
                <w:rFonts w:ascii="Times New Roman" w:hAnsi="Times New Roman"/>
                <w:b/>
                <w:szCs w:val="20"/>
                <w:lang w:eastAsia="sk-SK"/>
              </w:rPr>
            </w:pPr>
            <w:r w:rsidRPr="005F703B">
              <w:rPr>
                <w:rFonts w:ascii="Times New Roman" w:hAnsi="Times New Roman"/>
                <w:szCs w:val="20"/>
                <w:lang w:eastAsia="sk-SK"/>
              </w:rPr>
              <w:t xml:space="preserve">       - </w:t>
            </w:r>
            <w:r w:rsidRPr="005F703B">
              <w:rPr>
                <w:rFonts w:ascii="Times New Roman" w:hAnsi="Times New Roman"/>
                <w:b/>
                <w:szCs w:val="20"/>
                <w:lang w:eastAsia="sk-SK"/>
              </w:rPr>
              <w:t>z toho MSP</w:t>
            </w:r>
          </w:p>
        </w:tc>
      </w:tr>
      <w:tr w:rsidR="00FB0432" w:rsidRPr="005F703B" w14:paraId="0A573BE1" w14:textId="77777777" w:rsidTr="00DA58E5">
        <w:trPr>
          <w:trHeight w:val="557"/>
        </w:trPr>
        <w:tc>
          <w:tcPr>
            <w:tcW w:w="9062" w:type="dxa"/>
            <w:tcBorders>
              <w:top w:val="single" w:sz="4" w:space="0" w:color="auto"/>
              <w:left w:val="single" w:sz="4" w:space="0" w:color="auto"/>
              <w:bottom w:val="single" w:sz="4" w:space="0" w:color="auto"/>
              <w:right w:val="single" w:sz="4" w:space="0" w:color="auto"/>
            </w:tcBorders>
            <w:hideMark/>
          </w:tcPr>
          <w:p w14:paraId="6A9B6E31" w14:textId="77777777" w:rsidR="00FB0432" w:rsidRPr="005F703B" w:rsidRDefault="00FB0432" w:rsidP="00DA58E5">
            <w:pPr>
              <w:jc w:val="both"/>
              <w:rPr>
                <w:rFonts w:ascii="Times New Roman" w:hAnsi="Times New Roman"/>
                <w:i/>
                <w:szCs w:val="20"/>
                <w:lang w:eastAsia="sk-SK"/>
              </w:rPr>
            </w:pPr>
            <w:r w:rsidRPr="005F703B">
              <w:rPr>
                <w:rFonts w:ascii="Times New Roman" w:hAnsi="Times New Roman"/>
                <w:i/>
                <w:szCs w:val="20"/>
                <w:lang w:eastAsia="sk-SK"/>
              </w:rPr>
              <w:t>Uveďte, akou formou (verejné alebo cielené konzultácie a prečo) a s kým bol návrh konzultovaný.</w:t>
            </w:r>
          </w:p>
          <w:p w14:paraId="67DF490E" w14:textId="77777777" w:rsidR="00FB0432" w:rsidRPr="005F703B" w:rsidRDefault="00FB0432" w:rsidP="00DA58E5">
            <w:pPr>
              <w:jc w:val="both"/>
              <w:rPr>
                <w:rFonts w:ascii="Times New Roman" w:hAnsi="Times New Roman"/>
                <w:i/>
                <w:szCs w:val="20"/>
                <w:lang w:eastAsia="sk-SK"/>
              </w:rPr>
            </w:pPr>
            <w:r w:rsidRPr="005F703B">
              <w:rPr>
                <w:rFonts w:ascii="Times New Roman" w:hAnsi="Times New Roman"/>
                <w:i/>
                <w:szCs w:val="20"/>
                <w:lang w:eastAsia="sk-SK"/>
              </w:rPr>
              <w:t>Ako dlho trvali konzultácie?</w:t>
            </w:r>
          </w:p>
          <w:p w14:paraId="7C029691" w14:textId="77777777" w:rsidR="00FB0432" w:rsidRPr="005F703B" w:rsidRDefault="00FB0432" w:rsidP="00DA58E5">
            <w:pPr>
              <w:jc w:val="both"/>
              <w:rPr>
                <w:rFonts w:ascii="Times New Roman" w:hAnsi="Times New Roman"/>
                <w:i/>
                <w:szCs w:val="20"/>
                <w:lang w:eastAsia="sk-SK"/>
              </w:rPr>
            </w:pPr>
            <w:r w:rsidRPr="005F703B">
              <w:rPr>
                <w:rFonts w:ascii="Times New Roman" w:hAnsi="Times New Roman"/>
                <w:i/>
                <w:szCs w:val="20"/>
                <w:lang w:eastAsia="sk-SK"/>
              </w:rPr>
              <w:t>Uveďte hlavné body konzultácií a výsledky konzultácií.</w:t>
            </w:r>
          </w:p>
        </w:tc>
      </w:tr>
      <w:tr w:rsidR="00FB0432" w:rsidRPr="005F703B" w14:paraId="25AFF6C4" w14:textId="77777777" w:rsidTr="00DA58E5">
        <w:trPr>
          <w:trHeight w:val="1440"/>
        </w:trPr>
        <w:tc>
          <w:tcPr>
            <w:tcW w:w="9062" w:type="dxa"/>
            <w:tcBorders>
              <w:top w:val="single" w:sz="4" w:space="0" w:color="auto"/>
              <w:left w:val="single" w:sz="4" w:space="0" w:color="auto"/>
              <w:bottom w:val="single" w:sz="4" w:space="0" w:color="auto"/>
              <w:right w:val="single" w:sz="4" w:space="0" w:color="auto"/>
            </w:tcBorders>
            <w:hideMark/>
          </w:tcPr>
          <w:p w14:paraId="4FA0DC50" w14:textId="77777777" w:rsidR="00FB0432" w:rsidRPr="005F703B" w:rsidRDefault="00FB0432" w:rsidP="00DA58E5">
            <w:pPr>
              <w:jc w:val="both"/>
              <w:rPr>
                <w:rFonts w:ascii="Times New Roman" w:hAnsi="Times New Roman"/>
                <w:lang w:eastAsia="sk-SK"/>
              </w:rPr>
            </w:pPr>
            <w:r w:rsidRPr="005F703B">
              <w:rPr>
                <w:rFonts w:ascii="Times New Roman" w:hAnsi="Times New Roman"/>
                <w:lang w:eastAsia="sk-SK"/>
              </w:rPr>
              <w:t>Verejnosť do prípravy návrhu zákona bola zapojená formou možnosti zasielania podnetov. Predbežná informácia (PI/2021/28) bola vypracovaná podľa § 9 zákona č. 400/2015 Z. z. o tvorbe právnych predpisov a o Zbierke zákonov Slovenskej republiky a o zmene a doplnení niektorých zákonov a bola zverejnená na stránke portálu Slov-Lex v období od 10. 2. 2021 do 12.</w:t>
            </w:r>
            <w:r>
              <w:rPr>
                <w:rFonts w:ascii="Times New Roman" w:hAnsi="Times New Roman"/>
                <w:lang w:eastAsia="sk-SK"/>
              </w:rPr>
              <w:t xml:space="preserve"> </w:t>
            </w:r>
            <w:r w:rsidRPr="005F703B">
              <w:rPr>
                <w:rFonts w:ascii="Times New Roman" w:hAnsi="Times New Roman"/>
                <w:lang w:eastAsia="sk-SK"/>
              </w:rPr>
              <w:t>3. 2021.</w:t>
            </w:r>
          </w:p>
          <w:p w14:paraId="6930BE07" w14:textId="77777777" w:rsidR="00FB0432" w:rsidRPr="005F703B" w:rsidRDefault="00FB0432" w:rsidP="00DA58E5">
            <w:pPr>
              <w:jc w:val="both"/>
              <w:rPr>
                <w:rFonts w:ascii="Times New Roman" w:hAnsi="Times New Roman"/>
                <w:lang w:eastAsia="sk-SK"/>
              </w:rPr>
            </w:pPr>
            <w:r w:rsidRPr="005F703B">
              <w:rPr>
                <w:rFonts w:ascii="Times New Roman" w:hAnsi="Times New Roman"/>
                <w:lang w:eastAsia="sk-SK"/>
              </w:rPr>
              <w:t xml:space="preserve">Zároveň informácia o konzultáciách bola zverejnená na webovom sídle Ministerstva hospodárstva SR </w:t>
            </w:r>
            <w:hyperlink r:id="rId22" w:history="1">
              <w:r w:rsidRPr="005F703B">
                <w:rPr>
                  <w:rStyle w:val="Hypertextovprepojenie"/>
                  <w:rFonts w:ascii="Times New Roman" w:hAnsi="Times New Roman"/>
                  <w:lang w:eastAsia="sk-SK"/>
                </w:rPr>
                <w:t>https://www.economy.gov.sk/podnikatelske-prostredie/jednotna-metodika/prebiehajuce-konzultacie-a-predbezne-informacie</w:t>
              </w:r>
            </w:hyperlink>
          </w:p>
          <w:p w14:paraId="0DF71200" w14:textId="77777777" w:rsidR="00FB0432" w:rsidRPr="005F703B" w:rsidRDefault="00FB0432" w:rsidP="00DA58E5">
            <w:pPr>
              <w:jc w:val="both"/>
              <w:rPr>
                <w:rFonts w:ascii="Times New Roman" w:hAnsi="Times New Roman"/>
                <w:lang w:eastAsia="sk-SK"/>
              </w:rPr>
            </w:pPr>
            <w:r w:rsidRPr="005F703B">
              <w:rPr>
                <w:rFonts w:ascii="Times New Roman" w:hAnsi="Times New Roman"/>
                <w:lang w:eastAsia="sk-SK"/>
              </w:rPr>
              <w:t>Konzultácie prebiehali v období od 10. 2. 2021 do 12.</w:t>
            </w:r>
            <w:r>
              <w:rPr>
                <w:rFonts w:ascii="Times New Roman" w:hAnsi="Times New Roman"/>
                <w:lang w:eastAsia="sk-SK"/>
              </w:rPr>
              <w:t xml:space="preserve"> </w:t>
            </w:r>
            <w:r w:rsidRPr="005F703B">
              <w:rPr>
                <w:rFonts w:ascii="Times New Roman" w:hAnsi="Times New Roman"/>
                <w:lang w:eastAsia="sk-SK"/>
              </w:rPr>
              <w:t xml:space="preserve">3. 2021. </w:t>
            </w:r>
          </w:p>
          <w:p w14:paraId="5A7A3C5A" w14:textId="77777777" w:rsidR="00FB0432" w:rsidRPr="005F703B" w:rsidRDefault="00FB0432" w:rsidP="00DA58E5">
            <w:pPr>
              <w:jc w:val="both"/>
              <w:rPr>
                <w:rFonts w:ascii="Times New Roman" w:hAnsi="Times New Roman"/>
                <w:lang w:eastAsia="sk-SK"/>
              </w:rPr>
            </w:pPr>
          </w:p>
          <w:p w14:paraId="1E6A24EF" w14:textId="77777777" w:rsidR="00FB0432" w:rsidRPr="005F703B" w:rsidRDefault="00FB0432" w:rsidP="00DA58E5">
            <w:pPr>
              <w:jc w:val="both"/>
              <w:rPr>
                <w:rFonts w:ascii="Times New Roman" w:hAnsi="Times New Roman"/>
                <w:bCs/>
                <w:lang w:eastAsia="sk-SK"/>
              </w:rPr>
            </w:pPr>
            <w:r w:rsidRPr="005F703B">
              <w:rPr>
                <w:rFonts w:ascii="Times New Roman" w:hAnsi="Times New Roman"/>
                <w:lang w:eastAsia="sk-SK"/>
              </w:rPr>
              <w:t>Konzultácie prebiehali s Ministerstvom práce</w:t>
            </w:r>
            <w:r>
              <w:rPr>
                <w:rFonts w:ascii="Times New Roman" w:hAnsi="Times New Roman"/>
                <w:lang w:eastAsia="sk-SK"/>
              </w:rPr>
              <w:t>,</w:t>
            </w:r>
            <w:r w:rsidRPr="005F703B">
              <w:rPr>
                <w:rFonts w:ascii="Times New Roman" w:hAnsi="Times New Roman"/>
                <w:lang w:eastAsia="sk-SK"/>
              </w:rPr>
              <w:t xml:space="preserve"> sociálnych vecí a rodiny SR a Národným inšpektorátom práce SR. Konzultácia vo forme videokonferencie sa uskutočnila aj s Ministerstvom dopravy Českej republiky. Hlavnou témou bola príprava ustanovení v oblasti vysielania vodičov. Čiastkovo sa konali konzultácie so zainteresovanými subjektmi najmä v oblasti dopravy, overovania záznamových zariadení a v oblasti štátnej správy. </w:t>
            </w:r>
            <w:r w:rsidRPr="005F703B">
              <w:rPr>
                <w:rFonts w:ascii="Times New Roman" w:hAnsi="Times New Roman"/>
                <w:bCs/>
                <w:lang w:eastAsia="sk-SK"/>
              </w:rPr>
              <w:t>Hlavným cieľom týchto stretnutí bolo získať podnety z aplikačnej praxe a spätnú väzbu na prípadné zmeny a návrhy. Z nášho pohľadu cieľ stretnutí bol splnený. Na základe pracovných stretnutí bol pripravený návrh zákona a predložený do schvaľovacieho procesu.</w:t>
            </w:r>
          </w:p>
          <w:p w14:paraId="6917AF4D" w14:textId="77777777" w:rsidR="00FB0432" w:rsidRPr="005F703B" w:rsidRDefault="00FB0432" w:rsidP="00DA58E5">
            <w:pPr>
              <w:jc w:val="both"/>
              <w:rPr>
                <w:rFonts w:ascii="Times New Roman" w:hAnsi="Times New Roman"/>
                <w:bCs/>
                <w:lang w:eastAsia="sk-SK"/>
              </w:rPr>
            </w:pPr>
            <w:r w:rsidRPr="005F703B">
              <w:rPr>
                <w:rFonts w:ascii="Times New Roman" w:hAnsi="Times New Roman"/>
                <w:bCs/>
                <w:lang w:eastAsia="sk-SK"/>
              </w:rPr>
              <w:t>Ďalšou formou zapojenia verejnosti bude medzirezortné pripomienkové konanie.</w:t>
            </w:r>
          </w:p>
          <w:p w14:paraId="4CAD0BF1" w14:textId="77777777" w:rsidR="00FB0432" w:rsidRPr="005F703B" w:rsidRDefault="00FB0432" w:rsidP="00DA58E5">
            <w:pPr>
              <w:jc w:val="both"/>
              <w:rPr>
                <w:rFonts w:ascii="Times New Roman" w:hAnsi="Times New Roman"/>
                <w:lang w:eastAsia="sk-SK"/>
              </w:rPr>
            </w:pPr>
          </w:p>
        </w:tc>
      </w:tr>
      <w:tr w:rsidR="00FB0432" w:rsidRPr="005F703B" w14:paraId="6004BC91" w14:textId="77777777" w:rsidTr="00DA58E5">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9A8B5A" w14:textId="77777777" w:rsidR="00FB0432" w:rsidRPr="005F703B" w:rsidRDefault="00FB0432" w:rsidP="00DA58E5">
            <w:pPr>
              <w:rPr>
                <w:rFonts w:ascii="Times New Roman" w:hAnsi="Times New Roman"/>
                <w:b/>
                <w:szCs w:val="20"/>
                <w:lang w:eastAsia="sk-SK"/>
              </w:rPr>
            </w:pPr>
            <w:r w:rsidRPr="005F703B">
              <w:rPr>
                <w:rFonts w:ascii="Times New Roman" w:hAnsi="Times New Roman"/>
                <w:b/>
                <w:szCs w:val="20"/>
                <w:lang w:eastAsia="sk-SK"/>
              </w:rPr>
              <w:lastRenderedPageBreak/>
              <w:t>3.3 Náklady regulácie</w:t>
            </w:r>
          </w:p>
          <w:p w14:paraId="45E0E6D8" w14:textId="77777777" w:rsidR="00FB0432" w:rsidRPr="005F703B" w:rsidRDefault="00FB0432" w:rsidP="00DA58E5">
            <w:pPr>
              <w:rPr>
                <w:rFonts w:ascii="Times New Roman" w:hAnsi="Times New Roman"/>
                <w:b/>
                <w:szCs w:val="20"/>
                <w:lang w:eastAsia="sk-SK"/>
              </w:rPr>
            </w:pPr>
            <w:r w:rsidRPr="005F703B">
              <w:rPr>
                <w:rFonts w:ascii="Times New Roman" w:hAnsi="Times New Roman"/>
                <w:szCs w:val="20"/>
                <w:lang w:eastAsia="sk-SK"/>
              </w:rPr>
              <w:t xml:space="preserve">      - </w:t>
            </w:r>
            <w:r w:rsidRPr="005F703B">
              <w:rPr>
                <w:rFonts w:ascii="Times New Roman" w:hAnsi="Times New Roman"/>
                <w:b/>
                <w:szCs w:val="20"/>
                <w:lang w:eastAsia="sk-SK"/>
              </w:rPr>
              <w:t>z toho MSP</w:t>
            </w:r>
          </w:p>
        </w:tc>
      </w:tr>
      <w:tr w:rsidR="00FB0432" w:rsidRPr="005F703B" w14:paraId="6B8F18C8" w14:textId="77777777" w:rsidTr="00DA58E5">
        <w:tc>
          <w:tcPr>
            <w:tcW w:w="9062" w:type="dxa"/>
            <w:tcBorders>
              <w:top w:val="single" w:sz="4" w:space="0" w:color="auto"/>
              <w:left w:val="single" w:sz="4" w:space="0" w:color="auto"/>
              <w:bottom w:val="single" w:sz="4" w:space="0" w:color="auto"/>
              <w:right w:val="single" w:sz="4" w:space="0" w:color="auto"/>
            </w:tcBorders>
            <w:hideMark/>
          </w:tcPr>
          <w:p w14:paraId="30C2E72F" w14:textId="77777777" w:rsidR="00FB0432" w:rsidRPr="005F703B" w:rsidRDefault="00FB0432" w:rsidP="00DA58E5">
            <w:pPr>
              <w:rPr>
                <w:rFonts w:ascii="Times New Roman" w:hAnsi="Times New Roman"/>
                <w:b/>
                <w:i/>
                <w:szCs w:val="20"/>
                <w:lang w:eastAsia="sk-SK"/>
              </w:rPr>
            </w:pPr>
            <w:r w:rsidRPr="005F703B">
              <w:rPr>
                <w:rFonts w:ascii="Times New Roman" w:hAnsi="Times New Roman"/>
                <w:b/>
                <w:i/>
                <w:szCs w:val="20"/>
                <w:lang w:eastAsia="sk-SK"/>
              </w:rPr>
              <w:t>3.3.1 Priame finančné náklady</w:t>
            </w:r>
          </w:p>
          <w:p w14:paraId="402BCE1E" w14:textId="77777777" w:rsidR="00FB0432" w:rsidRPr="005F703B" w:rsidRDefault="00FB0432" w:rsidP="00DA58E5">
            <w:pPr>
              <w:jc w:val="both"/>
              <w:rPr>
                <w:rFonts w:ascii="Times New Roman" w:hAnsi="Times New Roman"/>
                <w:i/>
                <w:szCs w:val="20"/>
                <w:lang w:eastAsia="sk-SK"/>
              </w:rPr>
            </w:pPr>
            <w:r w:rsidRPr="005F703B">
              <w:rPr>
                <w:rFonts w:ascii="Times New Roman" w:hAnsi="Times New Roman"/>
                <w:i/>
                <w:szCs w:val="20"/>
                <w:lang w:eastAsia="sk-SK"/>
              </w:rPr>
              <w:t>Dochádza k zvýšeniu/zníženiu priamych finančných nákladov (poplatky, odvody, dane clá...)? Ak áno, popíšte a vyčíslite ich. Uveďte tiež spôsob ich výpočtu</w:t>
            </w:r>
          </w:p>
        </w:tc>
      </w:tr>
      <w:tr w:rsidR="00FB0432" w:rsidRPr="005F703B" w14:paraId="67EEE1D3" w14:textId="77777777" w:rsidTr="00DA58E5">
        <w:tc>
          <w:tcPr>
            <w:tcW w:w="9062" w:type="dxa"/>
            <w:tcBorders>
              <w:top w:val="single" w:sz="4" w:space="0" w:color="auto"/>
              <w:left w:val="single" w:sz="4" w:space="0" w:color="auto"/>
              <w:bottom w:val="single" w:sz="4" w:space="0" w:color="auto"/>
              <w:right w:val="single" w:sz="4" w:space="0" w:color="auto"/>
            </w:tcBorders>
          </w:tcPr>
          <w:p w14:paraId="6BB6A039" w14:textId="77777777" w:rsidR="00FB0432" w:rsidRPr="006B7505" w:rsidRDefault="00FB0432" w:rsidP="00DA58E5">
            <w:pPr>
              <w:jc w:val="both"/>
              <w:rPr>
                <w:rFonts w:ascii="Times New Roman" w:hAnsi="Times New Roman"/>
              </w:rPr>
            </w:pPr>
            <w:r w:rsidRPr="006B7505">
              <w:rPr>
                <w:rFonts w:ascii="Times New Roman" w:hAnsi="Times New Roman"/>
                <w:lang w:eastAsia="sk-SK"/>
              </w:rPr>
              <w:t xml:space="preserve">Návrhom zákona sa upravujú pokuty za porušenie ustanovení zákona. Tento vplyv platí len v súvislosti s porušením zákona. Odhadujeme negatívny vplyv vo výške 107 640 eur. Odhad vznikol na základe štatistických údajov </w:t>
            </w:r>
            <w:r w:rsidRPr="006B7505">
              <w:rPr>
                <w:rFonts w:ascii="Times New Roman" w:hAnsi="Times New Roman"/>
              </w:rPr>
              <w:t xml:space="preserve">Národného inšpektorátu práce v sledovanom období od 01. 01. 2020 do 31. 12. 2020 a na základe štatistických údajov Prezídia policajného zboru MV SR v sledovanom období od 01. 01. 2020 do 31. 12. 2020. Podrobnosti sú uvedené v analýze na rozpočet verejnej správy. </w:t>
            </w:r>
          </w:p>
          <w:p w14:paraId="582D9661" w14:textId="77777777" w:rsidR="00FB0432" w:rsidRPr="005F703B" w:rsidRDefault="00FB0432" w:rsidP="00DA58E5">
            <w:pPr>
              <w:jc w:val="both"/>
              <w:rPr>
                <w:rFonts w:ascii="Times New Roman" w:hAnsi="Times New Roman"/>
                <w:lang w:eastAsia="sk-SK"/>
              </w:rPr>
            </w:pPr>
          </w:p>
        </w:tc>
      </w:tr>
      <w:tr w:rsidR="00FB0432" w:rsidRPr="005F703B" w14:paraId="12266306" w14:textId="77777777" w:rsidTr="00DA58E5">
        <w:tc>
          <w:tcPr>
            <w:tcW w:w="9062" w:type="dxa"/>
            <w:tcBorders>
              <w:top w:val="single" w:sz="4" w:space="0" w:color="auto"/>
              <w:left w:val="single" w:sz="4" w:space="0" w:color="auto"/>
              <w:bottom w:val="single" w:sz="4" w:space="0" w:color="auto"/>
              <w:right w:val="single" w:sz="4" w:space="0" w:color="auto"/>
            </w:tcBorders>
            <w:hideMark/>
          </w:tcPr>
          <w:p w14:paraId="525A4CA5" w14:textId="77777777" w:rsidR="00FB0432" w:rsidRPr="005F703B" w:rsidRDefault="00FB0432" w:rsidP="00DA58E5">
            <w:pPr>
              <w:rPr>
                <w:rFonts w:ascii="Times New Roman" w:hAnsi="Times New Roman"/>
                <w:b/>
                <w:i/>
                <w:szCs w:val="20"/>
                <w:lang w:eastAsia="sk-SK"/>
              </w:rPr>
            </w:pPr>
            <w:r w:rsidRPr="005F703B">
              <w:rPr>
                <w:rFonts w:ascii="Times New Roman" w:hAnsi="Times New Roman"/>
                <w:b/>
                <w:i/>
                <w:szCs w:val="20"/>
                <w:lang w:eastAsia="sk-SK"/>
              </w:rPr>
              <w:t>3.3.2 Nepriame finančné náklady</w:t>
            </w:r>
          </w:p>
          <w:p w14:paraId="6D3B2C7B" w14:textId="77777777" w:rsidR="00FB0432" w:rsidRPr="005F703B" w:rsidRDefault="00FB0432" w:rsidP="00DA58E5">
            <w:pPr>
              <w:jc w:val="both"/>
              <w:rPr>
                <w:rFonts w:ascii="Times New Roman" w:hAnsi="Times New Roman"/>
                <w:i/>
                <w:szCs w:val="20"/>
                <w:lang w:eastAsia="sk-SK"/>
              </w:rPr>
            </w:pPr>
            <w:r w:rsidRPr="005F703B">
              <w:rPr>
                <w:rFonts w:ascii="Times New Roman" w:hAnsi="Times New Roman"/>
                <w:i/>
                <w:szCs w:val="20"/>
                <w:lang w:eastAsia="sk-SK"/>
              </w:rPr>
              <w:t>Vyžaduje si predkladaný návrh dodatočné náklady na nákup tovarov alebo služieb? Zvyšuje predkladaný návrh náklady súvisiace so zamestnávaním? Ak áno, popíšte a vyčíslite ich. Uveďte tiež spôsob ich výpočtu.</w:t>
            </w:r>
          </w:p>
        </w:tc>
      </w:tr>
      <w:tr w:rsidR="00FB0432" w:rsidRPr="005F703B" w14:paraId="597EB17C" w14:textId="77777777" w:rsidTr="00DA58E5">
        <w:tc>
          <w:tcPr>
            <w:tcW w:w="9062" w:type="dxa"/>
            <w:tcBorders>
              <w:top w:val="single" w:sz="4" w:space="0" w:color="auto"/>
              <w:left w:val="single" w:sz="4" w:space="0" w:color="auto"/>
              <w:bottom w:val="single" w:sz="4" w:space="0" w:color="auto"/>
              <w:right w:val="single" w:sz="4" w:space="0" w:color="auto"/>
            </w:tcBorders>
          </w:tcPr>
          <w:p w14:paraId="65B185DD" w14:textId="77777777" w:rsidR="00FB0432" w:rsidRPr="005F703B" w:rsidRDefault="00FB0432" w:rsidP="00DA58E5">
            <w:pPr>
              <w:jc w:val="both"/>
              <w:rPr>
                <w:rFonts w:ascii="Times New Roman" w:hAnsi="Times New Roman"/>
              </w:rPr>
            </w:pPr>
            <w:r w:rsidRPr="005F703B">
              <w:rPr>
                <w:rFonts w:ascii="Times New Roman" w:hAnsi="Times New Roman"/>
                <w:lang w:eastAsia="sk-SK"/>
              </w:rPr>
              <w:t xml:space="preserve">Vodiči nákladných vozidiel nesmú čerpať </w:t>
            </w:r>
            <w:r w:rsidRPr="005F703B">
              <w:rPr>
                <w:rFonts w:ascii="Times New Roman" w:hAnsi="Times New Roman"/>
              </w:rPr>
              <w:t>doby pravidelného týždenného odpočinku a každú dobu týždenného odpočinku v trvaní viac ako 45 hodín vo vozidle. V tejto súvislosti môžu vzniknúť dopravcom zvýšené náklady na ubytovanie vodiča. Presné náklady nevieme vyčísliť, pretože tieto náklady budú závisieť od organizáci</w:t>
            </w:r>
            <w:r>
              <w:rPr>
                <w:rFonts w:ascii="Times New Roman" w:hAnsi="Times New Roman"/>
              </w:rPr>
              <w:t>e</w:t>
            </w:r>
            <w:r w:rsidRPr="005F703B">
              <w:rPr>
                <w:rFonts w:ascii="Times New Roman" w:hAnsi="Times New Roman"/>
              </w:rPr>
              <w:t xml:space="preserve"> práce vodiča, prípadne aj od druhu a kvality ubytovania. Odhadované náklady na ubytovanie, cestu na ubytovanie</w:t>
            </w:r>
            <w:r>
              <w:rPr>
                <w:rFonts w:ascii="Times New Roman" w:hAnsi="Times New Roman"/>
              </w:rPr>
              <w:t xml:space="preserve"> a</w:t>
            </w:r>
            <w:r w:rsidRPr="005F703B">
              <w:rPr>
                <w:rFonts w:ascii="Times New Roman" w:hAnsi="Times New Roman"/>
              </w:rPr>
              <w:t>, strážené parkovisko vozidla sa môžu v niektorých prípadoch v závislosti od štátu Európskej únie pohybovať aj na úrovni cca 250 eur/vozidlo/vodič/mesiac. Nevieme presne v akom počte a v akých nákladoch takáto povinnosť bude mať dopad na podnikateľské prostredie avšak, ak by sa táto povinnosť týkala napríklad 10 % vozidiel</w:t>
            </w:r>
            <w:r>
              <w:rPr>
                <w:rFonts w:ascii="Times New Roman" w:hAnsi="Times New Roman"/>
              </w:rPr>
              <w:t>,</w:t>
            </w:r>
            <w:r w:rsidRPr="005F703B">
              <w:rPr>
                <w:rFonts w:ascii="Times New Roman" w:hAnsi="Times New Roman"/>
              </w:rPr>
              <w:t xml:space="preserve"> ktoré majú vydanú licenciu Spoločenstva (5 772)</w:t>
            </w:r>
            <w:r>
              <w:rPr>
                <w:rFonts w:ascii="Times New Roman" w:hAnsi="Times New Roman"/>
              </w:rPr>
              <w:t>,</w:t>
            </w:r>
            <w:r w:rsidRPr="005F703B">
              <w:rPr>
                <w:rFonts w:ascii="Times New Roman" w:hAnsi="Times New Roman"/>
              </w:rPr>
              <w:t xml:space="preserve"> tak náklady na podnikateľské prostredie by tvorili sumu 1 443</w:t>
            </w:r>
            <w:r>
              <w:rPr>
                <w:rFonts w:ascii="Times New Roman" w:hAnsi="Times New Roman"/>
              </w:rPr>
              <w:t> </w:t>
            </w:r>
            <w:r w:rsidRPr="005F703B">
              <w:rPr>
                <w:rFonts w:ascii="Times New Roman" w:hAnsi="Times New Roman"/>
              </w:rPr>
              <w:t>000</w:t>
            </w:r>
            <w:r>
              <w:rPr>
                <w:rFonts w:ascii="Times New Roman" w:hAnsi="Times New Roman"/>
              </w:rPr>
              <w:t xml:space="preserve"> eur</w:t>
            </w:r>
            <w:r w:rsidRPr="005F703B">
              <w:rPr>
                <w:rFonts w:ascii="Times New Roman" w:hAnsi="Times New Roman"/>
              </w:rPr>
              <w:t xml:space="preserve"> mesačne, a na celé podnikateľské prostredie ročne to tvorí náklady vo výške 17 316</w:t>
            </w:r>
            <w:r>
              <w:rPr>
                <w:rFonts w:ascii="Times New Roman" w:hAnsi="Times New Roman"/>
              </w:rPr>
              <w:t> </w:t>
            </w:r>
            <w:r w:rsidRPr="005F703B">
              <w:rPr>
                <w:rFonts w:ascii="Times New Roman" w:hAnsi="Times New Roman"/>
              </w:rPr>
              <w:t>000</w:t>
            </w:r>
            <w:r>
              <w:rPr>
                <w:rFonts w:ascii="Times New Roman" w:hAnsi="Times New Roman"/>
              </w:rPr>
              <w:t xml:space="preserve"> eur</w:t>
            </w:r>
            <w:r w:rsidRPr="005F703B">
              <w:rPr>
                <w:rFonts w:ascii="Times New Roman" w:hAnsi="Times New Roman"/>
              </w:rPr>
              <w:t>.   (53</w:t>
            </w:r>
            <w:r>
              <w:rPr>
                <w:rFonts w:ascii="Times New Roman" w:hAnsi="Times New Roman"/>
              </w:rPr>
              <w:t> </w:t>
            </w:r>
            <w:r w:rsidRPr="005F703B">
              <w:rPr>
                <w:rFonts w:ascii="Times New Roman" w:hAnsi="Times New Roman"/>
              </w:rPr>
              <w:t>662</w:t>
            </w:r>
            <w:r>
              <w:rPr>
                <w:rFonts w:ascii="Times New Roman" w:hAnsi="Times New Roman"/>
              </w:rPr>
              <w:t xml:space="preserve"> </w:t>
            </w:r>
            <w:r w:rsidRPr="005F703B">
              <w:rPr>
                <w:rFonts w:ascii="Times New Roman" w:hAnsi="Times New Roman"/>
              </w:rPr>
              <w:t>+</w:t>
            </w:r>
            <w:r>
              <w:rPr>
                <w:rFonts w:ascii="Times New Roman" w:hAnsi="Times New Roman"/>
              </w:rPr>
              <w:t xml:space="preserve"> </w:t>
            </w:r>
            <w:r w:rsidRPr="005F703B">
              <w:rPr>
                <w:rFonts w:ascii="Times New Roman" w:hAnsi="Times New Roman"/>
              </w:rPr>
              <w:t>4</w:t>
            </w:r>
            <w:r>
              <w:rPr>
                <w:rFonts w:ascii="Times New Roman" w:hAnsi="Times New Roman"/>
              </w:rPr>
              <w:t> </w:t>
            </w:r>
            <w:r w:rsidRPr="005F703B">
              <w:rPr>
                <w:rFonts w:ascii="Times New Roman" w:hAnsi="Times New Roman"/>
              </w:rPr>
              <w:t>058</w:t>
            </w:r>
            <w:r>
              <w:rPr>
                <w:rFonts w:ascii="Times New Roman" w:hAnsi="Times New Roman"/>
              </w:rPr>
              <w:t xml:space="preserve"> </w:t>
            </w:r>
            <w:r w:rsidRPr="005F703B">
              <w:rPr>
                <w:rFonts w:ascii="Times New Roman" w:hAnsi="Times New Roman"/>
              </w:rPr>
              <w:t>= 57 720 licenc</w:t>
            </w:r>
            <w:r>
              <w:rPr>
                <w:rFonts w:ascii="Times New Roman" w:hAnsi="Times New Roman"/>
              </w:rPr>
              <w:t>ií</w:t>
            </w:r>
            <w:r w:rsidRPr="005F703B">
              <w:rPr>
                <w:rFonts w:ascii="Times New Roman" w:hAnsi="Times New Roman"/>
              </w:rPr>
              <w:t xml:space="preserve"> Spoločenstva, </w:t>
            </w:r>
            <w:r>
              <w:rPr>
                <w:rFonts w:ascii="Times New Roman" w:hAnsi="Times New Roman"/>
              </w:rPr>
              <w:t xml:space="preserve">z toho </w:t>
            </w:r>
            <w:r w:rsidRPr="005F703B">
              <w:rPr>
                <w:rFonts w:ascii="Times New Roman" w:hAnsi="Times New Roman"/>
              </w:rPr>
              <w:t>10</w:t>
            </w:r>
            <w:r>
              <w:rPr>
                <w:rFonts w:ascii="Times New Roman" w:hAnsi="Times New Roman"/>
              </w:rPr>
              <w:t xml:space="preserve"> </w:t>
            </w:r>
            <w:r w:rsidRPr="005F703B">
              <w:rPr>
                <w:rFonts w:ascii="Times New Roman" w:hAnsi="Times New Roman"/>
              </w:rPr>
              <w:t xml:space="preserve">% </w:t>
            </w:r>
            <w:r>
              <w:rPr>
                <w:rFonts w:ascii="Times New Roman" w:hAnsi="Times New Roman"/>
              </w:rPr>
              <w:t>predstavuje</w:t>
            </w:r>
            <w:r w:rsidRPr="005F703B">
              <w:rPr>
                <w:rFonts w:ascii="Times New Roman" w:hAnsi="Times New Roman"/>
              </w:rPr>
              <w:t xml:space="preserve"> 5</w:t>
            </w:r>
            <w:r>
              <w:rPr>
                <w:rFonts w:ascii="Times New Roman" w:hAnsi="Times New Roman"/>
              </w:rPr>
              <w:t> </w:t>
            </w:r>
            <w:r w:rsidRPr="005F703B">
              <w:rPr>
                <w:rFonts w:ascii="Times New Roman" w:hAnsi="Times New Roman"/>
              </w:rPr>
              <w:t>772</w:t>
            </w:r>
            <w:r>
              <w:rPr>
                <w:rFonts w:ascii="Times New Roman" w:hAnsi="Times New Roman"/>
              </w:rPr>
              <w:t xml:space="preserve">; </w:t>
            </w:r>
            <w:r>
              <w:rPr>
                <w:rFonts w:ascii="Times New Roman" w:hAnsi="Times New Roman"/>
              </w:rPr>
              <w:br/>
              <w:t>Výpočet nákladov:</w:t>
            </w:r>
            <w:r w:rsidRPr="005F703B">
              <w:rPr>
                <w:rFonts w:ascii="Times New Roman" w:hAnsi="Times New Roman"/>
              </w:rPr>
              <w:t xml:space="preserve"> </w:t>
            </w:r>
            <w:r>
              <w:rPr>
                <w:rFonts w:ascii="Times New Roman" w:hAnsi="Times New Roman"/>
              </w:rPr>
              <w:t xml:space="preserve">5 772 x </w:t>
            </w:r>
            <w:r w:rsidRPr="005F703B">
              <w:rPr>
                <w:rFonts w:ascii="Times New Roman" w:hAnsi="Times New Roman"/>
              </w:rPr>
              <w:t>250 eur = 1 443 000 eur</w:t>
            </w:r>
            <w:r>
              <w:rPr>
                <w:rFonts w:ascii="Times New Roman" w:hAnsi="Times New Roman"/>
              </w:rPr>
              <w:t xml:space="preserve"> za mesiac; 1 443 000 eur </w:t>
            </w:r>
            <w:r w:rsidRPr="005F703B">
              <w:rPr>
                <w:rFonts w:ascii="Times New Roman" w:hAnsi="Times New Roman"/>
              </w:rPr>
              <w:t>x 12 = 17 316</w:t>
            </w:r>
            <w:r>
              <w:rPr>
                <w:rFonts w:ascii="Times New Roman" w:hAnsi="Times New Roman"/>
              </w:rPr>
              <w:t> </w:t>
            </w:r>
            <w:r w:rsidRPr="005F703B">
              <w:rPr>
                <w:rFonts w:ascii="Times New Roman" w:hAnsi="Times New Roman"/>
              </w:rPr>
              <w:t>000</w:t>
            </w:r>
            <w:r>
              <w:rPr>
                <w:rFonts w:ascii="Times New Roman" w:hAnsi="Times New Roman"/>
              </w:rPr>
              <w:t xml:space="preserve"> eur za celý rok</w:t>
            </w:r>
            <w:r w:rsidRPr="005F703B">
              <w:rPr>
                <w:rFonts w:ascii="Times New Roman" w:hAnsi="Times New Roman"/>
              </w:rPr>
              <w:t>).</w:t>
            </w:r>
          </w:p>
          <w:p w14:paraId="66696153" w14:textId="77777777" w:rsidR="00FB0432" w:rsidRPr="005F703B" w:rsidRDefault="00FB0432" w:rsidP="00DA58E5">
            <w:pPr>
              <w:jc w:val="both"/>
              <w:rPr>
                <w:rFonts w:ascii="Times New Roman" w:hAnsi="Times New Roman"/>
              </w:rPr>
            </w:pPr>
          </w:p>
          <w:p w14:paraId="73C79886" w14:textId="77777777" w:rsidR="00FB0432" w:rsidRPr="005F703B" w:rsidRDefault="00FB0432" w:rsidP="00DA58E5">
            <w:pPr>
              <w:pStyle w:val="Obyajntext"/>
              <w:jc w:val="both"/>
              <w:rPr>
                <w:rFonts w:ascii="Times New Roman" w:hAnsi="Times New Roman" w:cs="Times New Roman"/>
                <w:sz w:val="24"/>
                <w:szCs w:val="24"/>
              </w:rPr>
            </w:pPr>
            <w:r w:rsidRPr="005F703B">
              <w:rPr>
                <w:rFonts w:ascii="Times New Roman" w:eastAsia="Times New Roman" w:hAnsi="Times New Roman" w:cs="Times New Roman"/>
                <w:sz w:val="24"/>
                <w:szCs w:val="24"/>
              </w:rPr>
              <w:t>Nariadením Európskeho parlamentu a Rady (EÚ) 2020/1054 sa zavádzajú inteligentné tachografy druhej generácie. Inteligentný tachograf druhej generácie bude automaticky zaznamenávať prekročenie hraníc, bude zaznamenávať polohu pri nakládke a vykládke a zlepší monitorovanie</w:t>
            </w:r>
            <w:r w:rsidRPr="005F703B">
              <w:rPr>
                <w:rFonts w:ascii="Times New Roman" w:hAnsi="Times New Roman" w:cs="Times New Roman"/>
                <w:sz w:val="24"/>
                <w:szCs w:val="24"/>
              </w:rPr>
              <w:t xml:space="preserve"> doby jazdy a odpočinku. </w:t>
            </w:r>
          </w:p>
          <w:p w14:paraId="4B3331AF" w14:textId="77777777" w:rsidR="00FB0432" w:rsidRPr="005F703B" w:rsidRDefault="00FB0432" w:rsidP="00DA58E5">
            <w:pPr>
              <w:pStyle w:val="Obyajntext"/>
              <w:jc w:val="both"/>
              <w:rPr>
                <w:rFonts w:ascii="Times New Roman" w:hAnsi="Times New Roman" w:cs="Times New Roman"/>
                <w:sz w:val="24"/>
                <w:szCs w:val="24"/>
              </w:rPr>
            </w:pPr>
            <w:r w:rsidRPr="005F703B">
              <w:rPr>
                <w:rFonts w:ascii="Times New Roman" w:hAnsi="Times New Roman" w:cs="Times New Roman"/>
                <w:sz w:val="24"/>
                <w:szCs w:val="24"/>
              </w:rPr>
              <w:t>Inteligentný tachograf druhej generácie bude z hľadiska funkčnosti viac odolný voči manipuláci</w:t>
            </w:r>
            <w:r>
              <w:rPr>
                <w:rFonts w:ascii="Times New Roman" w:hAnsi="Times New Roman" w:cs="Times New Roman"/>
                <w:sz w:val="24"/>
                <w:szCs w:val="24"/>
              </w:rPr>
              <w:t>i</w:t>
            </w:r>
            <w:r w:rsidRPr="005F703B">
              <w:rPr>
                <w:rFonts w:ascii="Times New Roman" w:hAnsi="Times New Roman" w:cs="Times New Roman"/>
                <w:sz w:val="24"/>
                <w:szCs w:val="24"/>
              </w:rPr>
              <w:t xml:space="preserve"> a bude mať prípravu na autentifikáciu satelitného signálu Galileo, akonáhle bude systém Galileo funkčný. Inteligentný tachograf druhej generácie už by mal byť prispôsobený na implementovanie budúcich nových špecifikácií prostredníctvom aktualizácií softvéru bez nutnosti fyzickej výmeny. </w:t>
            </w:r>
          </w:p>
          <w:p w14:paraId="0605DAB9" w14:textId="77777777" w:rsidR="00FB0432" w:rsidRPr="005F703B" w:rsidRDefault="00FB0432" w:rsidP="00DA58E5">
            <w:pPr>
              <w:pStyle w:val="Obyajntext"/>
              <w:jc w:val="both"/>
              <w:rPr>
                <w:rFonts w:ascii="Times New Roman" w:hAnsi="Times New Roman" w:cs="Times New Roman"/>
                <w:sz w:val="24"/>
                <w:szCs w:val="24"/>
              </w:rPr>
            </w:pPr>
          </w:p>
          <w:p w14:paraId="29A49E03" w14:textId="77777777" w:rsidR="00FB0432" w:rsidRPr="005F703B" w:rsidRDefault="00FB0432" w:rsidP="00DA58E5">
            <w:pPr>
              <w:pStyle w:val="Obyajntext"/>
              <w:jc w:val="both"/>
              <w:rPr>
                <w:rFonts w:ascii="Times New Roman" w:eastAsia="Times New Roman" w:hAnsi="Times New Roman" w:cs="Times New Roman"/>
                <w:sz w:val="24"/>
                <w:szCs w:val="24"/>
              </w:rPr>
            </w:pPr>
            <w:r w:rsidRPr="005F703B">
              <w:rPr>
                <w:rFonts w:ascii="Times New Roman" w:eastAsia="Times New Roman" w:hAnsi="Times New Roman" w:cs="Times New Roman"/>
                <w:sz w:val="24"/>
                <w:szCs w:val="24"/>
              </w:rPr>
              <w:t xml:space="preserve">Časový harmonogram pre zavedenie inteligentných tachografov druhej generácie závisí od vykonávajúceho nariadenia, ktoré musí prijať Európska komisia do 21. augusta 2021. </w:t>
            </w:r>
          </w:p>
          <w:p w14:paraId="2B4E9269" w14:textId="77777777" w:rsidR="00FB0432" w:rsidRPr="005F703B" w:rsidRDefault="00FB0432" w:rsidP="00DA58E5">
            <w:pPr>
              <w:pStyle w:val="Obyajntext"/>
              <w:jc w:val="both"/>
              <w:rPr>
                <w:rFonts w:ascii="Times New Roman" w:eastAsia="Times New Roman" w:hAnsi="Times New Roman" w:cs="Times New Roman"/>
                <w:sz w:val="24"/>
                <w:szCs w:val="24"/>
              </w:rPr>
            </w:pPr>
          </w:p>
          <w:p w14:paraId="00539E44" w14:textId="77777777" w:rsidR="00FB0432" w:rsidRPr="005F703B" w:rsidRDefault="00FB0432" w:rsidP="00DA58E5">
            <w:pPr>
              <w:pStyle w:val="Obyajntext"/>
              <w:jc w:val="both"/>
              <w:rPr>
                <w:rFonts w:ascii="Times New Roman" w:eastAsia="Times New Roman" w:hAnsi="Times New Roman" w:cs="Times New Roman"/>
                <w:sz w:val="24"/>
                <w:szCs w:val="24"/>
              </w:rPr>
            </w:pPr>
            <w:r w:rsidRPr="005F703B">
              <w:rPr>
                <w:rFonts w:ascii="Times New Roman" w:eastAsia="Times New Roman" w:hAnsi="Times New Roman" w:cs="Times New Roman"/>
                <w:sz w:val="24"/>
                <w:szCs w:val="24"/>
              </w:rPr>
              <w:t xml:space="preserve">Inteligentné tachografy druhej generácie budú inštalované v nových vozidlách, ktorých prvá evidencia bude od 21. augusta 2023. </w:t>
            </w:r>
          </w:p>
          <w:p w14:paraId="22EB3B32" w14:textId="77777777" w:rsidR="00FB0432" w:rsidRPr="005F703B" w:rsidRDefault="00FB0432" w:rsidP="00DA58E5">
            <w:pPr>
              <w:pStyle w:val="Obyajntext"/>
              <w:jc w:val="both"/>
              <w:rPr>
                <w:rFonts w:ascii="Times New Roman" w:eastAsia="Times New Roman" w:hAnsi="Times New Roman" w:cs="Times New Roman"/>
                <w:sz w:val="24"/>
                <w:szCs w:val="24"/>
              </w:rPr>
            </w:pPr>
            <w:r w:rsidRPr="005F703B">
              <w:rPr>
                <w:rFonts w:ascii="Times New Roman" w:eastAsia="Times New Roman" w:hAnsi="Times New Roman" w:cs="Times New Roman"/>
                <w:sz w:val="24"/>
                <w:szCs w:val="24"/>
              </w:rPr>
              <w:t>Povinná výmena analógových tachografov a digitálnych tachografov vo vozidlách, ktoré budú vykonávať medzinárodnú dopravu za inteligentné tachografy druhej generácie sa musí uskutočniť do 31.</w:t>
            </w:r>
            <w:r>
              <w:rPr>
                <w:rFonts w:ascii="Times New Roman" w:eastAsia="Times New Roman" w:hAnsi="Times New Roman" w:cs="Times New Roman"/>
                <w:sz w:val="24"/>
                <w:szCs w:val="24"/>
              </w:rPr>
              <w:t xml:space="preserve"> </w:t>
            </w:r>
            <w:r w:rsidRPr="005F703B">
              <w:rPr>
                <w:rFonts w:ascii="Times New Roman" w:eastAsia="Times New Roman" w:hAnsi="Times New Roman" w:cs="Times New Roman"/>
                <w:sz w:val="24"/>
                <w:szCs w:val="24"/>
              </w:rPr>
              <w:t xml:space="preserve">decembra 2024. </w:t>
            </w:r>
          </w:p>
          <w:p w14:paraId="354AB240" w14:textId="77777777" w:rsidR="00FB0432" w:rsidRPr="005F703B" w:rsidRDefault="00FB0432" w:rsidP="00DA58E5">
            <w:pPr>
              <w:pStyle w:val="Obyajntext"/>
              <w:jc w:val="both"/>
              <w:rPr>
                <w:rFonts w:ascii="Times New Roman" w:eastAsia="Times New Roman" w:hAnsi="Times New Roman" w:cs="Times New Roman"/>
                <w:sz w:val="24"/>
                <w:szCs w:val="24"/>
              </w:rPr>
            </w:pPr>
            <w:r w:rsidRPr="005F703B">
              <w:rPr>
                <w:rFonts w:ascii="Times New Roman" w:eastAsia="Times New Roman" w:hAnsi="Times New Roman" w:cs="Times New Roman"/>
                <w:sz w:val="24"/>
                <w:szCs w:val="24"/>
              </w:rPr>
              <w:lastRenderedPageBreak/>
              <w:t>Povinná výmena inteligentných tachografov prvej generácie vo vozidlách, ktoré budú vykonávať medzinárodnú dopravu za inteligentné tachografy druhej generácie bude do 21.</w:t>
            </w:r>
            <w:r>
              <w:rPr>
                <w:rFonts w:ascii="Times New Roman" w:eastAsia="Times New Roman" w:hAnsi="Times New Roman" w:cs="Times New Roman"/>
                <w:sz w:val="24"/>
                <w:szCs w:val="24"/>
              </w:rPr>
              <w:t> </w:t>
            </w:r>
            <w:r w:rsidRPr="005F703B">
              <w:rPr>
                <w:rFonts w:ascii="Times New Roman" w:eastAsia="Times New Roman" w:hAnsi="Times New Roman" w:cs="Times New Roman"/>
                <w:sz w:val="24"/>
                <w:szCs w:val="24"/>
              </w:rPr>
              <w:t>augusta 2025</w:t>
            </w:r>
            <w:r>
              <w:rPr>
                <w:rFonts w:ascii="Times New Roman" w:eastAsia="Times New Roman" w:hAnsi="Times New Roman" w:cs="Times New Roman"/>
                <w:sz w:val="24"/>
                <w:szCs w:val="24"/>
              </w:rPr>
              <w:t>.</w:t>
            </w:r>
            <w:r w:rsidRPr="005F703B">
              <w:rPr>
                <w:rFonts w:ascii="Times New Roman" w:eastAsia="Times New Roman" w:hAnsi="Times New Roman" w:cs="Times New Roman"/>
                <w:sz w:val="24"/>
                <w:szCs w:val="24"/>
              </w:rPr>
              <w:t xml:space="preserve"> </w:t>
            </w:r>
          </w:p>
          <w:p w14:paraId="0DA5153F" w14:textId="77777777" w:rsidR="00FB0432" w:rsidRPr="005F703B" w:rsidRDefault="00FB0432" w:rsidP="00DA58E5">
            <w:pPr>
              <w:pStyle w:val="Obyajntext"/>
              <w:jc w:val="both"/>
              <w:rPr>
                <w:rFonts w:ascii="Times New Roman" w:eastAsia="Times New Roman" w:hAnsi="Times New Roman" w:cs="Times New Roman"/>
                <w:sz w:val="24"/>
                <w:szCs w:val="24"/>
              </w:rPr>
            </w:pPr>
            <w:r w:rsidRPr="005F703B">
              <w:rPr>
                <w:rFonts w:ascii="Times New Roman" w:eastAsia="Times New Roman" w:hAnsi="Times New Roman" w:cs="Times New Roman"/>
                <w:sz w:val="24"/>
                <w:szCs w:val="24"/>
              </w:rPr>
              <w:t>Inteligentné tachografy druhej generácie budú povinné od 1. júla 2026 vo vozidlách vykonávajúce medzinárodnú dopravu, u ktorých maximálna prípustná hmotnosť vozidla vrátane každého prívesu alebo návesu je vyššia ako 2,5 ton.</w:t>
            </w:r>
          </w:p>
          <w:p w14:paraId="112CDD1E" w14:textId="77777777" w:rsidR="00FB0432" w:rsidRPr="005F703B" w:rsidRDefault="00FB0432" w:rsidP="00DA58E5">
            <w:pPr>
              <w:jc w:val="both"/>
              <w:rPr>
                <w:rFonts w:ascii="Times New Roman" w:hAnsi="Times New Roman"/>
              </w:rPr>
            </w:pPr>
          </w:p>
          <w:p w14:paraId="012B8977" w14:textId="77777777" w:rsidR="00FB0432" w:rsidRPr="005F703B" w:rsidRDefault="00FB0432" w:rsidP="00DA58E5">
            <w:pPr>
              <w:jc w:val="both"/>
              <w:rPr>
                <w:rFonts w:ascii="Times New Roman" w:hAnsi="Times New Roman"/>
              </w:rPr>
            </w:pPr>
            <w:r w:rsidRPr="005F703B">
              <w:rPr>
                <w:rFonts w:ascii="Times New Roman" w:hAnsi="Times New Roman"/>
                <w:bCs/>
              </w:rPr>
              <w:t>Výmena tachografu vo vozidlách bude závisieť od dopravcu či vykonáva medzinárodnú dopravu. Významným faktorom pre výmenu môže byť to, že vozidlá vybavené inteligentným tachografom druhej generácie môžu využívať vo väčšej miere výnimky z vysielania. Z tohto dôvodu očakávame, že dopravcovia budú mať záujem o výmenu v skoršom termíne potom čo bude inteligentný tachograf druhej generácie dostupný na trhu. Náklady na výmenu vrátane potrebných súčastí, montáže, overenia digitálneho tachografu, inteligentného tachografu prvej generácie za inteligentných tachograf druhej generácie budú závisieť od ponuky na trhu avšak tieto náklady odhadujeme vo výške 1</w:t>
            </w:r>
            <w:r>
              <w:rPr>
                <w:rFonts w:ascii="Times New Roman" w:hAnsi="Times New Roman"/>
                <w:bCs/>
              </w:rPr>
              <w:t xml:space="preserve"> </w:t>
            </w:r>
            <w:r w:rsidRPr="005F703B">
              <w:rPr>
                <w:rFonts w:ascii="Times New Roman" w:hAnsi="Times New Roman"/>
                <w:bCs/>
              </w:rPr>
              <w:t xml:space="preserve">100 eur/ vozidlo. </w:t>
            </w:r>
          </w:p>
          <w:p w14:paraId="7E454B3B" w14:textId="77777777" w:rsidR="00FB0432" w:rsidRPr="005F703B" w:rsidRDefault="00FB0432" w:rsidP="00DA58E5">
            <w:pPr>
              <w:jc w:val="both"/>
              <w:rPr>
                <w:rFonts w:ascii="Times New Roman" w:hAnsi="Times New Roman"/>
              </w:rPr>
            </w:pPr>
            <w:r w:rsidRPr="005F703B">
              <w:rPr>
                <w:rFonts w:ascii="Times New Roman" w:hAnsi="Times New Roman"/>
              </w:rPr>
              <w:t>Nevieme presne v akom počte bude táto výmena uskutočnená. Ak by sa výmena týkala v roku 2024 napríklad 50 % vozidiel</w:t>
            </w:r>
            <w:r>
              <w:rPr>
                <w:rFonts w:ascii="Times New Roman" w:hAnsi="Times New Roman"/>
              </w:rPr>
              <w:t>,</w:t>
            </w:r>
            <w:r w:rsidRPr="005F703B">
              <w:rPr>
                <w:rFonts w:ascii="Times New Roman" w:hAnsi="Times New Roman"/>
              </w:rPr>
              <w:t xml:space="preserve"> ktoré majú vydanú licenciu Spoločenstva (28 860)</w:t>
            </w:r>
            <w:r>
              <w:rPr>
                <w:rFonts w:ascii="Times New Roman" w:hAnsi="Times New Roman"/>
              </w:rPr>
              <w:t>,</w:t>
            </w:r>
            <w:r w:rsidRPr="005F703B">
              <w:rPr>
                <w:rFonts w:ascii="Times New Roman" w:hAnsi="Times New Roman"/>
              </w:rPr>
              <w:t xml:space="preserve"> tak náklady na výmenu na celé podnikateľské prostredie by tvorili sumu 31 746 000 eur</w:t>
            </w:r>
            <w:r>
              <w:rPr>
                <w:rFonts w:ascii="Times New Roman" w:hAnsi="Times New Roman"/>
              </w:rPr>
              <w:t>.</w:t>
            </w:r>
            <w:r w:rsidRPr="005F703B">
              <w:rPr>
                <w:rFonts w:ascii="Times New Roman" w:hAnsi="Times New Roman"/>
              </w:rPr>
              <w:t xml:space="preserve"> (53</w:t>
            </w:r>
            <w:r>
              <w:rPr>
                <w:rFonts w:ascii="Times New Roman" w:hAnsi="Times New Roman"/>
              </w:rPr>
              <w:t> </w:t>
            </w:r>
            <w:r w:rsidRPr="005F703B">
              <w:rPr>
                <w:rFonts w:ascii="Times New Roman" w:hAnsi="Times New Roman"/>
              </w:rPr>
              <w:t>662</w:t>
            </w:r>
            <w:r>
              <w:rPr>
                <w:rFonts w:ascii="Times New Roman" w:hAnsi="Times New Roman"/>
              </w:rPr>
              <w:t xml:space="preserve"> </w:t>
            </w:r>
            <w:r w:rsidRPr="005F703B">
              <w:rPr>
                <w:rFonts w:ascii="Times New Roman" w:hAnsi="Times New Roman"/>
              </w:rPr>
              <w:t>+</w:t>
            </w:r>
            <w:r>
              <w:rPr>
                <w:rFonts w:ascii="Times New Roman" w:hAnsi="Times New Roman"/>
              </w:rPr>
              <w:t xml:space="preserve"> </w:t>
            </w:r>
            <w:r w:rsidRPr="005F703B">
              <w:rPr>
                <w:rFonts w:ascii="Times New Roman" w:hAnsi="Times New Roman"/>
              </w:rPr>
              <w:t>4</w:t>
            </w:r>
            <w:r>
              <w:rPr>
                <w:rFonts w:ascii="Times New Roman" w:hAnsi="Times New Roman"/>
              </w:rPr>
              <w:t xml:space="preserve"> </w:t>
            </w:r>
            <w:r w:rsidRPr="005F703B">
              <w:rPr>
                <w:rFonts w:ascii="Times New Roman" w:hAnsi="Times New Roman"/>
              </w:rPr>
              <w:t>058= 57</w:t>
            </w:r>
            <w:r>
              <w:rPr>
                <w:rFonts w:ascii="Times New Roman" w:hAnsi="Times New Roman"/>
              </w:rPr>
              <w:t> </w:t>
            </w:r>
            <w:r w:rsidRPr="005F703B">
              <w:rPr>
                <w:rFonts w:ascii="Times New Roman" w:hAnsi="Times New Roman"/>
              </w:rPr>
              <w:t>720</w:t>
            </w:r>
            <w:r>
              <w:rPr>
                <w:rFonts w:ascii="Times New Roman" w:hAnsi="Times New Roman"/>
              </w:rPr>
              <w:t xml:space="preserve"> licencií Spoločenstva</w:t>
            </w:r>
            <w:r w:rsidRPr="005F703B">
              <w:rPr>
                <w:rFonts w:ascii="Times New Roman" w:hAnsi="Times New Roman"/>
              </w:rPr>
              <w:t xml:space="preserve">, </w:t>
            </w:r>
            <w:r>
              <w:rPr>
                <w:rFonts w:ascii="Times New Roman" w:hAnsi="Times New Roman"/>
              </w:rPr>
              <w:t xml:space="preserve">z toho </w:t>
            </w:r>
            <w:r w:rsidRPr="005F703B">
              <w:rPr>
                <w:rFonts w:ascii="Times New Roman" w:hAnsi="Times New Roman"/>
              </w:rPr>
              <w:t>50</w:t>
            </w:r>
            <w:r>
              <w:rPr>
                <w:rFonts w:ascii="Times New Roman" w:hAnsi="Times New Roman"/>
              </w:rPr>
              <w:t xml:space="preserve"> </w:t>
            </w:r>
            <w:r w:rsidRPr="005F703B">
              <w:rPr>
                <w:rFonts w:ascii="Times New Roman" w:hAnsi="Times New Roman"/>
              </w:rPr>
              <w:t xml:space="preserve">% </w:t>
            </w:r>
            <w:r>
              <w:rPr>
                <w:rFonts w:ascii="Times New Roman" w:hAnsi="Times New Roman"/>
              </w:rPr>
              <w:t>predstavuje</w:t>
            </w:r>
            <w:r w:rsidRPr="005F703B">
              <w:rPr>
                <w:rFonts w:ascii="Times New Roman" w:hAnsi="Times New Roman"/>
              </w:rPr>
              <w:t xml:space="preserve"> 28</w:t>
            </w:r>
            <w:r>
              <w:rPr>
                <w:rFonts w:ascii="Times New Roman" w:hAnsi="Times New Roman"/>
              </w:rPr>
              <w:t> </w:t>
            </w:r>
            <w:r w:rsidRPr="005F703B">
              <w:rPr>
                <w:rFonts w:ascii="Times New Roman" w:hAnsi="Times New Roman"/>
              </w:rPr>
              <w:t>860</w:t>
            </w:r>
            <w:r>
              <w:rPr>
                <w:rFonts w:ascii="Times New Roman" w:hAnsi="Times New Roman"/>
              </w:rPr>
              <w:t>; Výpočet nákladov:</w:t>
            </w:r>
            <w:r w:rsidRPr="005F703B">
              <w:rPr>
                <w:rFonts w:ascii="Times New Roman" w:hAnsi="Times New Roman"/>
              </w:rPr>
              <w:t xml:space="preserve"> </w:t>
            </w:r>
            <w:r>
              <w:rPr>
                <w:rFonts w:ascii="Times New Roman" w:hAnsi="Times New Roman"/>
              </w:rPr>
              <w:t xml:space="preserve">28 860 x </w:t>
            </w:r>
            <w:r w:rsidRPr="005F703B">
              <w:rPr>
                <w:rFonts w:ascii="Times New Roman" w:hAnsi="Times New Roman"/>
              </w:rPr>
              <w:t>1100 eur = 31 746 000 eur ).</w:t>
            </w:r>
          </w:p>
          <w:p w14:paraId="43640EB2" w14:textId="77777777" w:rsidR="00FB0432" w:rsidRPr="005F703B" w:rsidRDefault="00FB0432" w:rsidP="00DA58E5">
            <w:pPr>
              <w:jc w:val="both"/>
              <w:rPr>
                <w:rFonts w:ascii="Times New Roman" w:hAnsi="Times New Roman"/>
              </w:rPr>
            </w:pPr>
          </w:p>
          <w:p w14:paraId="70949635" w14:textId="77777777" w:rsidR="00FB0432" w:rsidRPr="00CA629A" w:rsidRDefault="00FB0432" w:rsidP="00DA58E5">
            <w:pPr>
              <w:jc w:val="both"/>
              <w:rPr>
                <w:rFonts w:ascii="Times New Roman" w:hAnsi="Times New Roman"/>
              </w:rPr>
            </w:pPr>
            <w:r w:rsidRPr="005F703B">
              <w:rPr>
                <w:rFonts w:ascii="Times New Roman" w:hAnsi="Times New Roman"/>
              </w:rPr>
              <w:t>Výmena tachografov bude mať negatívne dopady pre dopravné spoločnosti</w:t>
            </w:r>
            <w:r>
              <w:rPr>
                <w:rFonts w:ascii="Times New Roman" w:hAnsi="Times New Roman"/>
              </w:rPr>
              <w:t>,</w:t>
            </w:r>
            <w:r w:rsidRPr="005F703B">
              <w:rPr>
                <w:rFonts w:ascii="Times New Roman" w:hAnsi="Times New Roman"/>
              </w:rPr>
              <w:t xml:space="preserve"> avšak naopak pozitívne dopady to môže mať pre podnikateľské subjekty</w:t>
            </w:r>
            <w:r>
              <w:rPr>
                <w:rFonts w:ascii="Times New Roman" w:hAnsi="Times New Roman"/>
              </w:rPr>
              <w:t xml:space="preserve"> </w:t>
            </w:r>
            <w:r w:rsidRPr="00CA629A">
              <w:rPr>
                <w:rFonts w:ascii="Times New Roman" w:hAnsi="Times New Roman"/>
              </w:rPr>
              <w:t xml:space="preserve">(vrátane MSP) </w:t>
            </w:r>
            <w:r w:rsidRPr="005F703B">
              <w:rPr>
                <w:rFonts w:ascii="Times New Roman" w:hAnsi="Times New Roman"/>
              </w:rPr>
              <w:t xml:space="preserve">zabezpečujúce overovanie a výmenu tachografov. </w:t>
            </w:r>
            <w:r w:rsidRPr="00CA629A">
              <w:rPr>
                <w:rFonts w:ascii="Times New Roman" w:hAnsi="Times New Roman"/>
              </w:rPr>
              <w:t xml:space="preserve">Ak odhadujeme cenu za montáž  a cenu za overenie záznamového zariadenia vo výške cca 250 eur/vozidlo tak pozitívne dopady na 28 860 vozidiel pre podnikateľské subjekty sú vo výške 7 215 000 eur. </w:t>
            </w:r>
          </w:p>
          <w:p w14:paraId="0F535D67" w14:textId="77777777" w:rsidR="00FB0432" w:rsidRDefault="00FB0432" w:rsidP="00DA58E5">
            <w:pPr>
              <w:jc w:val="both"/>
              <w:rPr>
                <w:rFonts w:ascii="Times New Roman" w:hAnsi="Times New Roman"/>
              </w:rPr>
            </w:pPr>
          </w:p>
          <w:p w14:paraId="0C32EC7F" w14:textId="77777777" w:rsidR="00FB0432" w:rsidRPr="005F703B" w:rsidRDefault="00FB0432" w:rsidP="00DA58E5">
            <w:pPr>
              <w:jc w:val="both"/>
              <w:rPr>
                <w:rFonts w:ascii="Times New Roman" w:hAnsi="Times New Roman"/>
              </w:rPr>
            </w:pPr>
            <w:r w:rsidRPr="005F703B">
              <w:rPr>
                <w:rFonts w:ascii="Times New Roman" w:hAnsi="Times New Roman"/>
              </w:rPr>
              <w:t xml:space="preserve">Vzhľadom </w:t>
            </w:r>
            <w:r>
              <w:rPr>
                <w:rFonts w:ascii="Times New Roman" w:hAnsi="Times New Roman"/>
              </w:rPr>
              <w:t xml:space="preserve">na </w:t>
            </w:r>
            <w:r w:rsidRPr="005F703B">
              <w:rPr>
                <w:rFonts w:ascii="Times New Roman" w:hAnsi="Times New Roman"/>
              </w:rPr>
              <w:t xml:space="preserve">vysoký počet vozidiel podliehajúcich výmene môžu nastať problémy so zvládnutím kapacitných možností pracovísk zabezpečujúcich výmenu. </w:t>
            </w:r>
          </w:p>
          <w:p w14:paraId="18A780D5" w14:textId="77777777" w:rsidR="00FB0432" w:rsidRPr="005F703B" w:rsidRDefault="00FB0432" w:rsidP="00DA58E5">
            <w:pPr>
              <w:tabs>
                <w:tab w:val="left" w:pos="1134"/>
              </w:tabs>
              <w:contextualSpacing/>
              <w:jc w:val="both"/>
              <w:rPr>
                <w:rFonts w:ascii="Times New Roman" w:hAnsi="Times New Roman"/>
                <w:highlight w:val="yellow"/>
              </w:rPr>
            </w:pPr>
          </w:p>
          <w:tbl>
            <w:tblPr>
              <w:tblStyle w:val="Mriekatabuky1"/>
              <w:tblW w:w="0" w:type="auto"/>
              <w:tblLook w:val="04A0" w:firstRow="1" w:lastRow="0" w:firstColumn="1" w:lastColumn="0" w:noHBand="0" w:noVBand="1"/>
            </w:tblPr>
            <w:tblGrid>
              <w:gridCol w:w="2955"/>
              <w:gridCol w:w="2937"/>
              <w:gridCol w:w="2942"/>
            </w:tblGrid>
            <w:tr w:rsidR="00FB0432" w:rsidRPr="005F703B" w14:paraId="1F1522D9" w14:textId="77777777" w:rsidTr="00DA58E5">
              <w:tc>
                <w:tcPr>
                  <w:tcW w:w="2955" w:type="dxa"/>
                  <w:tcBorders>
                    <w:top w:val="single" w:sz="4" w:space="0" w:color="auto"/>
                    <w:left w:val="single" w:sz="4" w:space="0" w:color="auto"/>
                    <w:bottom w:val="single" w:sz="4" w:space="0" w:color="auto"/>
                    <w:right w:val="single" w:sz="4" w:space="0" w:color="auto"/>
                  </w:tcBorders>
                  <w:hideMark/>
                </w:tcPr>
                <w:p w14:paraId="6D0623CC" w14:textId="77777777" w:rsidR="00FB0432" w:rsidRPr="005F703B" w:rsidRDefault="00FB0432" w:rsidP="00DA58E5">
                  <w:pPr>
                    <w:rPr>
                      <w:rFonts w:ascii="Times New Roman" w:hAnsi="Times New Roman"/>
                      <w:i/>
                      <w:szCs w:val="20"/>
                      <w:lang w:eastAsia="sk-SK"/>
                    </w:rPr>
                  </w:pPr>
                  <w:r w:rsidRPr="005F703B">
                    <w:rPr>
                      <w:rFonts w:ascii="Times New Roman" w:hAnsi="Times New Roman"/>
                      <w:i/>
                      <w:szCs w:val="20"/>
                      <w:lang w:eastAsia="sk-SK"/>
                    </w:rPr>
                    <w:t>Nepriame finančné náklady</w:t>
                  </w:r>
                </w:p>
              </w:tc>
              <w:tc>
                <w:tcPr>
                  <w:tcW w:w="2938" w:type="dxa"/>
                  <w:tcBorders>
                    <w:top w:val="single" w:sz="4" w:space="0" w:color="auto"/>
                    <w:left w:val="single" w:sz="4" w:space="0" w:color="auto"/>
                    <w:bottom w:val="single" w:sz="4" w:space="0" w:color="auto"/>
                    <w:right w:val="single" w:sz="4" w:space="0" w:color="auto"/>
                  </w:tcBorders>
                  <w:hideMark/>
                </w:tcPr>
                <w:p w14:paraId="1F9840B2" w14:textId="77777777" w:rsidR="00FB0432" w:rsidRPr="005F703B" w:rsidRDefault="00FB0432" w:rsidP="00DA58E5">
                  <w:pPr>
                    <w:jc w:val="center"/>
                    <w:rPr>
                      <w:rFonts w:ascii="Times New Roman" w:hAnsi="Times New Roman"/>
                      <w:i/>
                      <w:szCs w:val="20"/>
                      <w:lang w:eastAsia="sk-SK"/>
                    </w:rPr>
                  </w:pPr>
                  <w:r w:rsidRPr="005F703B">
                    <w:rPr>
                      <w:rFonts w:ascii="Times New Roman" w:hAnsi="Times New Roman"/>
                      <w:i/>
                      <w:szCs w:val="20"/>
                      <w:lang w:eastAsia="sk-SK"/>
                    </w:rPr>
                    <w:t>Náklady</w:t>
                  </w:r>
                </w:p>
              </w:tc>
              <w:tc>
                <w:tcPr>
                  <w:tcW w:w="2943" w:type="dxa"/>
                  <w:tcBorders>
                    <w:top w:val="single" w:sz="4" w:space="0" w:color="auto"/>
                    <w:left w:val="single" w:sz="4" w:space="0" w:color="auto"/>
                    <w:bottom w:val="single" w:sz="4" w:space="0" w:color="auto"/>
                    <w:right w:val="single" w:sz="4" w:space="0" w:color="auto"/>
                  </w:tcBorders>
                </w:tcPr>
                <w:p w14:paraId="2EF6C29C" w14:textId="77777777" w:rsidR="00FB0432" w:rsidRPr="005F703B" w:rsidRDefault="00FB0432" w:rsidP="00DA58E5">
                  <w:pPr>
                    <w:jc w:val="center"/>
                    <w:rPr>
                      <w:rFonts w:ascii="Times New Roman" w:hAnsi="Times New Roman"/>
                      <w:i/>
                      <w:szCs w:val="20"/>
                      <w:lang w:eastAsia="sk-SK"/>
                    </w:rPr>
                  </w:pPr>
                  <w:r w:rsidRPr="005F703B">
                    <w:rPr>
                      <w:rFonts w:ascii="Times New Roman" w:hAnsi="Times New Roman"/>
                      <w:i/>
                      <w:szCs w:val="20"/>
                      <w:lang w:eastAsia="sk-SK"/>
                    </w:rPr>
                    <w:t>Náklady na podnikateľské prostredie</w:t>
                  </w:r>
                </w:p>
                <w:p w14:paraId="4B949B42" w14:textId="77777777" w:rsidR="00FB0432" w:rsidRPr="005F703B" w:rsidRDefault="00FB0432" w:rsidP="00DA58E5">
                  <w:pPr>
                    <w:jc w:val="center"/>
                    <w:rPr>
                      <w:rFonts w:ascii="Times New Roman" w:hAnsi="Times New Roman"/>
                      <w:i/>
                      <w:szCs w:val="20"/>
                      <w:lang w:eastAsia="sk-SK"/>
                    </w:rPr>
                  </w:pPr>
                </w:p>
              </w:tc>
            </w:tr>
            <w:tr w:rsidR="00FB0432" w:rsidRPr="005F703B" w14:paraId="300332D0" w14:textId="77777777" w:rsidTr="00DA58E5">
              <w:tc>
                <w:tcPr>
                  <w:tcW w:w="2955" w:type="dxa"/>
                  <w:tcBorders>
                    <w:top w:val="single" w:sz="4" w:space="0" w:color="auto"/>
                    <w:left w:val="single" w:sz="4" w:space="0" w:color="auto"/>
                    <w:bottom w:val="single" w:sz="4" w:space="0" w:color="auto"/>
                    <w:right w:val="single" w:sz="4" w:space="0" w:color="auto"/>
                  </w:tcBorders>
                  <w:hideMark/>
                </w:tcPr>
                <w:p w14:paraId="08E69994" w14:textId="77777777" w:rsidR="00FB0432" w:rsidRPr="005F703B" w:rsidRDefault="00FB0432" w:rsidP="00DA58E5">
                  <w:pPr>
                    <w:jc w:val="both"/>
                    <w:rPr>
                      <w:rFonts w:ascii="Times New Roman" w:hAnsi="Times New Roman"/>
                      <w:i/>
                      <w:szCs w:val="20"/>
                      <w:lang w:eastAsia="sk-SK"/>
                    </w:rPr>
                  </w:pPr>
                  <w:r w:rsidRPr="005F703B">
                    <w:rPr>
                      <w:rFonts w:ascii="Times New Roman" w:hAnsi="Times New Roman"/>
                      <w:i/>
                      <w:szCs w:val="20"/>
                      <w:lang w:eastAsia="sk-SK"/>
                    </w:rPr>
                    <w:t>Pravidelný odpočinok mimo vozidla</w:t>
                  </w:r>
                </w:p>
              </w:tc>
              <w:tc>
                <w:tcPr>
                  <w:tcW w:w="2938" w:type="dxa"/>
                  <w:tcBorders>
                    <w:top w:val="single" w:sz="4" w:space="0" w:color="auto"/>
                    <w:left w:val="single" w:sz="4" w:space="0" w:color="auto"/>
                    <w:bottom w:val="single" w:sz="4" w:space="0" w:color="auto"/>
                    <w:right w:val="single" w:sz="4" w:space="0" w:color="auto"/>
                  </w:tcBorders>
                  <w:hideMark/>
                </w:tcPr>
                <w:p w14:paraId="119E85D4" w14:textId="77777777" w:rsidR="00FB0432" w:rsidRPr="005F703B" w:rsidRDefault="00FB0432" w:rsidP="00DA58E5">
                  <w:pPr>
                    <w:jc w:val="center"/>
                    <w:rPr>
                      <w:rFonts w:ascii="Times New Roman" w:hAnsi="Times New Roman"/>
                      <w:i/>
                      <w:szCs w:val="20"/>
                      <w:lang w:eastAsia="sk-SK"/>
                    </w:rPr>
                  </w:pPr>
                  <w:r w:rsidRPr="005F703B">
                    <w:rPr>
                      <w:rFonts w:ascii="Times New Roman" w:hAnsi="Times New Roman"/>
                      <w:i/>
                      <w:szCs w:val="20"/>
                      <w:lang w:eastAsia="sk-SK"/>
                    </w:rPr>
                    <w:t>250 eur/ vozidlo</w:t>
                  </w:r>
                </w:p>
              </w:tc>
              <w:tc>
                <w:tcPr>
                  <w:tcW w:w="2943" w:type="dxa"/>
                  <w:tcBorders>
                    <w:top w:val="single" w:sz="4" w:space="0" w:color="auto"/>
                    <w:left w:val="single" w:sz="4" w:space="0" w:color="auto"/>
                    <w:bottom w:val="single" w:sz="4" w:space="0" w:color="auto"/>
                    <w:right w:val="single" w:sz="4" w:space="0" w:color="auto"/>
                  </w:tcBorders>
                  <w:hideMark/>
                </w:tcPr>
                <w:p w14:paraId="0980DF4D" w14:textId="77777777" w:rsidR="00FB0432" w:rsidRPr="005F703B" w:rsidRDefault="00FB0432" w:rsidP="00DA58E5">
                  <w:pPr>
                    <w:jc w:val="center"/>
                    <w:rPr>
                      <w:rFonts w:ascii="Times New Roman" w:hAnsi="Times New Roman"/>
                      <w:i/>
                      <w:szCs w:val="20"/>
                      <w:lang w:eastAsia="sk-SK"/>
                    </w:rPr>
                  </w:pPr>
                  <w:r w:rsidRPr="005F703B">
                    <w:rPr>
                      <w:rFonts w:ascii="Times New Roman" w:hAnsi="Times New Roman"/>
                      <w:i/>
                      <w:szCs w:val="20"/>
                      <w:lang w:eastAsia="sk-SK"/>
                    </w:rPr>
                    <w:t>17 316 000 eur /5</w:t>
                  </w:r>
                  <w:r>
                    <w:rPr>
                      <w:rFonts w:ascii="Times New Roman" w:hAnsi="Times New Roman"/>
                      <w:i/>
                      <w:szCs w:val="20"/>
                      <w:lang w:eastAsia="sk-SK"/>
                    </w:rPr>
                    <w:t xml:space="preserve"> </w:t>
                  </w:r>
                  <w:r w:rsidRPr="005F703B">
                    <w:rPr>
                      <w:rFonts w:ascii="Times New Roman" w:hAnsi="Times New Roman"/>
                      <w:i/>
                      <w:szCs w:val="20"/>
                      <w:lang w:eastAsia="sk-SK"/>
                    </w:rPr>
                    <w:t>772 vozid</w:t>
                  </w:r>
                  <w:r>
                    <w:rPr>
                      <w:rFonts w:ascii="Times New Roman" w:hAnsi="Times New Roman"/>
                      <w:i/>
                      <w:szCs w:val="20"/>
                      <w:lang w:eastAsia="sk-SK"/>
                    </w:rPr>
                    <w:t>i</w:t>
                  </w:r>
                  <w:r w:rsidRPr="005F703B">
                    <w:rPr>
                      <w:rFonts w:ascii="Times New Roman" w:hAnsi="Times New Roman"/>
                      <w:i/>
                      <w:szCs w:val="20"/>
                      <w:lang w:eastAsia="sk-SK"/>
                    </w:rPr>
                    <w:t>el/</w:t>
                  </w:r>
                  <w:r>
                    <w:rPr>
                      <w:rFonts w:ascii="Times New Roman" w:hAnsi="Times New Roman"/>
                      <w:i/>
                      <w:szCs w:val="20"/>
                      <w:lang w:eastAsia="sk-SK"/>
                    </w:rPr>
                    <w:t xml:space="preserve"> </w:t>
                  </w:r>
                  <w:r w:rsidRPr="005F703B">
                    <w:rPr>
                      <w:rFonts w:ascii="Times New Roman" w:hAnsi="Times New Roman"/>
                      <w:i/>
                      <w:szCs w:val="20"/>
                      <w:lang w:eastAsia="sk-SK"/>
                    </w:rPr>
                    <w:t xml:space="preserve">rok </w:t>
                  </w:r>
                </w:p>
              </w:tc>
            </w:tr>
            <w:tr w:rsidR="00FB0432" w:rsidRPr="005F703B" w14:paraId="7B71146D" w14:textId="77777777" w:rsidTr="00DA58E5">
              <w:tc>
                <w:tcPr>
                  <w:tcW w:w="2955" w:type="dxa"/>
                  <w:tcBorders>
                    <w:top w:val="single" w:sz="4" w:space="0" w:color="auto"/>
                    <w:left w:val="single" w:sz="4" w:space="0" w:color="auto"/>
                    <w:bottom w:val="single" w:sz="4" w:space="0" w:color="auto"/>
                    <w:right w:val="single" w:sz="4" w:space="0" w:color="auto"/>
                  </w:tcBorders>
                  <w:hideMark/>
                </w:tcPr>
                <w:p w14:paraId="05C124FE" w14:textId="77777777" w:rsidR="00FB0432" w:rsidRPr="005F703B" w:rsidRDefault="00FB0432" w:rsidP="00DA58E5">
                  <w:pPr>
                    <w:jc w:val="both"/>
                    <w:rPr>
                      <w:rFonts w:ascii="Times New Roman" w:hAnsi="Times New Roman"/>
                      <w:i/>
                      <w:szCs w:val="20"/>
                      <w:lang w:eastAsia="sk-SK"/>
                    </w:rPr>
                  </w:pPr>
                  <w:r w:rsidRPr="005F703B">
                    <w:rPr>
                      <w:rFonts w:ascii="Times New Roman" w:hAnsi="Times New Roman"/>
                      <w:i/>
                      <w:szCs w:val="20"/>
                      <w:lang w:eastAsia="sk-SK"/>
                    </w:rPr>
                    <w:t>Vybavenie inteligentným tachografom druhej generácie</w:t>
                  </w:r>
                </w:p>
              </w:tc>
              <w:tc>
                <w:tcPr>
                  <w:tcW w:w="2938" w:type="dxa"/>
                  <w:tcBorders>
                    <w:top w:val="single" w:sz="4" w:space="0" w:color="auto"/>
                    <w:left w:val="single" w:sz="4" w:space="0" w:color="auto"/>
                    <w:bottom w:val="single" w:sz="4" w:space="0" w:color="auto"/>
                    <w:right w:val="single" w:sz="4" w:space="0" w:color="auto"/>
                  </w:tcBorders>
                  <w:hideMark/>
                </w:tcPr>
                <w:p w14:paraId="5DB4C611" w14:textId="77777777" w:rsidR="00FB0432" w:rsidRPr="005F703B" w:rsidRDefault="00FB0432" w:rsidP="00DA58E5">
                  <w:pPr>
                    <w:jc w:val="center"/>
                    <w:rPr>
                      <w:rFonts w:ascii="Times New Roman" w:hAnsi="Times New Roman"/>
                      <w:i/>
                      <w:szCs w:val="20"/>
                      <w:lang w:eastAsia="sk-SK"/>
                    </w:rPr>
                  </w:pPr>
                  <w:r w:rsidRPr="005F703B">
                    <w:rPr>
                      <w:rFonts w:ascii="Times New Roman" w:hAnsi="Times New Roman"/>
                      <w:i/>
                      <w:szCs w:val="20"/>
                      <w:lang w:eastAsia="sk-SK"/>
                    </w:rPr>
                    <w:t>1 100 eur/vozidlo</w:t>
                  </w:r>
                </w:p>
              </w:tc>
              <w:tc>
                <w:tcPr>
                  <w:tcW w:w="2943" w:type="dxa"/>
                  <w:tcBorders>
                    <w:top w:val="single" w:sz="4" w:space="0" w:color="auto"/>
                    <w:left w:val="single" w:sz="4" w:space="0" w:color="auto"/>
                    <w:bottom w:val="single" w:sz="4" w:space="0" w:color="auto"/>
                    <w:right w:val="single" w:sz="4" w:space="0" w:color="auto"/>
                  </w:tcBorders>
                  <w:hideMark/>
                </w:tcPr>
                <w:p w14:paraId="7B1F50F1" w14:textId="77777777" w:rsidR="00FB0432" w:rsidRPr="005F703B" w:rsidRDefault="00FB0432" w:rsidP="00DA58E5">
                  <w:pPr>
                    <w:jc w:val="center"/>
                    <w:rPr>
                      <w:rFonts w:ascii="Times New Roman" w:hAnsi="Times New Roman"/>
                      <w:i/>
                      <w:szCs w:val="20"/>
                      <w:lang w:eastAsia="sk-SK"/>
                    </w:rPr>
                  </w:pPr>
                  <w:r w:rsidRPr="005F703B">
                    <w:rPr>
                      <w:rFonts w:ascii="Times New Roman" w:hAnsi="Times New Roman"/>
                      <w:i/>
                      <w:szCs w:val="20"/>
                      <w:lang w:eastAsia="sk-SK"/>
                    </w:rPr>
                    <w:t>31 746 000 eur/ 28 860 vozidiel</w:t>
                  </w:r>
                  <w:r>
                    <w:rPr>
                      <w:rFonts w:ascii="Times New Roman" w:hAnsi="Times New Roman"/>
                      <w:i/>
                      <w:szCs w:val="20"/>
                      <w:lang w:eastAsia="sk-SK"/>
                    </w:rPr>
                    <w:t>/ rok</w:t>
                  </w:r>
                </w:p>
              </w:tc>
            </w:tr>
            <w:tr w:rsidR="00FB0432" w:rsidRPr="005F703B" w14:paraId="52F9AFA3" w14:textId="77777777" w:rsidTr="00DA58E5">
              <w:tc>
                <w:tcPr>
                  <w:tcW w:w="2955" w:type="dxa"/>
                  <w:tcBorders>
                    <w:top w:val="single" w:sz="4" w:space="0" w:color="auto"/>
                    <w:left w:val="single" w:sz="4" w:space="0" w:color="auto"/>
                    <w:bottom w:val="single" w:sz="4" w:space="0" w:color="auto"/>
                    <w:right w:val="single" w:sz="4" w:space="0" w:color="auto"/>
                  </w:tcBorders>
                  <w:hideMark/>
                </w:tcPr>
                <w:p w14:paraId="3C298293" w14:textId="77777777" w:rsidR="00FB0432" w:rsidRPr="005F703B" w:rsidRDefault="00FB0432" w:rsidP="00DA58E5">
                  <w:pPr>
                    <w:jc w:val="both"/>
                    <w:rPr>
                      <w:rFonts w:ascii="Times New Roman" w:hAnsi="Times New Roman"/>
                      <w:b/>
                      <w:i/>
                      <w:szCs w:val="20"/>
                      <w:lang w:eastAsia="sk-SK"/>
                    </w:rPr>
                  </w:pPr>
                  <w:r w:rsidRPr="005F703B">
                    <w:rPr>
                      <w:rFonts w:ascii="Times New Roman" w:hAnsi="Times New Roman"/>
                      <w:b/>
                      <w:i/>
                      <w:szCs w:val="20"/>
                      <w:lang w:eastAsia="sk-SK"/>
                    </w:rPr>
                    <w:t xml:space="preserve">Celkové nepriame finančné náklady  </w:t>
                  </w:r>
                </w:p>
              </w:tc>
              <w:tc>
                <w:tcPr>
                  <w:tcW w:w="2938" w:type="dxa"/>
                  <w:tcBorders>
                    <w:top w:val="single" w:sz="4" w:space="0" w:color="auto"/>
                    <w:left w:val="single" w:sz="4" w:space="0" w:color="auto"/>
                    <w:bottom w:val="single" w:sz="4" w:space="0" w:color="auto"/>
                    <w:right w:val="single" w:sz="4" w:space="0" w:color="auto"/>
                  </w:tcBorders>
                  <w:hideMark/>
                </w:tcPr>
                <w:p w14:paraId="1F830750" w14:textId="77777777" w:rsidR="00FB0432" w:rsidRPr="005F703B" w:rsidRDefault="00FB0432" w:rsidP="00DA58E5">
                  <w:pPr>
                    <w:jc w:val="center"/>
                    <w:rPr>
                      <w:rFonts w:ascii="Times New Roman" w:hAnsi="Times New Roman"/>
                      <w:b/>
                      <w:i/>
                      <w:szCs w:val="20"/>
                      <w:lang w:eastAsia="sk-SK"/>
                    </w:rPr>
                  </w:pPr>
                  <w:r w:rsidRPr="005F703B">
                    <w:rPr>
                      <w:rFonts w:ascii="Times New Roman" w:hAnsi="Times New Roman"/>
                      <w:b/>
                      <w:i/>
                      <w:szCs w:val="20"/>
                      <w:lang w:eastAsia="sk-SK"/>
                    </w:rPr>
                    <w:t>1</w:t>
                  </w:r>
                  <w:r>
                    <w:rPr>
                      <w:rFonts w:ascii="Times New Roman" w:hAnsi="Times New Roman"/>
                      <w:b/>
                      <w:i/>
                      <w:szCs w:val="20"/>
                      <w:lang w:eastAsia="sk-SK"/>
                    </w:rPr>
                    <w:t xml:space="preserve"> </w:t>
                  </w:r>
                  <w:r w:rsidRPr="005F703B">
                    <w:rPr>
                      <w:rFonts w:ascii="Times New Roman" w:hAnsi="Times New Roman"/>
                      <w:b/>
                      <w:i/>
                      <w:szCs w:val="20"/>
                      <w:lang w:eastAsia="sk-SK"/>
                    </w:rPr>
                    <w:t>350 eur</w:t>
                  </w:r>
                </w:p>
              </w:tc>
              <w:tc>
                <w:tcPr>
                  <w:tcW w:w="2943" w:type="dxa"/>
                  <w:tcBorders>
                    <w:top w:val="single" w:sz="4" w:space="0" w:color="auto"/>
                    <w:left w:val="single" w:sz="4" w:space="0" w:color="auto"/>
                    <w:bottom w:val="single" w:sz="4" w:space="0" w:color="auto"/>
                    <w:right w:val="single" w:sz="4" w:space="0" w:color="auto"/>
                  </w:tcBorders>
                  <w:hideMark/>
                </w:tcPr>
                <w:p w14:paraId="00BC4D9A" w14:textId="77777777" w:rsidR="00FB0432" w:rsidRPr="005F703B" w:rsidRDefault="00FB0432" w:rsidP="00DA58E5">
                  <w:pPr>
                    <w:jc w:val="center"/>
                    <w:rPr>
                      <w:rFonts w:ascii="Times New Roman" w:hAnsi="Times New Roman"/>
                      <w:b/>
                      <w:i/>
                      <w:szCs w:val="20"/>
                      <w:lang w:eastAsia="sk-SK"/>
                    </w:rPr>
                  </w:pPr>
                  <w:r w:rsidRPr="005F703B">
                    <w:rPr>
                      <w:rFonts w:ascii="Times New Roman" w:hAnsi="Times New Roman"/>
                      <w:b/>
                      <w:i/>
                      <w:szCs w:val="20"/>
                      <w:lang w:eastAsia="sk-SK"/>
                    </w:rPr>
                    <w:t xml:space="preserve"> 49 062 000 eur</w:t>
                  </w:r>
                </w:p>
              </w:tc>
            </w:tr>
          </w:tbl>
          <w:p w14:paraId="4FD3DDE0" w14:textId="77777777" w:rsidR="00FB0432" w:rsidRPr="005F703B" w:rsidRDefault="00FB0432" w:rsidP="00DA58E5">
            <w:pPr>
              <w:tabs>
                <w:tab w:val="left" w:pos="1134"/>
              </w:tabs>
              <w:contextualSpacing/>
              <w:jc w:val="both"/>
              <w:rPr>
                <w:rFonts w:ascii="Times New Roman" w:hAnsi="Times New Roman"/>
                <w:highlight w:val="yellow"/>
              </w:rPr>
            </w:pPr>
          </w:p>
          <w:p w14:paraId="0DF3C1A1" w14:textId="77777777" w:rsidR="00FB0432" w:rsidRPr="005F703B" w:rsidRDefault="00FB0432" w:rsidP="00DA58E5">
            <w:pPr>
              <w:jc w:val="both"/>
              <w:rPr>
                <w:rFonts w:ascii="Times New Roman" w:hAnsi="Times New Roman"/>
                <w:szCs w:val="20"/>
                <w:highlight w:val="yellow"/>
                <w:lang w:eastAsia="sk-SK"/>
              </w:rPr>
            </w:pPr>
          </w:p>
          <w:p w14:paraId="5B57FC80" w14:textId="77777777" w:rsidR="00FB0432" w:rsidRPr="005F703B" w:rsidRDefault="00FB0432" w:rsidP="00DA58E5">
            <w:pPr>
              <w:jc w:val="both"/>
              <w:rPr>
                <w:rFonts w:ascii="Times New Roman" w:hAnsi="Times New Roman"/>
                <w:i/>
                <w:highlight w:val="yellow"/>
                <w:lang w:eastAsia="sk-SK"/>
              </w:rPr>
            </w:pPr>
          </w:p>
        </w:tc>
      </w:tr>
      <w:tr w:rsidR="00FB0432" w:rsidRPr="005F703B" w14:paraId="5434F853" w14:textId="77777777" w:rsidTr="00DA58E5">
        <w:tc>
          <w:tcPr>
            <w:tcW w:w="9062" w:type="dxa"/>
            <w:tcBorders>
              <w:top w:val="single" w:sz="4" w:space="0" w:color="auto"/>
              <w:left w:val="single" w:sz="4" w:space="0" w:color="auto"/>
              <w:bottom w:val="single" w:sz="4" w:space="0" w:color="auto"/>
              <w:right w:val="single" w:sz="4" w:space="0" w:color="auto"/>
            </w:tcBorders>
            <w:hideMark/>
          </w:tcPr>
          <w:p w14:paraId="6C6BCCF8" w14:textId="77777777" w:rsidR="00FB0432" w:rsidRPr="005F703B" w:rsidRDefault="00FB0432" w:rsidP="00DA58E5">
            <w:pPr>
              <w:rPr>
                <w:rFonts w:ascii="Times New Roman" w:hAnsi="Times New Roman"/>
                <w:b/>
                <w:i/>
                <w:szCs w:val="20"/>
                <w:lang w:eastAsia="sk-SK"/>
              </w:rPr>
            </w:pPr>
            <w:r w:rsidRPr="005F703B">
              <w:rPr>
                <w:rFonts w:ascii="Times New Roman" w:hAnsi="Times New Roman"/>
                <w:b/>
                <w:i/>
                <w:szCs w:val="20"/>
                <w:lang w:eastAsia="sk-SK"/>
              </w:rPr>
              <w:lastRenderedPageBreak/>
              <w:t>3.3.3 Administratívne náklady</w:t>
            </w:r>
          </w:p>
          <w:p w14:paraId="7EA327A6" w14:textId="77777777" w:rsidR="00FB0432" w:rsidRPr="005F703B" w:rsidRDefault="00FB0432" w:rsidP="00DA58E5">
            <w:pPr>
              <w:jc w:val="both"/>
              <w:rPr>
                <w:rFonts w:ascii="Times New Roman" w:hAnsi="Times New Roman"/>
                <w:i/>
                <w:szCs w:val="20"/>
                <w:lang w:eastAsia="sk-SK"/>
              </w:rPr>
            </w:pPr>
            <w:r w:rsidRPr="005F703B">
              <w:rPr>
                <w:rFonts w:ascii="Times New Roman" w:hAnsi="Times New Roman"/>
                <w:i/>
                <w:szCs w:val="20"/>
                <w:lang w:eastAsia="sk-SK"/>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FB0432" w:rsidRPr="005F703B" w14:paraId="1FF1F598" w14:textId="77777777" w:rsidTr="00DA58E5">
        <w:tc>
          <w:tcPr>
            <w:tcW w:w="9062" w:type="dxa"/>
            <w:tcBorders>
              <w:top w:val="single" w:sz="4" w:space="0" w:color="auto"/>
              <w:left w:val="single" w:sz="4" w:space="0" w:color="auto"/>
              <w:bottom w:val="single" w:sz="4" w:space="0" w:color="auto"/>
              <w:right w:val="single" w:sz="4" w:space="0" w:color="auto"/>
            </w:tcBorders>
          </w:tcPr>
          <w:p w14:paraId="0F276D16" w14:textId="77777777" w:rsidR="00FB0432" w:rsidRPr="005F703B" w:rsidRDefault="00FB0432" w:rsidP="00DA58E5">
            <w:pPr>
              <w:jc w:val="both"/>
              <w:rPr>
                <w:rFonts w:ascii="Times New Roman" w:hAnsi="Times New Roman"/>
              </w:rPr>
            </w:pPr>
            <w:r w:rsidRPr="005F703B">
              <w:rPr>
                <w:rFonts w:ascii="Times New Roman" w:hAnsi="Times New Roman"/>
              </w:rPr>
              <w:t xml:space="preserve">Právna úprava s účinnosťou od 2. februára 2022 zjednotí pravidlá vysielania vodičov v odvetví cestnej dopravy v rámci Európskej únie. Určí, že medzinárodná doprava v tranzite </w:t>
            </w:r>
            <w:r w:rsidRPr="005F703B">
              <w:rPr>
                <w:rFonts w:ascii="Times New Roman" w:hAnsi="Times New Roman"/>
              </w:rPr>
              <w:lastRenderedPageBreak/>
              <w:t>cez územie členského štátu nepredstavuje vysielanie a zároveň určí, ktoré dopravné činnosti majú výnimku z podmienok vysielania</w:t>
            </w:r>
            <w:r>
              <w:rPr>
                <w:rFonts w:ascii="Times New Roman" w:hAnsi="Times New Roman"/>
              </w:rPr>
              <w:t>,</w:t>
            </w:r>
            <w:r w:rsidRPr="005F703B">
              <w:rPr>
                <w:rFonts w:ascii="Times New Roman" w:hAnsi="Times New Roman"/>
              </w:rPr>
              <w:t xml:space="preserve"> a to najmä v súvislosti s bilaterálnymi prepravami medzi členskými štátmi Európskej únie. </w:t>
            </w:r>
            <w:proofErr w:type="spellStart"/>
            <w:r w:rsidRPr="005F703B">
              <w:rPr>
                <w:rFonts w:ascii="Times New Roman" w:hAnsi="Times New Roman"/>
              </w:rPr>
              <w:t>Kabotážna</w:t>
            </w:r>
            <w:proofErr w:type="spellEnd"/>
            <w:r w:rsidRPr="005F703B">
              <w:rPr>
                <w:rFonts w:ascii="Times New Roman" w:hAnsi="Times New Roman"/>
              </w:rPr>
              <w:t xml:space="preserve"> preprava bude považovaná za vysielanie. </w:t>
            </w:r>
          </w:p>
          <w:p w14:paraId="76908BCD" w14:textId="77777777" w:rsidR="00FB0432" w:rsidRPr="005F703B" w:rsidRDefault="00FB0432" w:rsidP="00DA58E5">
            <w:pPr>
              <w:jc w:val="both"/>
              <w:rPr>
                <w:rFonts w:ascii="Times New Roman" w:hAnsi="Times New Roman" w:cs="Arial"/>
              </w:rPr>
            </w:pPr>
            <w:r w:rsidRPr="005F703B">
              <w:rPr>
                <w:rFonts w:ascii="Times New Roman" w:hAnsi="Times New Roman"/>
              </w:rPr>
              <w:t xml:space="preserve">Pozitívom tejto úpravy pre podnikateľské prostredie sú jednotné podmienky v rámci Európskej únie. Členské štáty nebudú vo vyššie uvedených prípadoch zavádzať rôzne národné úpravy, čiže </w:t>
            </w:r>
            <w:r>
              <w:rPr>
                <w:rFonts w:ascii="Times New Roman" w:hAnsi="Times New Roman"/>
              </w:rPr>
              <w:t xml:space="preserve">sa na </w:t>
            </w:r>
            <w:r w:rsidRPr="005F703B">
              <w:rPr>
                <w:rFonts w:ascii="Times New Roman" w:hAnsi="Times New Roman"/>
              </w:rPr>
              <w:t>časť dopravcov pokiaľ budú vykonávať prepravy v rámci povolených výnimiek nebudú vzťahovať podmienky vysielania v iných členských štátoch</w:t>
            </w:r>
            <w:r>
              <w:rPr>
                <w:rFonts w:ascii="Times New Roman" w:hAnsi="Times New Roman"/>
              </w:rPr>
              <w:t xml:space="preserve"> Európskej únie</w:t>
            </w:r>
            <w:r w:rsidRPr="005F703B">
              <w:rPr>
                <w:rFonts w:ascii="Times New Roman" w:hAnsi="Times New Roman"/>
              </w:rPr>
              <w:t>. Nevýhodou je, že v rámci jednotného trhu ak dopravcovia budú vykonávať prepravy nad rozsah, ktorý im povoľujú výnimky</w:t>
            </w:r>
            <w:r>
              <w:rPr>
                <w:rFonts w:ascii="Times New Roman" w:hAnsi="Times New Roman"/>
              </w:rPr>
              <w:t>,</w:t>
            </w:r>
            <w:r w:rsidRPr="005F703B">
              <w:rPr>
                <w:rFonts w:ascii="Times New Roman" w:hAnsi="Times New Roman"/>
              </w:rPr>
              <w:t xml:space="preserve"> budú musieť pred vyslaním nahlásiť a priebežne aktualizovať údaje ohľadom vysielania v systéme IMI. </w:t>
            </w:r>
          </w:p>
          <w:p w14:paraId="22503B20" w14:textId="77777777" w:rsidR="00FB0432" w:rsidRPr="005F703B" w:rsidRDefault="00FB0432" w:rsidP="00DA58E5">
            <w:pPr>
              <w:jc w:val="both"/>
              <w:rPr>
                <w:rFonts w:ascii="Times New Roman" w:hAnsi="Times New Roman"/>
              </w:rPr>
            </w:pPr>
          </w:p>
          <w:p w14:paraId="7AF8F3A4" w14:textId="77777777" w:rsidR="00FB0432" w:rsidRPr="005F703B" w:rsidRDefault="00FB0432" w:rsidP="00DA58E5">
            <w:pPr>
              <w:jc w:val="both"/>
              <w:rPr>
                <w:rFonts w:ascii="Times New Roman" w:hAnsi="Times New Roman"/>
              </w:rPr>
            </w:pPr>
            <w:r w:rsidRPr="005F703B">
              <w:rPr>
                <w:rFonts w:ascii="Times New Roman" w:hAnsi="Times New Roman"/>
              </w:rPr>
              <w:t>Informácie a doklady k vysielaniu sa budú vymieňať prostredníctvom informačného systému o vnútornom trhu, ktorý je už v súčasnosti využívaný na spoluprácu medzi členskými štátmi Európskej únie a Európskou komisiou. Prevádzkovateľom systému IMI je Európska komisia</w:t>
            </w:r>
            <w:r>
              <w:rPr>
                <w:rFonts w:ascii="Times New Roman" w:hAnsi="Times New Roman"/>
              </w:rPr>
              <w:t>.</w:t>
            </w:r>
            <w:r w:rsidRPr="005F703B">
              <w:rPr>
                <w:rFonts w:ascii="Times New Roman" w:hAnsi="Times New Roman"/>
              </w:rPr>
              <w:t xml:space="preserve"> </w:t>
            </w:r>
            <w:r>
              <w:rPr>
                <w:rFonts w:ascii="Times New Roman" w:hAnsi="Times New Roman"/>
              </w:rPr>
              <w:t>V</w:t>
            </w:r>
            <w:r w:rsidRPr="005F703B">
              <w:rPr>
                <w:rFonts w:ascii="Times New Roman" w:hAnsi="Times New Roman"/>
              </w:rPr>
              <w:t xml:space="preserve"> tejto súvislosti pre Slovenskú republiku nevzniknú náklady z hľadiska informatizácie. Administratívne náklady môžu vzniknúť dopravcom, ktorí nebudú patriť pod výnimky z vysielania a ktorí budú musieť poskytovať informácie z hľadiska vysielania v systéme IMI. </w:t>
            </w:r>
          </w:p>
          <w:p w14:paraId="3BA7E38C" w14:textId="77777777" w:rsidR="00FB0432" w:rsidRPr="005F703B" w:rsidRDefault="00FB0432" w:rsidP="00DA58E5">
            <w:pPr>
              <w:tabs>
                <w:tab w:val="left" w:pos="1134"/>
              </w:tabs>
              <w:contextualSpacing/>
              <w:jc w:val="both"/>
              <w:rPr>
                <w:rFonts w:ascii="Times New Roman" w:hAnsi="Times New Roman"/>
              </w:rPr>
            </w:pPr>
            <w:r w:rsidRPr="005F703B">
              <w:rPr>
                <w:rFonts w:ascii="Times New Roman" w:hAnsi="Times New Roman"/>
              </w:rPr>
              <w:t xml:space="preserve">Administratívne náklady - Náklady na poskytnutie informácie v systéme IMI . </w:t>
            </w:r>
          </w:p>
          <w:p w14:paraId="32D14D33" w14:textId="77777777" w:rsidR="00FB0432" w:rsidRPr="005F703B" w:rsidRDefault="00FB0432" w:rsidP="00DA58E5">
            <w:pPr>
              <w:tabs>
                <w:tab w:val="left" w:pos="1134"/>
              </w:tabs>
              <w:contextualSpacing/>
              <w:jc w:val="both"/>
              <w:rPr>
                <w:rFonts w:ascii="Times New Roman" w:hAnsi="Times New Roman"/>
              </w:rPr>
            </w:pPr>
            <w:r w:rsidRPr="005F703B">
              <w:rPr>
                <w:rFonts w:ascii="Times New Roman" w:hAnsi="Times New Roman"/>
              </w:rPr>
              <w:t>– (60 minút podľa metodiky), frekvencia plnenia povinnosti 4-krát do mesiaca – (koeficient frekvencie 48, priemerná hrubá mzda v národnom hospodárstve (</w:t>
            </w:r>
            <w:r>
              <w:rPr>
                <w:rFonts w:ascii="Times New Roman" w:hAnsi="Times New Roman"/>
              </w:rPr>
              <w:t>1133</w:t>
            </w:r>
            <w:r w:rsidRPr="005F703B">
              <w:rPr>
                <w:rFonts w:ascii="Times New Roman" w:hAnsi="Times New Roman"/>
              </w:rPr>
              <w:t xml:space="preserve"> </w:t>
            </w:r>
            <w:r>
              <w:rPr>
                <w:rFonts w:ascii="Times New Roman" w:hAnsi="Times New Roman"/>
              </w:rPr>
              <w:t>eur</w:t>
            </w:r>
            <w:r w:rsidRPr="005F703B">
              <w:rPr>
                <w:rFonts w:ascii="Times New Roman" w:hAnsi="Times New Roman"/>
              </w:rPr>
              <w:t>), počet vozidiel na zaznamenanie v systéme (17 316 vozidiel</w:t>
            </w:r>
            <w:r>
              <w:rPr>
                <w:rFonts w:ascii="Times New Roman" w:hAnsi="Times New Roman"/>
              </w:rPr>
              <w:t>,</w:t>
            </w:r>
            <w:r w:rsidRPr="005F703B">
              <w:rPr>
                <w:rFonts w:ascii="Times New Roman" w:hAnsi="Times New Roman"/>
              </w:rPr>
              <w:t xml:space="preserve"> t. j. 30 % vozidiel</w:t>
            </w:r>
            <w:r>
              <w:rPr>
                <w:rFonts w:ascii="Times New Roman" w:hAnsi="Times New Roman"/>
              </w:rPr>
              <w:t>,</w:t>
            </w:r>
            <w:r w:rsidRPr="005F703B">
              <w:rPr>
                <w:rFonts w:ascii="Times New Roman" w:hAnsi="Times New Roman"/>
              </w:rPr>
              <w:t xml:space="preserve"> ktoré majú vydanú licenciu Spoločenstva).</w:t>
            </w:r>
          </w:p>
          <w:p w14:paraId="228B611D" w14:textId="77777777" w:rsidR="00FB0432" w:rsidRPr="005F703B" w:rsidRDefault="00FB0432" w:rsidP="00DA58E5">
            <w:pPr>
              <w:tabs>
                <w:tab w:val="left" w:pos="1134"/>
              </w:tabs>
              <w:contextualSpacing/>
              <w:jc w:val="both"/>
              <w:rPr>
                <w:rFonts w:ascii="Times New Roman" w:hAnsi="Times New Roman"/>
                <w:i/>
              </w:rPr>
            </w:pPr>
            <w:r w:rsidRPr="005F703B">
              <w:rPr>
                <w:rFonts w:ascii="Times New Roman" w:hAnsi="Times New Roman"/>
              </w:rPr>
              <w:t>Výpočet</w:t>
            </w:r>
            <w:r>
              <w:rPr>
                <w:rFonts w:ascii="Times New Roman" w:hAnsi="Times New Roman"/>
              </w:rPr>
              <w:t>: 1133</w:t>
            </w:r>
            <w:r w:rsidRPr="005F703B">
              <w:rPr>
                <w:rFonts w:ascii="Times New Roman" w:hAnsi="Times New Roman"/>
              </w:rPr>
              <w:t xml:space="preserve"> </w:t>
            </w:r>
            <w:r>
              <w:rPr>
                <w:rFonts w:ascii="Times New Roman" w:hAnsi="Times New Roman"/>
              </w:rPr>
              <w:t>eur</w:t>
            </w:r>
            <w:r w:rsidRPr="005F703B">
              <w:rPr>
                <w:rFonts w:ascii="Times New Roman" w:hAnsi="Times New Roman"/>
              </w:rPr>
              <w:t>/160 hodín</w:t>
            </w:r>
            <w:r>
              <w:rPr>
                <w:rFonts w:ascii="Times New Roman" w:hAnsi="Times New Roman"/>
              </w:rPr>
              <w:t xml:space="preserve"> za </w:t>
            </w:r>
            <w:r w:rsidRPr="005F703B">
              <w:rPr>
                <w:rFonts w:ascii="Times New Roman" w:hAnsi="Times New Roman"/>
              </w:rPr>
              <w:t>mesiac *1 hodina (60 min)</w:t>
            </w:r>
            <w:r>
              <w:rPr>
                <w:rFonts w:ascii="Times New Roman" w:hAnsi="Times New Roman"/>
              </w:rPr>
              <w:t xml:space="preserve"> </w:t>
            </w:r>
            <w:r w:rsidRPr="005F703B">
              <w:rPr>
                <w:rFonts w:ascii="Times New Roman" w:hAnsi="Times New Roman"/>
              </w:rPr>
              <w:t xml:space="preserve">*48 </w:t>
            </w:r>
            <w:r>
              <w:rPr>
                <w:rFonts w:ascii="Times New Roman" w:hAnsi="Times New Roman"/>
              </w:rPr>
              <w:t xml:space="preserve">(koeficient frekvencie 4 x mesačne) </w:t>
            </w:r>
            <w:r w:rsidRPr="005F703B">
              <w:rPr>
                <w:rFonts w:ascii="Times New Roman" w:hAnsi="Times New Roman"/>
              </w:rPr>
              <w:t xml:space="preserve">= </w:t>
            </w:r>
            <w:r>
              <w:rPr>
                <w:rFonts w:ascii="Times New Roman" w:hAnsi="Times New Roman"/>
              </w:rPr>
              <w:t>339,9</w:t>
            </w:r>
            <w:r w:rsidRPr="005F703B">
              <w:rPr>
                <w:rFonts w:ascii="Times New Roman" w:hAnsi="Times New Roman"/>
              </w:rPr>
              <w:t xml:space="preserve"> eur</w:t>
            </w:r>
            <w:r>
              <w:rPr>
                <w:rFonts w:ascii="Times New Roman" w:hAnsi="Times New Roman"/>
              </w:rPr>
              <w:t xml:space="preserve"> za </w:t>
            </w:r>
            <w:r w:rsidRPr="005F703B">
              <w:rPr>
                <w:rFonts w:ascii="Times New Roman" w:hAnsi="Times New Roman"/>
              </w:rPr>
              <w:t>1 vozidlo</w:t>
            </w:r>
            <w:r>
              <w:rPr>
                <w:rFonts w:ascii="Times New Roman" w:hAnsi="Times New Roman"/>
              </w:rPr>
              <w:t>.</w:t>
            </w:r>
            <w:r w:rsidRPr="005F703B">
              <w:rPr>
                <w:rFonts w:ascii="Times New Roman" w:hAnsi="Times New Roman"/>
              </w:rPr>
              <w:t xml:space="preserve"> </w:t>
            </w:r>
            <w:r>
              <w:rPr>
                <w:rFonts w:ascii="Times New Roman" w:hAnsi="Times New Roman"/>
              </w:rPr>
              <w:t>N</w:t>
            </w:r>
            <w:r w:rsidRPr="005F703B">
              <w:rPr>
                <w:rFonts w:ascii="Times New Roman" w:hAnsi="Times New Roman"/>
              </w:rPr>
              <w:t xml:space="preserve">a celé podnikateľské prostredie </w:t>
            </w:r>
            <w:r>
              <w:rPr>
                <w:rFonts w:ascii="Times New Roman" w:hAnsi="Times New Roman"/>
              </w:rPr>
              <w:t>339,9</w:t>
            </w:r>
            <w:r w:rsidRPr="005F703B">
              <w:rPr>
                <w:rFonts w:ascii="Times New Roman" w:hAnsi="Times New Roman"/>
              </w:rPr>
              <w:t xml:space="preserve"> eur x 17 316 </w:t>
            </w:r>
            <w:r>
              <w:rPr>
                <w:rFonts w:ascii="Times New Roman" w:hAnsi="Times New Roman"/>
              </w:rPr>
              <w:t>(celkový počet vozidiel)</w:t>
            </w:r>
            <w:r w:rsidRPr="005F703B">
              <w:rPr>
                <w:rFonts w:ascii="Times New Roman" w:hAnsi="Times New Roman"/>
              </w:rPr>
              <w:t xml:space="preserve"> = </w:t>
            </w:r>
            <w:r>
              <w:rPr>
                <w:rFonts w:ascii="Times New Roman" w:hAnsi="Times New Roman"/>
              </w:rPr>
              <w:t>5 885 708,4</w:t>
            </w:r>
            <w:r w:rsidRPr="005F703B">
              <w:rPr>
                <w:rFonts w:ascii="Times New Roman" w:hAnsi="Times New Roman"/>
              </w:rPr>
              <w:t xml:space="preserve"> eur</w:t>
            </w:r>
            <w:r w:rsidRPr="005F703B">
              <w:rPr>
                <w:rFonts w:ascii="Times New Roman" w:hAnsi="Times New Roman"/>
                <w:i/>
              </w:rPr>
              <w:t>.</w:t>
            </w:r>
          </w:p>
          <w:p w14:paraId="5819693B" w14:textId="77777777" w:rsidR="00FB0432" w:rsidRPr="005F703B" w:rsidRDefault="00FB0432" w:rsidP="00DA58E5">
            <w:pPr>
              <w:jc w:val="both"/>
              <w:rPr>
                <w:rFonts w:ascii="Times New Roman" w:hAnsi="Times New Roman"/>
                <w:strike/>
                <w:lang w:eastAsia="sk-SK"/>
              </w:rPr>
            </w:pPr>
          </w:p>
          <w:p w14:paraId="61E6D226" w14:textId="77777777" w:rsidR="00FB0432" w:rsidRPr="005F703B" w:rsidRDefault="00FB0432" w:rsidP="00DA58E5">
            <w:pPr>
              <w:jc w:val="both"/>
              <w:rPr>
                <w:rFonts w:ascii="Times New Roman" w:hAnsi="Times New Roman"/>
                <w:lang w:eastAsia="sk-SK"/>
              </w:rPr>
            </w:pPr>
          </w:p>
          <w:tbl>
            <w:tblPr>
              <w:tblStyle w:val="Mriekatabuky1"/>
              <w:tblW w:w="0" w:type="auto"/>
              <w:tblLook w:val="04A0" w:firstRow="1" w:lastRow="0" w:firstColumn="1" w:lastColumn="0" w:noHBand="0" w:noVBand="1"/>
            </w:tblPr>
            <w:tblGrid>
              <w:gridCol w:w="2955"/>
              <w:gridCol w:w="2937"/>
              <w:gridCol w:w="2942"/>
            </w:tblGrid>
            <w:tr w:rsidR="00FB0432" w:rsidRPr="005F703B" w14:paraId="3D942FBD" w14:textId="77777777" w:rsidTr="00DA58E5">
              <w:tc>
                <w:tcPr>
                  <w:tcW w:w="2955" w:type="dxa"/>
                  <w:tcBorders>
                    <w:top w:val="single" w:sz="4" w:space="0" w:color="auto"/>
                    <w:left w:val="single" w:sz="4" w:space="0" w:color="auto"/>
                    <w:bottom w:val="single" w:sz="4" w:space="0" w:color="auto"/>
                    <w:right w:val="single" w:sz="4" w:space="0" w:color="auto"/>
                  </w:tcBorders>
                  <w:hideMark/>
                </w:tcPr>
                <w:p w14:paraId="6F18F436" w14:textId="77777777" w:rsidR="00FB0432" w:rsidRPr="005F703B" w:rsidRDefault="00FB0432" w:rsidP="00DA58E5">
                  <w:pPr>
                    <w:rPr>
                      <w:rFonts w:ascii="Times New Roman" w:hAnsi="Times New Roman"/>
                      <w:i/>
                      <w:szCs w:val="20"/>
                      <w:lang w:eastAsia="sk-SK"/>
                    </w:rPr>
                  </w:pPr>
                  <w:r w:rsidRPr="005F703B">
                    <w:rPr>
                      <w:rFonts w:ascii="Times New Roman" w:hAnsi="Times New Roman"/>
                      <w:i/>
                      <w:szCs w:val="20"/>
                      <w:lang w:eastAsia="sk-SK"/>
                    </w:rPr>
                    <w:t>Administratívne náklady</w:t>
                  </w:r>
                </w:p>
              </w:tc>
              <w:tc>
                <w:tcPr>
                  <w:tcW w:w="2938" w:type="dxa"/>
                  <w:tcBorders>
                    <w:top w:val="single" w:sz="4" w:space="0" w:color="auto"/>
                    <w:left w:val="single" w:sz="4" w:space="0" w:color="auto"/>
                    <w:bottom w:val="single" w:sz="4" w:space="0" w:color="auto"/>
                    <w:right w:val="single" w:sz="4" w:space="0" w:color="auto"/>
                  </w:tcBorders>
                  <w:hideMark/>
                </w:tcPr>
                <w:p w14:paraId="2B5DB7DA" w14:textId="77777777" w:rsidR="00FB0432" w:rsidRPr="005F703B" w:rsidRDefault="00FB0432" w:rsidP="00DA58E5">
                  <w:pPr>
                    <w:jc w:val="center"/>
                    <w:rPr>
                      <w:rFonts w:ascii="Times New Roman" w:hAnsi="Times New Roman"/>
                      <w:i/>
                      <w:szCs w:val="20"/>
                      <w:lang w:eastAsia="sk-SK"/>
                    </w:rPr>
                  </w:pPr>
                  <w:r w:rsidRPr="005F703B">
                    <w:rPr>
                      <w:rFonts w:ascii="Times New Roman" w:hAnsi="Times New Roman"/>
                      <w:i/>
                      <w:szCs w:val="20"/>
                      <w:lang w:eastAsia="sk-SK"/>
                    </w:rPr>
                    <w:t>Náklady</w:t>
                  </w:r>
                </w:p>
              </w:tc>
              <w:tc>
                <w:tcPr>
                  <w:tcW w:w="2943" w:type="dxa"/>
                  <w:tcBorders>
                    <w:top w:val="single" w:sz="4" w:space="0" w:color="auto"/>
                    <w:left w:val="single" w:sz="4" w:space="0" w:color="auto"/>
                    <w:bottom w:val="single" w:sz="4" w:space="0" w:color="auto"/>
                    <w:right w:val="single" w:sz="4" w:space="0" w:color="auto"/>
                  </w:tcBorders>
                </w:tcPr>
                <w:p w14:paraId="4562DFF7" w14:textId="77777777" w:rsidR="00FB0432" w:rsidRPr="005F703B" w:rsidRDefault="00FB0432" w:rsidP="00DA58E5">
                  <w:pPr>
                    <w:jc w:val="center"/>
                    <w:rPr>
                      <w:rFonts w:ascii="Times New Roman" w:hAnsi="Times New Roman"/>
                      <w:i/>
                      <w:szCs w:val="20"/>
                      <w:lang w:eastAsia="sk-SK"/>
                    </w:rPr>
                  </w:pPr>
                  <w:r w:rsidRPr="005F703B">
                    <w:rPr>
                      <w:rFonts w:ascii="Times New Roman" w:hAnsi="Times New Roman"/>
                      <w:i/>
                      <w:szCs w:val="20"/>
                      <w:lang w:eastAsia="sk-SK"/>
                    </w:rPr>
                    <w:t>Náklady na podnikateľské prostredie</w:t>
                  </w:r>
                </w:p>
                <w:p w14:paraId="7D36E24A" w14:textId="77777777" w:rsidR="00FB0432" w:rsidRPr="005F703B" w:rsidRDefault="00FB0432" w:rsidP="00DA58E5">
                  <w:pPr>
                    <w:jc w:val="center"/>
                    <w:rPr>
                      <w:rFonts w:ascii="Times New Roman" w:hAnsi="Times New Roman"/>
                      <w:i/>
                      <w:szCs w:val="20"/>
                      <w:lang w:eastAsia="sk-SK"/>
                    </w:rPr>
                  </w:pPr>
                </w:p>
              </w:tc>
            </w:tr>
            <w:tr w:rsidR="00FB0432" w:rsidRPr="005F703B" w14:paraId="4FCD6738" w14:textId="77777777" w:rsidTr="00DA58E5">
              <w:tc>
                <w:tcPr>
                  <w:tcW w:w="2955" w:type="dxa"/>
                  <w:tcBorders>
                    <w:top w:val="single" w:sz="4" w:space="0" w:color="auto"/>
                    <w:left w:val="single" w:sz="4" w:space="0" w:color="auto"/>
                    <w:bottom w:val="single" w:sz="4" w:space="0" w:color="auto"/>
                    <w:right w:val="single" w:sz="4" w:space="0" w:color="auto"/>
                  </w:tcBorders>
                  <w:hideMark/>
                </w:tcPr>
                <w:p w14:paraId="78F82D10" w14:textId="77777777" w:rsidR="00FB0432" w:rsidRPr="005F703B" w:rsidRDefault="00FB0432" w:rsidP="00DA58E5">
                  <w:pPr>
                    <w:jc w:val="both"/>
                    <w:rPr>
                      <w:rFonts w:ascii="Times New Roman" w:hAnsi="Times New Roman"/>
                      <w:i/>
                      <w:szCs w:val="20"/>
                      <w:lang w:eastAsia="sk-SK"/>
                    </w:rPr>
                  </w:pPr>
                  <w:r w:rsidRPr="005F703B">
                    <w:rPr>
                      <w:rFonts w:ascii="Times New Roman" w:hAnsi="Times New Roman"/>
                      <w:i/>
                      <w:szCs w:val="20"/>
                      <w:lang w:eastAsia="sk-SK"/>
                    </w:rPr>
                    <w:t>Poskytovanie informácií v systéme IMI</w:t>
                  </w:r>
                </w:p>
              </w:tc>
              <w:tc>
                <w:tcPr>
                  <w:tcW w:w="2938" w:type="dxa"/>
                  <w:tcBorders>
                    <w:top w:val="single" w:sz="4" w:space="0" w:color="auto"/>
                    <w:left w:val="single" w:sz="4" w:space="0" w:color="auto"/>
                    <w:bottom w:val="single" w:sz="4" w:space="0" w:color="auto"/>
                    <w:right w:val="single" w:sz="4" w:space="0" w:color="auto"/>
                  </w:tcBorders>
                  <w:hideMark/>
                </w:tcPr>
                <w:p w14:paraId="63E5C2FC" w14:textId="77777777" w:rsidR="00FB0432" w:rsidRPr="005F703B" w:rsidRDefault="00FB0432" w:rsidP="00DA58E5">
                  <w:pPr>
                    <w:jc w:val="center"/>
                    <w:rPr>
                      <w:rFonts w:ascii="Times New Roman" w:hAnsi="Times New Roman"/>
                      <w:i/>
                      <w:szCs w:val="20"/>
                      <w:lang w:eastAsia="sk-SK"/>
                    </w:rPr>
                  </w:pPr>
                  <w:r>
                    <w:rPr>
                      <w:rFonts w:ascii="Times New Roman" w:hAnsi="Times New Roman"/>
                      <w:i/>
                      <w:szCs w:val="20"/>
                      <w:lang w:eastAsia="sk-SK"/>
                    </w:rPr>
                    <w:t>339,9</w:t>
                  </w:r>
                  <w:r w:rsidRPr="005F703B">
                    <w:rPr>
                      <w:rFonts w:ascii="Times New Roman" w:hAnsi="Times New Roman"/>
                      <w:i/>
                      <w:szCs w:val="20"/>
                      <w:lang w:eastAsia="sk-SK"/>
                    </w:rPr>
                    <w:t xml:space="preserve"> eur/vozidlo/ rok</w:t>
                  </w:r>
                </w:p>
              </w:tc>
              <w:tc>
                <w:tcPr>
                  <w:tcW w:w="2943" w:type="dxa"/>
                  <w:tcBorders>
                    <w:top w:val="single" w:sz="4" w:space="0" w:color="auto"/>
                    <w:left w:val="single" w:sz="4" w:space="0" w:color="auto"/>
                    <w:bottom w:val="single" w:sz="4" w:space="0" w:color="auto"/>
                    <w:right w:val="single" w:sz="4" w:space="0" w:color="auto"/>
                  </w:tcBorders>
                  <w:hideMark/>
                </w:tcPr>
                <w:p w14:paraId="00762746" w14:textId="77777777" w:rsidR="00FB0432" w:rsidRPr="005F703B" w:rsidRDefault="00FB0432" w:rsidP="00DA58E5">
                  <w:pPr>
                    <w:jc w:val="center"/>
                    <w:rPr>
                      <w:rFonts w:ascii="Times New Roman" w:hAnsi="Times New Roman"/>
                      <w:i/>
                      <w:szCs w:val="20"/>
                      <w:lang w:eastAsia="sk-SK"/>
                    </w:rPr>
                  </w:pPr>
                  <w:r>
                    <w:rPr>
                      <w:rFonts w:ascii="Times New Roman" w:hAnsi="Times New Roman"/>
                      <w:i/>
                      <w:szCs w:val="20"/>
                      <w:lang w:eastAsia="sk-SK"/>
                    </w:rPr>
                    <w:t>5 885 708,4</w:t>
                  </w:r>
                  <w:r w:rsidRPr="005F703B">
                    <w:rPr>
                      <w:rFonts w:ascii="Times New Roman" w:hAnsi="Times New Roman"/>
                      <w:i/>
                      <w:szCs w:val="20"/>
                      <w:lang w:eastAsia="sk-SK"/>
                    </w:rPr>
                    <w:t xml:space="preserve"> eur/17 316 vozidiel/rok</w:t>
                  </w:r>
                </w:p>
              </w:tc>
            </w:tr>
            <w:tr w:rsidR="00FB0432" w:rsidRPr="005F703B" w14:paraId="68EB0117" w14:textId="77777777" w:rsidTr="00DA58E5">
              <w:tc>
                <w:tcPr>
                  <w:tcW w:w="2955" w:type="dxa"/>
                  <w:tcBorders>
                    <w:top w:val="single" w:sz="4" w:space="0" w:color="auto"/>
                    <w:left w:val="single" w:sz="4" w:space="0" w:color="auto"/>
                    <w:bottom w:val="single" w:sz="4" w:space="0" w:color="auto"/>
                    <w:right w:val="single" w:sz="4" w:space="0" w:color="auto"/>
                  </w:tcBorders>
                  <w:hideMark/>
                </w:tcPr>
                <w:p w14:paraId="15FDB16E" w14:textId="77777777" w:rsidR="00FB0432" w:rsidRPr="005F703B" w:rsidRDefault="00FB0432" w:rsidP="00DA58E5">
                  <w:pPr>
                    <w:jc w:val="both"/>
                    <w:rPr>
                      <w:rFonts w:ascii="Times New Roman" w:hAnsi="Times New Roman"/>
                      <w:b/>
                      <w:i/>
                      <w:szCs w:val="20"/>
                      <w:lang w:eastAsia="sk-SK"/>
                    </w:rPr>
                  </w:pPr>
                  <w:r w:rsidRPr="005F703B">
                    <w:rPr>
                      <w:rFonts w:ascii="Times New Roman" w:hAnsi="Times New Roman"/>
                      <w:b/>
                      <w:i/>
                      <w:szCs w:val="20"/>
                      <w:lang w:eastAsia="sk-SK"/>
                    </w:rPr>
                    <w:t>Celkovo administratívne náklady</w:t>
                  </w:r>
                </w:p>
              </w:tc>
              <w:tc>
                <w:tcPr>
                  <w:tcW w:w="2938" w:type="dxa"/>
                  <w:tcBorders>
                    <w:top w:val="single" w:sz="4" w:space="0" w:color="auto"/>
                    <w:left w:val="single" w:sz="4" w:space="0" w:color="auto"/>
                    <w:bottom w:val="single" w:sz="4" w:space="0" w:color="auto"/>
                    <w:right w:val="single" w:sz="4" w:space="0" w:color="auto"/>
                  </w:tcBorders>
                  <w:hideMark/>
                </w:tcPr>
                <w:p w14:paraId="408C7EFC" w14:textId="77777777" w:rsidR="00FB0432" w:rsidRPr="005F703B" w:rsidRDefault="00FB0432" w:rsidP="00DA58E5">
                  <w:pPr>
                    <w:jc w:val="center"/>
                    <w:rPr>
                      <w:rFonts w:ascii="Times New Roman" w:hAnsi="Times New Roman"/>
                      <w:b/>
                      <w:i/>
                      <w:szCs w:val="20"/>
                      <w:lang w:eastAsia="sk-SK"/>
                    </w:rPr>
                  </w:pPr>
                  <w:r>
                    <w:rPr>
                      <w:rFonts w:ascii="Times New Roman" w:hAnsi="Times New Roman"/>
                      <w:b/>
                      <w:i/>
                      <w:szCs w:val="20"/>
                      <w:lang w:eastAsia="sk-SK"/>
                    </w:rPr>
                    <w:t>339</w:t>
                  </w:r>
                  <w:r w:rsidRPr="005F703B">
                    <w:rPr>
                      <w:rFonts w:ascii="Times New Roman" w:hAnsi="Times New Roman"/>
                      <w:b/>
                      <w:i/>
                      <w:szCs w:val="20"/>
                      <w:lang w:eastAsia="sk-SK"/>
                    </w:rPr>
                    <w:t>,</w:t>
                  </w:r>
                  <w:r>
                    <w:rPr>
                      <w:rFonts w:ascii="Times New Roman" w:hAnsi="Times New Roman"/>
                      <w:b/>
                      <w:i/>
                      <w:szCs w:val="20"/>
                      <w:lang w:eastAsia="sk-SK"/>
                    </w:rPr>
                    <w:t>9</w:t>
                  </w:r>
                  <w:r w:rsidRPr="005F703B">
                    <w:rPr>
                      <w:rFonts w:ascii="Times New Roman" w:hAnsi="Times New Roman"/>
                      <w:b/>
                      <w:i/>
                      <w:szCs w:val="20"/>
                      <w:lang w:eastAsia="sk-SK"/>
                    </w:rPr>
                    <w:t xml:space="preserve"> eur</w:t>
                  </w:r>
                </w:p>
              </w:tc>
              <w:tc>
                <w:tcPr>
                  <w:tcW w:w="2943" w:type="dxa"/>
                  <w:tcBorders>
                    <w:top w:val="single" w:sz="4" w:space="0" w:color="auto"/>
                    <w:left w:val="single" w:sz="4" w:space="0" w:color="auto"/>
                    <w:bottom w:val="single" w:sz="4" w:space="0" w:color="auto"/>
                    <w:right w:val="single" w:sz="4" w:space="0" w:color="auto"/>
                  </w:tcBorders>
                  <w:hideMark/>
                </w:tcPr>
                <w:p w14:paraId="68F061F6" w14:textId="77777777" w:rsidR="00FB0432" w:rsidRPr="00CA629A" w:rsidRDefault="00FB0432" w:rsidP="00DA58E5">
                  <w:pPr>
                    <w:jc w:val="center"/>
                    <w:rPr>
                      <w:rFonts w:ascii="Times New Roman" w:hAnsi="Times New Roman"/>
                      <w:b/>
                      <w:i/>
                      <w:szCs w:val="20"/>
                      <w:lang w:eastAsia="sk-SK"/>
                    </w:rPr>
                  </w:pPr>
                  <w:r w:rsidRPr="00CA629A">
                    <w:rPr>
                      <w:rFonts w:ascii="Times New Roman" w:hAnsi="Times New Roman"/>
                      <w:b/>
                      <w:i/>
                      <w:szCs w:val="20"/>
                      <w:lang w:eastAsia="sk-SK"/>
                    </w:rPr>
                    <w:t>5 885 708,4 eur</w:t>
                  </w:r>
                </w:p>
              </w:tc>
            </w:tr>
          </w:tbl>
          <w:p w14:paraId="1A95D0AF" w14:textId="77777777" w:rsidR="00FB0432" w:rsidRDefault="00FB0432" w:rsidP="00DA58E5">
            <w:pPr>
              <w:tabs>
                <w:tab w:val="left" w:pos="1134"/>
              </w:tabs>
              <w:contextualSpacing/>
              <w:jc w:val="both"/>
              <w:rPr>
                <w:rFonts w:ascii="Times New Roman" w:hAnsi="Times New Roman"/>
              </w:rPr>
            </w:pPr>
          </w:p>
          <w:p w14:paraId="007390AF" w14:textId="77777777" w:rsidR="00FB0432" w:rsidRPr="005F703B" w:rsidRDefault="00FB0432" w:rsidP="00DA58E5">
            <w:pPr>
              <w:tabs>
                <w:tab w:val="left" w:pos="1134"/>
              </w:tabs>
              <w:contextualSpacing/>
              <w:jc w:val="both"/>
              <w:rPr>
                <w:rFonts w:ascii="Times New Roman" w:hAnsi="Times New Roman"/>
              </w:rPr>
            </w:pPr>
          </w:p>
          <w:p w14:paraId="6C824B82" w14:textId="77777777" w:rsidR="00FB0432" w:rsidRPr="005F703B" w:rsidRDefault="00FB0432" w:rsidP="00DA58E5">
            <w:pPr>
              <w:tabs>
                <w:tab w:val="left" w:pos="1134"/>
              </w:tabs>
              <w:contextualSpacing/>
              <w:jc w:val="both"/>
              <w:rPr>
                <w:rFonts w:ascii="Times New Roman" w:hAnsi="Times New Roman"/>
              </w:rPr>
            </w:pPr>
          </w:p>
          <w:p w14:paraId="5D97B46F" w14:textId="77777777" w:rsidR="00FB0432" w:rsidRPr="005F703B" w:rsidRDefault="00FB0432" w:rsidP="00DA58E5">
            <w:pPr>
              <w:tabs>
                <w:tab w:val="left" w:pos="1134"/>
              </w:tabs>
              <w:contextualSpacing/>
              <w:jc w:val="both"/>
              <w:rPr>
                <w:rFonts w:ascii="Times New Roman" w:hAnsi="Times New Roman"/>
                <w:i/>
              </w:rPr>
            </w:pPr>
          </w:p>
        </w:tc>
      </w:tr>
      <w:tr w:rsidR="00FB0432" w:rsidRPr="005F703B" w14:paraId="2737E6DC" w14:textId="77777777" w:rsidTr="00DA58E5">
        <w:trPr>
          <w:trHeight w:val="2318"/>
        </w:trPr>
        <w:tc>
          <w:tcPr>
            <w:tcW w:w="9062" w:type="dxa"/>
            <w:tcBorders>
              <w:top w:val="single" w:sz="4" w:space="0" w:color="auto"/>
              <w:left w:val="single" w:sz="4" w:space="0" w:color="auto"/>
              <w:bottom w:val="single" w:sz="4" w:space="0" w:color="auto"/>
              <w:right w:val="single" w:sz="4" w:space="0" w:color="auto"/>
            </w:tcBorders>
            <w:hideMark/>
          </w:tcPr>
          <w:p w14:paraId="206797F2" w14:textId="77777777" w:rsidR="00FB0432" w:rsidRPr="005F703B" w:rsidRDefault="00FB0432" w:rsidP="00DA58E5">
            <w:pPr>
              <w:jc w:val="both"/>
              <w:rPr>
                <w:rFonts w:ascii="Times New Roman" w:hAnsi="Times New Roman"/>
                <w:i/>
                <w:szCs w:val="20"/>
                <w:lang w:eastAsia="sk-SK"/>
              </w:rPr>
            </w:pPr>
            <w:r w:rsidRPr="005F703B">
              <w:rPr>
                <w:rFonts w:ascii="Times New Roman" w:hAnsi="Times New Roman"/>
                <w:b/>
                <w:i/>
                <w:szCs w:val="20"/>
                <w:lang w:eastAsia="sk-SK"/>
              </w:rPr>
              <w:lastRenderedPageBreak/>
              <w:t>3.3.4 Súhrnná tabuľka nákladov regulácie –  odhad za jeden rok po odpočítaní súčasného stavu</w:t>
            </w:r>
          </w:p>
          <w:tbl>
            <w:tblPr>
              <w:tblStyle w:val="Mriekatabuky1"/>
              <w:tblW w:w="0" w:type="auto"/>
              <w:tblLook w:val="04A0" w:firstRow="1" w:lastRow="0" w:firstColumn="1" w:lastColumn="0" w:noHBand="0" w:noVBand="1"/>
            </w:tblPr>
            <w:tblGrid>
              <w:gridCol w:w="2952"/>
              <w:gridCol w:w="2935"/>
              <w:gridCol w:w="2947"/>
            </w:tblGrid>
            <w:tr w:rsidR="00FB0432" w:rsidRPr="005F703B" w14:paraId="3F94B886" w14:textId="77777777" w:rsidTr="00DA58E5">
              <w:tc>
                <w:tcPr>
                  <w:tcW w:w="2952" w:type="dxa"/>
                  <w:tcBorders>
                    <w:top w:val="single" w:sz="4" w:space="0" w:color="auto"/>
                    <w:left w:val="single" w:sz="4" w:space="0" w:color="auto"/>
                    <w:bottom w:val="single" w:sz="4" w:space="0" w:color="auto"/>
                    <w:right w:val="single" w:sz="4" w:space="0" w:color="auto"/>
                  </w:tcBorders>
                </w:tcPr>
                <w:p w14:paraId="413CDC95" w14:textId="77777777" w:rsidR="00FB0432" w:rsidRPr="005F703B" w:rsidRDefault="00FB0432" w:rsidP="00DA58E5">
                  <w:pPr>
                    <w:rPr>
                      <w:rFonts w:ascii="Times New Roman" w:hAnsi="Times New Roman"/>
                      <w:i/>
                      <w:szCs w:val="20"/>
                      <w:lang w:eastAsia="sk-SK"/>
                    </w:rPr>
                  </w:pPr>
                </w:p>
              </w:tc>
              <w:tc>
                <w:tcPr>
                  <w:tcW w:w="2936" w:type="dxa"/>
                  <w:tcBorders>
                    <w:top w:val="single" w:sz="4" w:space="0" w:color="auto"/>
                    <w:left w:val="single" w:sz="4" w:space="0" w:color="auto"/>
                    <w:bottom w:val="single" w:sz="4" w:space="0" w:color="auto"/>
                    <w:right w:val="single" w:sz="4" w:space="0" w:color="auto"/>
                  </w:tcBorders>
                  <w:hideMark/>
                </w:tcPr>
                <w:p w14:paraId="56E70669" w14:textId="77777777" w:rsidR="00FB0432" w:rsidRPr="005F703B" w:rsidRDefault="00FB0432" w:rsidP="00DA58E5">
                  <w:pPr>
                    <w:jc w:val="center"/>
                    <w:rPr>
                      <w:rFonts w:ascii="Times New Roman" w:hAnsi="Times New Roman"/>
                      <w:i/>
                      <w:szCs w:val="20"/>
                      <w:lang w:eastAsia="sk-SK"/>
                    </w:rPr>
                  </w:pPr>
                  <w:r w:rsidRPr="005F703B">
                    <w:rPr>
                      <w:rFonts w:ascii="Times New Roman" w:hAnsi="Times New Roman"/>
                      <w:i/>
                      <w:szCs w:val="20"/>
                      <w:lang w:eastAsia="sk-SK"/>
                    </w:rPr>
                    <w:t xml:space="preserve">Náklady </w:t>
                  </w:r>
                </w:p>
              </w:tc>
              <w:tc>
                <w:tcPr>
                  <w:tcW w:w="2948" w:type="dxa"/>
                  <w:tcBorders>
                    <w:top w:val="single" w:sz="4" w:space="0" w:color="auto"/>
                    <w:left w:val="single" w:sz="4" w:space="0" w:color="auto"/>
                    <w:bottom w:val="single" w:sz="4" w:space="0" w:color="auto"/>
                    <w:right w:val="single" w:sz="4" w:space="0" w:color="auto"/>
                  </w:tcBorders>
                </w:tcPr>
                <w:p w14:paraId="77EDD284" w14:textId="77777777" w:rsidR="00FB0432" w:rsidRPr="005F703B" w:rsidRDefault="00FB0432" w:rsidP="00DA58E5">
                  <w:pPr>
                    <w:jc w:val="center"/>
                    <w:rPr>
                      <w:rFonts w:ascii="Times New Roman" w:hAnsi="Times New Roman"/>
                      <w:i/>
                      <w:szCs w:val="20"/>
                      <w:lang w:eastAsia="sk-SK"/>
                    </w:rPr>
                  </w:pPr>
                  <w:r w:rsidRPr="005F703B">
                    <w:rPr>
                      <w:rFonts w:ascii="Times New Roman" w:hAnsi="Times New Roman"/>
                      <w:i/>
                      <w:szCs w:val="20"/>
                      <w:lang w:eastAsia="sk-SK"/>
                    </w:rPr>
                    <w:t>Náklady na celé podnikateľské prostredie</w:t>
                  </w:r>
                </w:p>
                <w:p w14:paraId="79B21320" w14:textId="77777777" w:rsidR="00FB0432" w:rsidRPr="005F703B" w:rsidRDefault="00FB0432" w:rsidP="00DA58E5">
                  <w:pPr>
                    <w:jc w:val="center"/>
                    <w:rPr>
                      <w:rFonts w:ascii="Times New Roman" w:hAnsi="Times New Roman"/>
                      <w:i/>
                      <w:szCs w:val="20"/>
                      <w:lang w:eastAsia="sk-SK"/>
                    </w:rPr>
                  </w:pPr>
                </w:p>
              </w:tc>
            </w:tr>
            <w:tr w:rsidR="00FB0432" w:rsidRPr="005F703B" w14:paraId="7C39DA05" w14:textId="77777777" w:rsidTr="00DA58E5">
              <w:tc>
                <w:tcPr>
                  <w:tcW w:w="2952" w:type="dxa"/>
                  <w:tcBorders>
                    <w:top w:val="single" w:sz="4" w:space="0" w:color="auto"/>
                    <w:left w:val="single" w:sz="4" w:space="0" w:color="auto"/>
                    <w:bottom w:val="single" w:sz="4" w:space="0" w:color="auto"/>
                    <w:right w:val="single" w:sz="4" w:space="0" w:color="auto"/>
                  </w:tcBorders>
                  <w:hideMark/>
                </w:tcPr>
                <w:p w14:paraId="4777B6EF" w14:textId="77777777" w:rsidR="00FB0432" w:rsidRPr="005F703B" w:rsidRDefault="00FB0432" w:rsidP="00DA58E5">
                  <w:pPr>
                    <w:jc w:val="both"/>
                    <w:rPr>
                      <w:rFonts w:ascii="Times New Roman" w:hAnsi="Times New Roman"/>
                      <w:i/>
                      <w:szCs w:val="20"/>
                      <w:lang w:eastAsia="sk-SK"/>
                    </w:rPr>
                  </w:pPr>
                  <w:r w:rsidRPr="005F703B">
                    <w:rPr>
                      <w:rFonts w:ascii="Times New Roman" w:hAnsi="Times New Roman"/>
                      <w:i/>
                      <w:szCs w:val="20"/>
                      <w:lang w:eastAsia="sk-SK"/>
                    </w:rPr>
                    <w:t>Priame finančné náklady</w:t>
                  </w:r>
                </w:p>
              </w:tc>
              <w:tc>
                <w:tcPr>
                  <w:tcW w:w="2936" w:type="dxa"/>
                  <w:tcBorders>
                    <w:top w:val="single" w:sz="4" w:space="0" w:color="auto"/>
                    <w:left w:val="single" w:sz="4" w:space="0" w:color="auto"/>
                    <w:bottom w:val="single" w:sz="4" w:space="0" w:color="auto"/>
                    <w:right w:val="single" w:sz="4" w:space="0" w:color="auto"/>
                  </w:tcBorders>
                  <w:hideMark/>
                </w:tcPr>
                <w:p w14:paraId="56B1C8E3" w14:textId="77777777" w:rsidR="00FB0432" w:rsidRPr="005F703B" w:rsidRDefault="00FB0432" w:rsidP="00DA58E5">
                  <w:pPr>
                    <w:jc w:val="center"/>
                    <w:rPr>
                      <w:rFonts w:ascii="Times New Roman" w:hAnsi="Times New Roman"/>
                      <w:i/>
                      <w:szCs w:val="20"/>
                      <w:lang w:eastAsia="sk-SK"/>
                    </w:rPr>
                  </w:pPr>
                  <w:r w:rsidRPr="005F703B">
                    <w:rPr>
                      <w:rFonts w:ascii="Times New Roman" w:hAnsi="Times New Roman"/>
                      <w:i/>
                      <w:szCs w:val="20"/>
                      <w:lang w:eastAsia="sk-SK"/>
                    </w:rPr>
                    <w:t>-</w:t>
                  </w:r>
                </w:p>
              </w:tc>
              <w:tc>
                <w:tcPr>
                  <w:tcW w:w="2948" w:type="dxa"/>
                  <w:tcBorders>
                    <w:top w:val="single" w:sz="4" w:space="0" w:color="auto"/>
                    <w:left w:val="single" w:sz="4" w:space="0" w:color="auto"/>
                    <w:bottom w:val="single" w:sz="4" w:space="0" w:color="auto"/>
                    <w:right w:val="single" w:sz="4" w:space="0" w:color="auto"/>
                  </w:tcBorders>
                  <w:hideMark/>
                </w:tcPr>
                <w:p w14:paraId="7D74930A" w14:textId="77777777" w:rsidR="00FB0432" w:rsidRPr="005F703B" w:rsidRDefault="00FB0432" w:rsidP="00DA58E5">
                  <w:pPr>
                    <w:jc w:val="center"/>
                    <w:rPr>
                      <w:rFonts w:ascii="Times New Roman" w:hAnsi="Times New Roman"/>
                      <w:b/>
                      <w:i/>
                      <w:szCs w:val="20"/>
                      <w:lang w:eastAsia="sk-SK"/>
                    </w:rPr>
                  </w:pPr>
                  <w:r w:rsidRPr="005F703B">
                    <w:rPr>
                      <w:rFonts w:ascii="Times New Roman" w:hAnsi="Times New Roman"/>
                      <w:b/>
                      <w:i/>
                      <w:szCs w:val="20"/>
                      <w:lang w:eastAsia="sk-SK"/>
                    </w:rPr>
                    <w:t xml:space="preserve">107 640 eur </w:t>
                  </w:r>
                </w:p>
              </w:tc>
            </w:tr>
            <w:tr w:rsidR="00FB0432" w:rsidRPr="005F703B" w14:paraId="2E106B34" w14:textId="77777777" w:rsidTr="00DA58E5">
              <w:tc>
                <w:tcPr>
                  <w:tcW w:w="2952" w:type="dxa"/>
                  <w:tcBorders>
                    <w:top w:val="single" w:sz="4" w:space="0" w:color="auto"/>
                    <w:left w:val="single" w:sz="4" w:space="0" w:color="auto"/>
                    <w:bottom w:val="single" w:sz="4" w:space="0" w:color="auto"/>
                    <w:right w:val="single" w:sz="4" w:space="0" w:color="auto"/>
                  </w:tcBorders>
                  <w:hideMark/>
                </w:tcPr>
                <w:p w14:paraId="526DE787" w14:textId="77777777" w:rsidR="00FB0432" w:rsidRPr="005F703B" w:rsidRDefault="00FB0432" w:rsidP="00DA58E5">
                  <w:pPr>
                    <w:jc w:val="both"/>
                    <w:rPr>
                      <w:rFonts w:ascii="Times New Roman" w:hAnsi="Times New Roman"/>
                      <w:i/>
                      <w:szCs w:val="20"/>
                      <w:lang w:eastAsia="sk-SK"/>
                    </w:rPr>
                  </w:pPr>
                  <w:r w:rsidRPr="005F703B">
                    <w:rPr>
                      <w:rFonts w:ascii="Times New Roman" w:hAnsi="Times New Roman"/>
                      <w:i/>
                      <w:szCs w:val="20"/>
                      <w:lang w:eastAsia="sk-SK"/>
                    </w:rPr>
                    <w:t>Nepriame finančné náklady</w:t>
                  </w:r>
                </w:p>
              </w:tc>
              <w:tc>
                <w:tcPr>
                  <w:tcW w:w="2936" w:type="dxa"/>
                  <w:tcBorders>
                    <w:top w:val="single" w:sz="4" w:space="0" w:color="auto"/>
                    <w:left w:val="single" w:sz="4" w:space="0" w:color="auto"/>
                    <w:bottom w:val="single" w:sz="4" w:space="0" w:color="auto"/>
                    <w:right w:val="single" w:sz="4" w:space="0" w:color="auto"/>
                  </w:tcBorders>
                  <w:hideMark/>
                </w:tcPr>
                <w:p w14:paraId="5D580DAB" w14:textId="77777777" w:rsidR="00FB0432" w:rsidRPr="005F703B" w:rsidRDefault="00FB0432" w:rsidP="00DA58E5">
                  <w:pPr>
                    <w:jc w:val="center"/>
                    <w:rPr>
                      <w:rFonts w:ascii="Times New Roman" w:hAnsi="Times New Roman"/>
                      <w:b/>
                      <w:i/>
                      <w:szCs w:val="20"/>
                      <w:lang w:eastAsia="sk-SK"/>
                    </w:rPr>
                  </w:pPr>
                  <w:r w:rsidRPr="005F703B">
                    <w:rPr>
                      <w:rFonts w:ascii="Times New Roman" w:hAnsi="Times New Roman"/>
                      <w:b/>
                      <w:i/>
                      <w:szCs w:val="20"/>
                      <w:lang w:eastAsia="sk-SK"/>
                    </w:rPr>
                    <w:t>1</w:t>
                  </w:r>
                  <w:r>
                    <w:rPr>
                      <w:rFonts w:ascii="Times New Roman" w:hAnsi="Times New Roman"/>
                      <w:b/>
                      <w:i/>
                      <w:szCs w:val="20"/>
                      <w:lang w:eastAsia="sk-SK"/>
                    </w:rPr>
                    <w:t xml:space="preserve"> </w:t>
                  </w:r>
                  <w:r w:rsidRPr="005F703B">
                    <w:rPr>
                      <w:rFonts w:ascii="Times New Roman" w:hAnsi="Times New Roman"/>
                      <w:b/>
                      <w:i/>
                      <w:szCs w:val="20"/>
                      <w:lang w:eastAsia="sk-SK"/>
                    </w:rPr>
                    <w:t>350 eur</w:t>
                  </w:r>
                </w:p>
              </w:tc>
              <w:tc>
                <w:tcPr>
                  <w:tcW w:w="2948" w:type="dxa"/>
                  <w:tcBorders>
                    <w:top w:val="single" w:sz="4" w:space="0" w:color="auto"/>
                    <w:left w:val="single" w:sz="4" w:space="0" w:color="auto"/>
                    <w:bottom w:val="single" w:sz="4" w:space="0" w:color="auto"/>
                    <w:right w:val="single" w:sz="4" w:space="0" w:color="auto"/>
                  </w:tcBorders>
                  <w:hideMark/>
                </w:tcPr>
                <w:p w14:paraId="16113AFB" w14:textId="77777777" w:rsidR="00FB0432" w:rsidRPr="005F703B" w:rsidRDefault="00FB0432" w:rsidP="00DA58E5">
                  <w:pPr>
                    <w:jc w:val="center"/>
                    <w:rPr>
                      <w:rFonts w:ascii="Times New Roman" w:hAnsi="Times New Roman"/>
                      <w:b/>
                      <w:i/>
                      <w:szCs w:val="20"/>
                      <w:lang w:eastAsia="sk-SK"/>
                    </w:rPr>
                  </w:pPr>
                  <w:r w:rsidRPr="005F703B">
                    <w:rPr>
                      <w:rFonts w:ascii="Times New Roman" w:hAnsi="Times New Roman"/>
                      <w:b/>
                      <w:i/>
                      <w:szCs w:val="20"/>
                      <w:lang w:eastAsia="sk-SK"/>
                    </w:rPr>
                    <w:t>49 062 000 eur</w:t>
                  </w:r>
                </w:p>
              </w:tc>
            </w:tr>
            <w:tr w:rsidR="00FB0432" w:rsidRPr="005F703B" w14:paraId="48A6C1BC" w14:textId="77777777" w:rsidTr="00DA58E5">
              <w:tc>
                <w:tcPr>
                  <w:tcW w:w="2952" w:type="dxa"/>
                  <w:tcBorders>
                    <w:top w:val="single" w:sz="4" w:space="0" w:color="auto"/>
                    <w:left w:val="single" w:sz="4" w:space="0" w:color="auto"/>
                    <w:bottom w:val="single" w:sz="4" w:space="0" w:color="auto"/>
                    <w:right w:val="single" w:sz="4" w:space="0" w:color="auto"/>
                  </w:tcBorders>
                  <w:hideMark/>
                </w:tcPr>
                <w:p w14:paraId="46ED7053" w14:textId="77777777" w:rsidR="00FB0432" w:rsidRPr="005F703B" w:rsidRDefault="00FB0432" w:rsidP="00DA58E5">
                  <w:pPr>
                    <w:jc w:val="both"/>
                    <w:rPr>
                      <w:rFonts w:ascii="Times New Roman" w:hAnsi="Times New Roman"/>
                      <w:i/>
                      <w:szCs w:val="20"/>
                      <w:lang w:eastAsia="sk-SK"/>
                    </w:rPr>
                  </w:pPr>
                  <w:r w:rsidRPr="005F703B">
                    <w:rPr>
                      <w:rFonts w:ascii="Times New Roman" w:hAnsi="Times New Roman"/>
                      <w:i/>
                      <w:szCs w:val="20"/>
                      <w:lang w:eastAsia="sk-SK"/>
                    </w:rPr>
                    <w:t>Administratívne náklady</w:t>
                  </w:r>
                </w:p>
              </w:tc>
              <w:tc>
                <w:tcPr>
                  <w:tcW w:w="2936" w:type="dxa"/>
                  <w:tcBorders>
                    <w:top w:val="single" w:sz="4" w:space="0" w:color="auto"/>
                    <w:left w:val="single" w:sz="4" w:space="0" w:color="auto"/>
                    <w:bottom w:val="single" w:sz="4" w:space="0" w:color="auto"/>
                    <w:right w:val="single" w:sz="4" w:space="0" w:color="auto"/>
                  </w:tcBorders>
                  <w:hideMark/>
                </w:tcPr>
                <w:p w14:paraId="1DFAF01A" w14:textId="77777777" w:rsidR="00FB0432" w:rsidRPr="005F703B" w:rsidRDefault="00FB0432" w:rsidP="00DA58E5">
                  <w:pPr>
                    <w:jc w:val="center"/>
                    <w:rPr>
                      <w:rFonts w:ascii="Times New Roman" w:hAnsi="Times New Roman"/>
                      <w:i/>
                      <w:szCs w:val="20"/>
                      <w:lang w:eastAsia="sk-SK"/>
                    </w:rPr>
                  </w:pPr>
                  <w:r>
                    <w:rPr>
                      <w:rFonts w:ascii="Times New Roman" w:hAnsi="Times New Roman"/>
                      <w:b/>
                      <w:i/>
                      <w:szCs w:val="20"/>
                      <w:lang w:eastAsia="sk-SK"/>
                    </w:rPr>
                    <w:t>339</w:t>
                  </w:r>
                  <w:r w:rsidRPr="005F703B">
                    <w:rPr>
                      <w:rFonts w:ascii="Times New Roman" w:hAnsi="Times New Roman"/>
                      <w:b/>
                      <w:i/>
                      <w:szCs w:val="20"/>
                      <w:lang w:eastAsia="sk-SK"/>
                    </w:rPr>
                    <w:t>,</w:t>
                  </w:r>
                  <w:r>
                    <w:rPr>
                      <w:rFonts w:ascii="Times New Roman" w:hAnsi="Times New Roman"/>
                      <w:b/>
                      <w:i/>
                      <w:szCs w:val="20"/>
                      <w:lang w:eastAsia="sk-SK"/>
                    </w:rPr>
                    <w:t>9</w:t>
                  </w:r>
                  <w:r w:rsidRPr="005F703B">
                    <w:rPr>
                      <w:rFonts w:ascii="Times New Roman" w:hAnsi="Times New Roman"/>
                      <w:b/>
                      <w:i/>
                      <w:szCs w:val="20"/>
                      <w:lang w:eastAsia="sk-SK"/>
                    </w:rPr>
                    <w:t xml:space="preserve"> eur</w:t>
                  </w:r>
                </w:p>
              </w:tc>
              <w:tc>
                <w:tcPr>
                  <w:tcW w:w="2948" w:type="dxa"/>
                  <w:tcBorders>
                    <w:top w:val="single" w:sz="4" w:space="0" w:color="auto"/>
                    <w:left w:val="single" w:sz="4" w:space="0" w:color="auto"/>
                    <w:bottom w:val="single" w:sz="4" w:space="0" w:color="auto"/>
                    <w:right w:val="single" w:sz="4" w:space="0" w:color="auto"/>
                  </w:tcBorders>
                  <w:hideMark/>
                </w:tcPr>
                <w:p w14:paraId="3ED9E804" w14:textId="77777777" w:rsidR="00FB0432" w:rsidRPr="005F703B" w:rsidRDefault="00FB0432" w:rsidP="00DA58E5">
                  <w:pPr>
                    <w:jc w:val="center"/>
                    <w:rPr>
                      <w:rFonts w:ascii="Times New Roman" w:hAnsi="Times New Roman"/>
                      <w:i/>
                      <w:szCs w:val="20"/>
                      <w:lang w:eastAsia="sk-SK"/>
                    </w:rPr>
                  </w:pPr>
                  <w:r w:rsidRPr="00CA629A">
                    <w:rPr>
                      <w:rFonts w:ascii="Times New Roman" w:hAnsi="Times New Roman"/>
                      <w:b/>
                      <w:i/>
                      <w:szCs w:val="20"/>
                      <w:lang w:eastAsia="sk-SK"/>
                    </w:rPr>
                    <w:t>5 885 708,4</w:t>
                  </w:r>
                  <w:r w:rsidRPr="005F703B">
                    <w:rPr>
                      <w:rFonts w:ascii="Times New Roman" w:hAnsi="Times New Roman"/>
                      <w:b/>
                      <w:i/>
                      <w:szCs w:val="20"/>
                      <w:lang w:eastAsia="sk-SK"/>
                    </w:rPr>
                    <w:t xml:space="preserve"> eur</w:t>
                  </w:r>
                </w:p>
              </w:tc>
            </w:tr>
            <w:tr w:rsidR="00FB0432" w:rsidRPr="005F703B" w14:paraId="56B6BDA9" w14:textId="77777777" w:rsidTr="00DA58E5">
              <w:tc>
                <w:tcPr>
                  <w:tcW w:w="2952" w:type="dxa"/>
                  <w:tcBorders>
                    <w:top w:val="single" w:sz="4" w:space="0" w:color="auto"/>
                    <w:left w:val="single" w:sz="4" w:space="0" w:color="auto"/>
                    <w:bottom w:val="single" w:sz="4" w:space="0" w:color="auto"/>
                    <w:right w:val="single" w:sz="4" w:space="0" w:color="auto"/>
                  </w:tcBorders>
                  <w:hideMark/>
                </w:tcPr>
                <w:p w14:paraId="406332CC" w14:textId="77777777" w:rsidR="00FB0432" w:rsidRPr="005F703B" w:rsidRDefault="00FB0432" w:rsidP="00DA58E5">
                  <w:pPr>
                    <w:jc w:val="both"/>
                    <w:rPr>
                      <w:rFonts w:ascii="Times New Roman" w:hAnsi="Times New Roman"/>
                      <w:b/>
                      <w:i/>
                      <w:szCs w:val="20"/>
                      <w:lang w:eastAsia="sk-SK"/>
                    </w:rPr>
                  </w:pPr>
                  <w:r w:rsidRPr="005F703B">
                    <w:rPr>
                      <w:rFonts w:ascii="Times New Roman" w:hAnsi="Times New Roman"/>
                      <w:b/>
                      <w:i/>
                      <w:szCs w:val="20"/>
                      <w:lang w:eastAsia="sk-SK"/>
                    </w:rPr>
                    <w:t xml:space="preserve">Celkové náklady regulácie </w:t>
                  </w:r>
                </w:p>
              </w:tc>
              <w:tc>
                <w:tcPr>
                  <w:tcW w:w="2936" w:type="dxa"/>
                  <w:tcBorders>
                    <w:top w:val="single" w:sz="4" w:space="0" w:color="auto"/>
                    <w:left w:val="single" w:sz="4" w:space="0" w:color="auto"/>
                    <w:bottom w:val="single" w:sz="4" w:space="0" w:color="auto"/>
                    <w:right w:val="single" w:sz="4" w:space="0" w:color="auto"/>
                  </w:tcBorders>
                  <w:hideMark/>
                </w:tcPr>
                <w:p w14:paraId="38A08C5C" w14:textId="77777777" w:rsidR="00FB0432" w:rsidRPr="005F703B" w:rsidRDefault="00FB0432" w:rsidP="00DA58E5">
                  <w:pPr>
                    <w:jc w:val="center"/>
                    <w:rPr>
                      <w:rFonts w:ascii="Times New Roman" w:hAnsi="Times New Roman"/>
                      <w:b/>
                      <w:i/>
                      <w:szCs w:val="20"/>
                      <w:lang w:eastAsia="sk-SK"/>
                    </w:rPr>
                  </w:pPr>
                  <w:r w:rsidRPr="005F703B">
                    <w:rPr>
                      <w:rFonts w:ascii="Times New Roman" w:hAnsi="Times New Roman"/>
                      <w:b/>
                      <w:i/>
                      <w:szCs w:val="20"/>
                      <w:lang w:eastAsia="sk-SK"/>
                    </w:rPr>
                    <w:t>1</w:t>
                  </w:r>
                  <w:r>
                    <w:rPr>
                      <w:rFonts w:ascii="Times New Roman" w:hAnsi="Times New Roman"/>
                      <w:b/>
                      <w:i/>
                      <w:szCs w:val="20"/>
                      <w:lang w:eastAsia="sk-SK"/>
                    </w:rPr>
                    <w:t> </w:t>
                  </w:r>
                  <w:r w:rsidRPr="005F703B">
                    <w:rPr>
                      <w:rFonts w:ascii="Times New Roman" w:hAnsi="Times New Roman"/>
                      <w:b/>
                      <w:i/>
                      <w:szCs w:val="20"/>
                      <w:lang w:eastAsia="sk-SK"/>
                    </w:rPr>
                    <w:t>6</w:t>
                  </w:r>
                  <w:r>
                    <w:rPr>
                      <w:rFonts w:ascii="Times New Roman" w:hAnsi="Times New Roman"/>
                      <w:b/>
                      <w:i/>
                      <w:szCs w:val="20"/>
                      <w:lang w:eastAsia="sk-SK"/>
                    </w:rPr>
                    <w:t>89,9</w:t>
                  </w:r>
                  <w:r w:rsidRPr="005F703B">
                    <w:rPr>
                      <w:rFonts w:ascii="Times New Roman" w:hAnsi="Times New Roman"/>
                      <w:b/>
                      <w:i/>
                      <w:szCs w:val="20"/>
                      <w:lang w:eastAsia="sk-SK"/>
                    </w:rPr>
                    <w:t xml:space="preserve"> eur</w:t>
                  </w:r>
                </w:p>
              </w:tc>
              <w:tc>
                <w:tcPr>
                  <w:tcW w:w="2948" w:type="dxa"/>
                  <w:tcBorders>
                    <w:top w:val="single" w:sz="4" w:space="0" w:color="auto"/>
                    <w:left w:val="single" w:sz="4" w:space="0" w:color="auto"/>
                    <w:bottom w:val="single" w:sz="4" w:space="0" w:color="auto"/>
                    <w:right w:val="single" w:sz="4" w:space="0" w:color="auto"/>
                  </w:tcBorders>
                  <w:hideMark/>
                </w:tcPr>
                <w:p w14:paraId="02356D82" w14:textId="77777777" w:rsidR="00FB0432" w:rsidRPr="005F703B" w:rsidRDefault="00FB0432" w:rsidP="00DA58E5">
                  <w:pPr>
                    <w:jc w:val="center"/>
                    <w:rPr>
                      <w:rFonts w:ascii="Times New Roman" w:hAnsi="Times New Roman"/>
                      <w:b/>
                      <w:i/>
                      <w:szCs w:val="20"/>
                      <w:lang w:eastAsia="sk-SK"/>
                    </w:rPr>
                  </w:pPr>
                  <w:r w:rsidRPr="005F703B">
                    <w:rPr>
                      <w:rFonts w:ascii="Times New Roman" w:hAnsi="Times New Roman"/>
                      <w:b/>
                      <w:i/>
                      <w:szCs w:val="20"/>
                      <w:lang w:eastAsia="sk-SK"/>
                    </w:rPr>
                    <w:t>5</w:t>
                  </w:r>
                  <w:r>
                    <w:rPr>
                      <w:rFonts w:ascii="Times New Roman" w:hAnsi="Times New Roman"/>
                      <w:b/>
                      <w:i/>
                      <w:szCs w:val="20"/>
                      <w:lang w:eastAsia="sk-SK"/>
                    </w:rPr>
                    <w:t>5 055 348,4</w:t>
                  </w:r>
                  <w:r w:rsidRPr="005F703B">
                    <w:rPr>
                      <w:rFonts w:ascii="Times New Roman" w:hAnsi="Times New Roman"/>
                      <w:b/>
                      <w:i/>
                      <w:szCs w:val="20"/>
                      <w:lang w:eastAsia="sk-SK"/>
                    </w:rPr>
                    <w:t xml:space="preserve">  eur</w:t>
                  </w:r>
                </w:p>
              </w:tc>
            </w:tr>
          </w:tbl>
          <w:p w14:paraId="3B96E765" w14:textId="77777777" w:rsidR="00FB0432" w:rsidRPr="005F703B" w:rsidRDefault="00FB0432" w:rsidP="00DA58E5">
            <w:pPr>
              <w:rPr>
                <w:rFonts w:ascii="Times New Roman" w:hAnsi="Times New Roman"/>
                <w:i/>
                <w:szCs w:val="20"/>
                <w:lang w:eastAsia="sk-SK"/>
              </w:rPr>
            </w:pPr>
          </w:p>
        </w:tc>
      </w:tr>
      <w:tr w:rsidR="00FB0432" w:rsidRPr="005F703B" w14:paraId="5E902F6E" w14:textId="77777777" w:rsidTr="00DA58E5">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A03F3E" w14:textId="77777777" w:rsidR="00FB0432" w:rsidRPr="005F703B" w:rsidRDefault="00FB0432" w:rsidP="00DA58E5">
            <w:pPr>
              <w:rPr>
                <w:rFonts w:ascii="Times New Roman" w:hAnsi="Times New Roman"/>
                <w:b/>
                <w:szCs w:val="20"/>
                <w:lang w:eastAsia="sk-SK"/>
              </w:rPr>
            </w:pPr>
            <w:r w:rsidRPr="005F703B">
              <w:rPr>
                <w:rFonts w:ascii="Times New Roman" w:hAnsi="Times New Roman"/>
                <w:b/>
                <w:szCs w:val="20"/>
                <w:lang w:eastAsia="sk-SK"/>
              </w:rPr>
              <w:t>3.4 Konkurencieschopnosť a správanie sa podnikov na trhu</w:t>
            </w:r>
          </w:p>
          <w:p w14:paraId="6CA705A3" w14:textId="77777777" w:rsidR="00FB0432" w:rsidRPr="005F703B" w:rsidRDefault="00FB0432" w:rsidP="00DA58E5">
            <w:pPr>
              <w:rPr>
                <w:rFonts w:ascii="Times New Roman" w:hAnsi="Times New Roman"/>
                <w:szCs w:val="20"/>
                <w:lang w:eastAsia="sk-SK"/>
              </w:rPr>
            </w:pPr>
            <w:r w:rsidRPr="005F703B">
              <w:rPr>
                <w:rFonts w:ascii="Times New Roman" w:hAnsi="Times New Roman"/>
                <w:b/>
                <w:szCs w:val="20"/>
                <w:lang w:eastAsia="sk-SK"/>
              </w:rPr>
              <w:t xml:space="preserve">       </w:t>
            </w:r>
            <w:r w:rsidRPr="005F703B">
              <w:rPr>
                <w:rFonts w:ascii="Times New Roman" w:hAnsi="Times New Roman"/>
                <w:szCs w:val="20"/>
                <w:lang w:eastAsia="sk-SK"/>
              </w:rPr>
              <w:t xml:space="preserve">- </w:t>
            </w:r>
            <w:r w:rsidRPr="005F703B">
              <w:rPr>
                <w:rFonts w:ascii="Times New Roman" w:hAnsi="Times New Roman"/>
                <w:b/>
                <w:szCs w:val="20"/>
                <w:lang w:eastAsia="sk-SK"/>
              </w:rPr>
              <w:t>z toho MSP</w:t>
            </w:r>
          </w:p>
        </w:tc>
      </w:tr>
      <w:tr w:rsidR="00FB0432" w:rsidRPr="005F703B" w14:paraId="14FFB3A0" w14:textId="77777777" w:rsidTr="00DA58E5">
        <w:tc>
          <w:tcPr>
            <w:tcW w:w="9062" w:type="dxa"/>
            <w:tcBorders>
              <w:top w:val="single" w:sz="4" w:space="0" w:color="auto"/>
              <w:left w:val="single" w:sz="4" w:space="0" w:color="auto"/>
              <w:bottom w:val="single" w:sz="4" w:space="0" w:color="auto"/>
              <w:right w:val="single" w:sz="4" w:space="0" w:color="auto"/>
            </w:tcBorders>
            <w:hideMark/>
          </w:tcPr>
          <w:p w14:paraId="5C787A7B" w14:textId="77777777" w:rsidR="00FB0432" w:rsidRPr="005F703B" w:rsidRDefault="00FB0432" w:rsidP="00DA58E5">
            <w:pPr>
              <w:jc w:val="both"/>
              <w:rPr>
                <w:rFonts w:ascii="Times New Roman" w:hAnsi="Times New Roman"/>
                <w:lang w:eastAsia="sk-SK"/>
              </w:rPr>
            </w:pPr>
            <w:r w:rsidRPr="005F703B">
              <w:rPr>
                <w:rFonts w:ascii="Times New Roman" w:hAnsi="Times New Roman"/>
                <w:lang w:eastAsia="sk-SK"/>
              </w:rPr>
              <w:lastRenderedPageBreak/>
              <w:t>Predkladaným návrhom zákona nedochádza k zmene konkurencieschopnosti v rámci vnútroštátnej dopravy. K zmene konkurencieschopnosti môže prísť v rámci jednotného trhu</w:t>
            </w:r>
            <w:r>
              <w:rPr>
                <w:rFonts w:ascii="Times New Roman" w:hAnsi="Times New Roman"/>
                <w:lang w:eastAsia="sk-SK"/>
              </w:rPr>
              <w:t>,</w:t>
            </w:r>
            <w:r w:rsidRPr="005F703B">
              <w:rPr>
                <w:rFonts w:ascii="Times New Roman" w:hAnsi="Times New Roman"/>
                <w:lang w:eastAsia="sk-SK"/>
              </w:rPr>
              <w:t xml:space="preserve"> a to hlavne u dopravcov, ktorí vykonávali a ktorí budú vykonávať väčšinu  dopravných služieb mimo územia Slovenskej republiky.</w:t>
            </w:r>
          </w:p>
        </w:tc>
      </w:tr>
      <w:tr w:rsidR="00FB0432" w:rsidRPr="005F703B" w14:paraId="6532E424" w14:textId="77777777" w:rsidTr="00DA58E5">
        <w:trPr>
          <w:trHeight w:val="1282"/>
        </w:trPr>
        <w:tc>
          <w:tcPr>
            <w:tcW w:w="9062" w:type="dxa"/>
            <w:tcBorders>
              <w:top w:val="single" w:sz="4" w:space="0" w:color="auto"/>
              <w:left w:val="single" w:sz="4" w:space="0" w:color="auto"/>
              <w:bottom w:val="single" w:sz="4" w:space="0" w:color="auto"/>
              <w:right w:val="single" w:sz="4" w:space="0" w:color="auto"/>
            </w:tcBorders>
          </w:tcPr>
          <w:p w14:paraId="309ACD07" w14:textId="77777777" w:rsidR="00FB0432" w:rsidRPr="005F703B" w:rsidRDefault="00FB0432" w:rsidP="00DA58E5">
            <w:pPr>
              <w:jc w:val="both"/>
              <w:rPr>
                <w:rFonts w:ascii="Times New Roman" w:hAnsi="Times New Roman"/>
                <w:lang w:eastAsia="sk-SK"/>
              </w:rPr>
            </w:pPr>
            <w:r w:rsidRPr="005F703B">
              <w:rPr>
                <w:rFonts w:ascii="Times New Roman" w:hAnsi="Times New Roman"/>
                <w:lang w:eastAsia="sk-SK"/>
              </w:rPr>
              <w:t>Návrh zákona nebude mať podľa nášho názoru vplyv na obchodné bariéry ani vplyv na vyvolanie cezhraničných investícií, ani na cenu a dostupnosť služieb. Návrh zákona nevytvára nové možnosti financovania aktivít.</w:t>
            </w:r>
          </w:p>
          <w:p w14:paraId="3DB85F75" w14:textId="77777777" w:rsidR="00FB0432" w:rsidRPr="005F703B" w:rsidRDefault="00FB0432" w:rsidP="00DA58E5">
            <w:pPr>
              <w:jc w:val="both"/>
              <w:rPr>
                <w:rFonts w:ascii="Times New Roman" w:hAnsi="Times New Roman"/>
                <w:lang w:eastAsia="sk-SK"/>
              </w:rPr>
            </w:pPr>
          </w:p>
        </w:tc>
      </w:tr>
      <w:tr w:rsidR="00FB0432" w:rsidRPr="005F703B" w14:paraId="061B7327" w14:textId="77777777" w:rsidTr="00DA58E5">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6734B5" w14:textId="77777777" w:rsidR="00FB0432" w:rsidRPr="005F703B" w:rsidRDefault="00FB0432" w:rsidP="00DA58E5">
            <w:pPr>
              <w:rPr>
                <w:rFonts w:ascii="Times New Roman" w:hAnsi="Times New Roman"/>
                <w:b/>
                <w:szCs w:val="20"/>
                <w:lang w:eastAsia="sk-SK"/>
              </w:rPr>
            </w:pPr>
            <w:r w:rsidRPr="005F703B">
              <w:rPr>
                <w:rFonts w:ascii="Times New Roman" w:hAnsi="Times New Roman"/>
                <w:b/>
                <w:szCs w:val="20"/>
                <w:lang w:eastAsia="sk-SK"/>
              </w:rPr>
              <w:t xml:space="preserve">3.5 Inovácie </w:t>
            </w:r>
          </w:p>
          <w:p w14:paraId="4E5DF8B7" w14:textId="77777777" w:rsidR="00FB0432" w:rsidRPr="005F703B" w:rsidRDefault="00FB0432" w:rsidP="00DA58E5">
            <w:pPr>
              <w:rPr>
                <w:rFonts w:ascii="Times New Roman" w:hAnsi="Times New Roman"/>
                <w:b/>
                <w:szCs w:val="20"/>
                <w:lang w:eastAsia="sk-SK"/>
              </w:rPr>
            </w:pPr>
            <w:r w:rsidRPr="005F703B">
              <w:rPr>
                <w:rFonts w:ascii="Times New Roman" w:hAnsi="Times New Roman"/>
                <w:szCs w:val="20"/>
                <w:lang w:eastAsia="sk-SK"/>
              </w:rPr>
              <w:t xml:space="preserve">       - </w:t>
            </w:r>
            <w:r w:rsidRPr="005F703B">
              <w:rPr>
                <w:rFonts w:ascii="Times New Roman" w:hAnsi="Times New Roman"/>
                <w:b/>
                <w:szCs w:val="20"/>
                <w:lang w:eastAsia="sk-SK"/>
              </w:rPr>
              <w:t>z toho MSP</w:t>
            </w:r>
          </w:p>
        </w:tc>
      </w:tr>
      <w:tr w:rsidR="00FB0432" w:rsidRPr="005F703B" w14:paraId="024494BC" w14:textId="77777777" w:rsidTr="00DA58E5">
        <w:tc>
          <w:tcPr>
            <w:tcW w:w="9062" w:type="dxa"/>
            <w:tcBorders>
              <w:top w:val="single" w:sz="4" w:space="0" w:color="auto"/>
              <w:left w:val="single" w:sz="4" w:space="0" w:color="auto"/>
              <w:bottom w:val="single" w:sz="4" w:space="0" w:color="auto"/>
              <w:right w:val="single" w:sz="4" w:space="0" w:color="auto"/>
            </w:tcBorders>
            <w:hideMark/>
          </w:tcPr>
          <w:p w14:paraId="661D5D82" w14:textId="77777777" w:rsidR="00FB0432" w:rsidRPr="005F703B" w:rsidRDefault="00FB0432" w:rsidP="00DA58E5">
            <w:pPr>
              <w:jc w:val="both"/>
              <w:rPr>
                <w:rFonts w:ascii="Times New Roman" w:hAnsi="Times New Roman"/>
                <w:i/>
                <w:szCs w:val="20"/>
                <w:lang w:eastAsia="sk-SK"/>
              </w:rPr>
            </w:pPr>
            <w:r w:rsidRPr="005F703B">
              <w:rPr>
                <w:rFonts w:ascii="Times New Roman" w:hAnsi="Times New Roman"/>
                <w:i/>
                <w:szCs w:val="20"/>
                <w:lang w:eastAsia="sk-SK"/>
              </w:rPr>
              <w:t>Uveďte, ako podporuje navrhovaná zmena inovácie.</w:t>
            </w:r>
          </w:p>
          <w:p w14:paraId="0F9922DD" w14:textId="77777777" w:rsidR="00FB0432" w:rsidRPr="005F703B" w:rsidRDefault="00FB0432" w:rsidP="00DA58E5">
            <w:pPr>
              <w:jc w:val="both"/>
              <w:rPr>
                <w:rFonts w:ascii="Times New Roman" w:hAnsi="Times New Roman"/>
                <w:i/>
                <w:szCs w:val="20"/>
                <w:lang w:eastAsia="sk-SK"/>
              </w:rPr>
            </w:pPr>
            <w:r w:rsidRPr="005F703B">
              <w:rPr>
                <w:rFonts w:ascii="Times New Roman" w:hAnsi="Times New Roman"/>
                <w:i/>
                <w:szCs w:val="20"/>
                <w:lang w:eastAsia="sk-SK"/>
              </w:rPr>
              <w:t>Zjednodušuje uvedenie alebo rozšírenie nových výrobných metód, technológií a výrobkov na trh?</w:t>
            </w:r>
          </w:p>
          <w:p w14:paraId="00DB3B93" w14:textId="77777777" w:rsidR="00FB0432" w:rsidRPr="005F703B" w:rsidRDefault="00FB0432" w:rsidP="00DA58E5">
            <w:pPr>
              <w:jc w:val="both"/>
              <w:rPr>
                <w:rFonts w:ascii="Times New Roman" w:hAnsi="Times New Roman"/>
                <w:i/>
                <w:szCs w:val="20"/>
                <w:lang w:eastAsia="sk-SK"/>
              </w:rPr>
            </w:pPr>
            <w:r w:rsidRPr="005F703B">
              <w:rPr>
                <w:rFonts w:ascii="Times New Roman" w:hAnsi="Times New Roman"/>
                <w:i/>
                <w:szCs w:val="20"/>
                <w:lang w:eastAsia="sk-SK"/>
              </w:rPr>
              <w:t>Uveďte, ako vplýva navrhovaná zmena na jednotlivé práva duševného vlastníctva (napr. patenty, ochranné známky, autorské práva, vlastníctvo know-how).</w:t>
            </w:r>
          </w:p>
          <w:p w14:paraId="75892E39" w14:textId="77777777" w:rsidR="00FB0432" w:rsidRPr="005F703B" w:rsidRDefault="00FB0432" w:rsidP="00DA58E5">
            <w:pPr>
              <w:jc w:val="both"/>
              <w:rPr>
                <w:rFonts w:ascii="Times New Roman" w:hAnsi="Times New Roman"/>
                <w:i/>
                <w:szCs w:val="20"/>
                <w:lang w:eastAsia="sk-SK"/>
              </w:rPr>
            </w:pPr>
            <w:r w:rsidRPr="005F703B">
              <w:rPr>
                <w:rFonts w:ascii="Times New Roman" w:hAnsi="Times New Roman"/>
                <w:i/>
                <w:szCs w:val="20"/>
                <w:lang w:eastAsia="sk-SK"/>
              </w:rPr>
              <w:t>Podporuje vyššiu efektivitu výroby/využívania zdrojov? Ak áno, ako?</w:t>
            </w:r>
          </w:p>
          <w:p w14:paraId="2ABF26E9" w14:textId="77777777" w:rsidR="00FB0432" w:rsidRPr="005F703B" w:rsidRDefault="00FB0432" w:rsidP="00DA58E5">
            <w:pPr>
              <w:jc w:val="both"/>
              <w:rPr>
                <w:rFonts w:ascii="Times New Roman" w:hAnsi="Times New Roman"/>
                <w:i/>
                <w:szCs w:val="20"/>
                <w:lang w:eastAsia="sk-SK"/>
              </w:rPr>
            </w:pPr>
            <w:r w:rsidRPr="005F703B">
              <w:rPr>
                <w:rFonts w:ascii="Times New Roman" w:hAnsi="Times New Roman"/>
                <w:i/>
                <w:szCs w:val="20"/>
                <w:lang w:eastAsia="sk-SK"/>
              </w:rPr>
              <w:t>Vytvorí zmena nové pracovné miesta pre zamestnancov výskumu a vývoja v SR?</w:t>
            </w:r>
          </w:p>
        </w:tc>
      </w:tr>
      <w:tr w:rsidR="00FB0432" w:rsidRPr="005F703B" w14:paraId="609584F4" w14:textId="77777777" w:rsidTr="00DA58E5">
        <w:trPr>
          <w:trHeight w:val="800"/>
        </w:trPr>
        <w:tc>
          <w:tcPr>
            <w:tcW w:w="9062" w:type="dxa"/>
            <w:tcBorders>
              <w:top w:val="single" w:sz="4" w:space="0" w:color="auto"/>
              <w:left w:val="single" w:sz="4" w:space="0" w:color="auto"/>
              <w:bottom w:val="single" w:sz="4" w:space="0" w:color="auto"/>
              <w:right w:val="single" w:sz="4" w:space="0" w:color="auto"/>
            </w:tcBorders>
            <w:hideMark/>
          </w:tcPr>
          <w:p w14:paraId="1C0AACD7" w14:textId="77777777" w:rsidR="00FB0432" w:rsidRPr="005F703B" w:rsidRDefault="00FB0432" w:rsidP="00DA58E5">
            <w:pPr>
              <w:jc w:val="both"/>
              <w:rPr>
                <w:rFonts w:ascii="Times New Roman" w:hAnsi="Times New Roman"/>
                <w:lang w:eastAsia="sk-SK"/>
              </w:rPr>
            </w:pPr>
            <w:r w:rsidRPr="005F703B">
              <w:rPr>
                <w:rFonts w:ascii="Times New Roman" w:hAnsi="Times New Roman"/>
                <w:lang w:eastAsia="sk-SK"/>
              </w:rPr>
              <w:t xml:space="preserve">Navrhované </w:t>
            </w:r>
            <w:r>
              <w:rPr>
                <w:rFonts w:ascii="Times New Roman" w:hAnsi="Times New Roman"/>
                <w:lang w:eastAsia="sk-SK"/>
              </w:rPr>
              <w:t xml:space="preserve">zmeny nemajú vplyv na inovácie.  </w:t>
            </w:r>
          </w:p>
        </w:tc>
      </w:tr>
    </w:tbl>
    <w:p w14:paraId="71720AD3" w14:textId="77777777" w:rsidR="00FB0432" w:rsidRDefault="00FB0432" w:rsidP="00A91FB1">
      <w:pPr>
        <w:jc w:val="both"/>
        <w:sectPr w:rsidR="00FB0432" w:rsidSect="00FB0432">
          <w:pgSz w:w="11906" w:h="16838" w:code="9"/>
          <w:pgMar w:top="1418" w:right="1418" w:bottom="1418" w:left="1418" w:header="709" w:footer="709" w:gutter="0"/>
          <w:cols w:space="708"/>
          <w:titlePg/>
          <w:docGrid w:linePitch="326"/>
        </w:sect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3768"/>
        <w:gridCol w:w="1275"/>
        <w:gridCol w:w="1276"/>
        <w:gridCol w:w="1067"/>
        <w:gridCol w:w="1059"/>
        <w:gridCol w:w="926"/>
      </w:tblGrid>
      <w:tr w:rsidR="00FF0C63" w:rsidRPr="00284CE2" w14:paraId="68C5EBD4" w14:textId="77777777" w:rsidTr="00DA58E5">
        <w:trPr>
          <w:trHeight w:val="20"/>
        </w:trPr>
        <w:tc>
          <w:tcPr>
            <w:tcW w:w="9371"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7B2D2CA3" w14:textId="77777777" w:rsidR="00FF0C63" w:rsidRPr="00284CE2" w:rsidRDefault="00FF0C63" w:rsidP="00DA58E5">
            <w:pPr>
              <w:jc w:val="center"/>
              <w:rPr>
                <w:b/>
                <w:bCs/>
                <w:sz w:val="28"/>
                <w:szCs w:val="28"/>
                <w:lang w:eastAsia="sk-SK"/>
              </w:rPr>
            </w:pPr>
            <w:r w:rsidRPr="00284CE2">
              <w:rPr>
                <w:b/>
                <w:bCs/>
                <w:sz w:val="28"/>
                <w:szCs w:val="28"/>
                <w:lang w:eastAsia="sk-SK"/>
              </w:rPr>
              <w:lastRenderedPageBreak/>
              <w:t>Analýza vplyvov na informatizáciu spoločnosti</w:t>
            </w:r>
          </w:p>
          <w:p w14:paraId="0F16624D" w14:textId="77777777" w:rsidR="00FF0C63" w:rsidRPr="00284CE2" w:rsidRDefault="00FF0C63" w:rsidP="00DA58E5">
            <w:pPr>
              <w:jc w:val="center"/>
              <w:rPr>
                <w:b/>
                <w:i/>
                <w:iCs/>
                <w:sz w:val="2"/>
                <w:szCs w:val="22"/>
                <w:lang w:eastAsia="sk-SK"/>
              </w:rPr>
            </w:pPr>
            <w:r w:rsidRPr="00284CE2">
              <w:rPr>
                <w:b/>
                <w:lang w:eastAsia="sk-SK"/>
              </w:rPr>
              <w:t>Budovanie základných pilierov informatizácie</w:t>
            </w:r>
          </w:p>
        </w:tc>
      </w:tr>
      <w:tr w:rsidR="00FF0C63" w:rsidRPr="00284CE2" w14:paraId="1FCE1079" w14:textId="77777777" w:rsidTr="00DA58E5">
        <w:trPr>
          <w:trHeight w:val="681"/>
        </w:trPr>
        <w:tc>
          <w:tcPr>
            <w:tcW w:w="376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BF50547" w14:textId="77777777" w:rsidR="00FF0C63" w:rsidRPr="00284CE2" w:rsidRDefault="00FF0C63" w:rsidP="00DA58E5">
            <w:pPr>
              <w:jc w:val="center"/>
              <w:rPr>
                <w:b/>
                <w:szCs w:val="22"/>
                <w:lang w:eastAsia="sk-SK"/>
              </w:rPr>
            </w:pPr>
            <w:r w:rsidRPr="00284CE2">
              <w:rPr>
                <w:b/>
                <w:szCs w:val="22"/>
                <w:lang w:eastAsia="sk-SK"/>
              </w:rPr>
              <w:t>Obsah</w:t>
            </w:r>
          </w:p>
        </w:tc>
        <w:tc>
          <w:tcPr>
            <w:tcW w:w="127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1D81F6D" w14:textId="77777777" w:rsidR="00FF0C63" w:rsidRPr="00284CE2" w:rsidRDefault="00FF0C63" w:rsidP="00DA58E5">
            <w:pPr>
              <w:jc w:val="center"/>
              <w:rPr>
                <w:b/>
                <w:szCs w:val="22"/>
                <w:lang w:eastAsia="sk-SK"/>
              </w:rPr>
            </w:pPr>
            <w:r w:rsidRPr="00284CE2">
              <w:rPr>
                <w:b/>
                <w:szCs w:val="22"/>
                <w:lang w:eastAsia="sk-SK"/>
              </w:rPr>
              <w:t>A – nová služba</w:t>
            </w:r>
          </w:p>
          <w:p w14:paraId="6B3A7FFF" w14:textId="77777777" w:rsidR="00FF0C63" w:rsidRPr="00284CE2" w:rsidRDefault="00FF0C63" w:rsidP="00DA58E5">
            <w:pPr>
              <w:jc w:val="center"/>
              <w:rPr>
                <w:i/>
                <w:iCs/>
                <w:szCs w:val="22"/>
                <w:lang w:eastAsia="sk-SK"/>
              </w:rPr>
            </w:pPr>
            <w:r w:rsidRPr="00284CE2">
              <w:rPr>
                <w:b/>
                <w:szCs w:val="22"/>
                <w:lang w:eastAsia="sk-SK"/>
              </w:rPr>
              <w:t>B – zmena služby</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14:paraId="3E4D4CF4" w14:textId="77777777" w:rsidR="00FF0C63" w:rsidRPr="00284CE2" w:rsidRDefault="00FF0C63" w:rsidP="00DA58E5">
            <w:pPr>
              <w:jc w:val="center"/>
              <w:rPr>
                <w:i/>
                <w:iCs/>
                <w:szCs w:val="22"/>
                <w:lang w:eastAsia="sk-SK"/>
              </w:rPr>
            </w:pPr>
          </w:p>
          <w:p w14:paraId="368DF519" w14:textId="77777777" w:rsidR="00FF0C63" w:rsidRPr="00284CE2" w:rsidRDefault="00FF0C63" w:rsidP="00DA58E5">
            <w:pPr>
              <w:spacing w:after="200"/>
              <w:jc w:val="center"/>
              <w:rPr>
                <w:szCs w:val="22"/>
                <w:lang w:eastAsia="sk-SK"/>
              </w:rPr>
            </w:pPr>
            <w:r w:rsidRPr="00284CE2">
              <w:rPr>
                <w:b/>
                <w:szCs w:val="22"/>
                <w:lang w:eastAsia="sk-SK"/>
              </w:rPr>
              <w:t>Kód služby</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F008C5B" w14:textId="77777777" w:rsidR="00FF0C63" w:rsidRPr="00284CE2" w:rsidRDefault="00FF0C63" w:rsidP="00DA58E5">
            <w:pPr>
              <w:jc w:val="center"/>
              <w:rPr>
                <w:b/>
                <w:szCs w:val="22"/>
                <w:lang w:eastAsia="sk-SK"/>
              </w:rPr>
            </w:pPr>
          </w:p>
          <w:p w14:paraId="53157BD0" w14:textId="77777777" w:rsidR="00FF0C63" w:rsidRPr="00284CE2" w:rsidRDefault="00FF0C63" w:rsidP="00DA58E5">
            <w:pPr>
              <w:jc w:val="center"/>
              <w:rPr>
                <w:i/>
                <w:iCs/>
                <w:szCs w:val="22"/>
                <w:lang w:eastAsia="sk-SK"/>
              </w:rPr>
            </w:pPr>
            <w:r w:rsidRPr="00284CE2">
              <w:rPr>
                <w:b/>
                <w:szCs w:val="22"/>
                <w:lang w:eastAsia="sk-SK"/>
              </w:rPr>
              <w:t>Názov služby</w:t>
            </w:r>
          </w:p>
        </w:tc>
        <w:tc>
          <w:tcPr>
            <w:tcW w:w="92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A3BC508" w14:textId="77777777" w:rsidR="00FF0C63" w:rsidRPr="00284CE2" w:rsidRDefault="00FF0C63" w:rsidP="00DA58E5">
            <w:pPr>
              <w:jc w:val="center"/>
              <w:rPr>
                <w:b/>
                <w:szCs w:val="22"/>
                <w:lang w:eastAsia="sk-SK"/>
              </w:rPr>
            </w:pPr>
            <w:r w:rsidRPr="00284CE2">
              <w:rPr>
                <w:b/>
                <w:szCs w:val="22"/>
                <w:lang w:eastAsia="sk-SK"/>
              </w:rPr>
              <w:t>Úroveň elektronizácie služby</w:t>
            </w:r>
          </w:p>
          <w:p w14:paraId="6202C861" w14:textId="77777777" w:rsidR="00FF0C63" w:rsidRPr="00284CE2" w:rsidRDefault="00FF0C63" w:rsidP="00DA58E5">
            <w:pPr>
              <w:jc w:val="center"/>
              <w:rPr>
                <w:i/>
                <w:iCs/>
                <w:szCs w:val="22"/>
                <w:lang w:eastAsia="sk-SK"/>
              </w:rPr>
            </w:pPr>
            <w:r w:rsidRPr="00284CE2">
              <w:rPr>
                <w:b/>
                <w:szCs w:val="22"/>
                <w:lang w:eastAsia="sk-SK"/>
              </w:rPr>
              <w:t>(0 až 5)</w:t>
            </w:r>
          </w:p>
        </w:tc>
      </w:tr>
      <w:tr w:rsidR="00FF0C63" w:rsidRPr="00284CE2" w14:paraId="53F14E66" w14:textId="77777777" w:rsidTr="00DA58E5">
        <w:trPr>
          <w:trHeight w:val="20"/>
        </w:trPr>
        <w:tc>
          <w:tcPr>
            <w:tcW w:w="3768" w:type="dxa"/>
            <w:tcBorders>
              <w:top w:val="single" w:sz="4" w:space="0" w:color="auto"/>
              <w:left w:val="single" w:sz="4" w:space="0" w:color="auto"/>
              <w:bottom w:val="single" w:sz="4" w:space="0" w:color="auto"/>
              <w:right w:val="single" w:sz="4" w:space="0" w:color="auto"/>
            </w:tcBorders>
            <w:hideMark/>
          </w:tcPr>
          <w:p w14:paraId="3F5AC6A0" w14:textId="77777777" w:rsidR="00FF0C63" w:rsidRPr="00284CE2" w:rsidRDefault="00FF0C63" w:rsidP="00DA58E5">
            <w:pPr>
              <w:jc w:val="both"/>
              <w:rPr>
                <w:szCs w:val="22"/>
                <w:lang w:eastAsia="sk-SK"/>
              </w:rPr>
            </w:pPr>
            <w:r w:rsidRPr="00284CE2">
              <w:rPr>
                <w:b/>
                <w:szCs w:val="22"/>
                <w:lang w:eastAsia="sk-SK"/>
              </w:rPr>
              <w:t>6.1.</w:t>
            </w:r>
            <w:r w:rsidRPr="00284CE2">
              <w:rPr>
                <w:szCs w:val="22"/>
                <w:lang w:eastAsia="sk-SK"/>
              </w:rPr>
              <w:t xml:space="preserve"> Predpokladá predložený návrh zmenu existujúcich elektronických služieb verejnej správy alebo vytvorenie nových služieb?</w:t>
            </w:r>
          </w:p>
          <w:p w14:paraId="1882CBB5" w14:textId="77777777" w:rsidR="00FF0C63" w:rsidRPr="00284CE2" w:rsidRDefault="00FF0C63" w:rsidP="00DA58E5">
            <w:pPr>
              <w:spacing w:line="20" w:lineRule="atLeast"/>
              <w:jc w:val="both"/>
              <w:rPr>
                <w:b/>
                <w:sz w:val="22"/>
                <w:szCs w:val="22"/>
                <w:lang w:eastAsia="sk-SK"/>
              </w:rPr>
            </w:pPr>
            <w:r w:rsidRPr="00284CE2">
              <w:rPr>
                <w:i/>
                <w:iCs/>
                <w:szCs w:val="22"/>
                <w:lang w:eastAsia="sk-SK"/>
              </w:rPr>
              <w:t xml:space="preserve">(Ak áno, uveďte zmenu služby alebo vytvorenie novej služby, ďalej  jej kód, názov a úroveň elektronizácie podľa katalógu </w:t>
            </w:r>
            <w:proofErr w:type="spellStart"/>
            <w:r w:rsidRPr="00284CE2">
              <w:rPr>
                <w:i/>
                <w:iCs/>
                <w:szCs w:val="22"/>
                <w:lang w:eastAsia="sk-SK"/>
              </w:rPr>
              <w:t>eGovernment</w:t>
            </w:r>
            <w:proofErr w:type="spellEnd"/>
            <w:r w:rsidRPr="00284CE2">
              <w:rPr>
                <w:i/>
                <w:iCs/>
                <w:szCs w:val="22"/>
                <w:lang w:eastAsia="sk-SK"/>
              </w:rPr>
              <w:t xml:space="preserve"> služieb, ktorý je vedený v centrálnom </w:t>
            </w:r>
            <w:proofErr w:type="spellStart"/>
            <w:r w:rsidRPr="00284CE2">
              <w:rPr>
                <w:i/>
                <w:iCs/>
                <w:szCs w:val="22"/>
                <w:lang w:eastAsia="sk-SK"/>
              </w:rPr>
              <w:t>metainformačnom</w:t>
            </w:r>
            <w:proofErr w:type="spellEnd"/>
            <w:r w:rsidRPr="00284CE2">
              <w:rPr>
                <w:i/>
                <w:iCs/>
                <w:szCs w:val="22"/>
                <w:lang w:eastAsia="sk-SK"/>
              </w:rPr>
              <w:t xml:space="preserve"> systéme verejnej správy.)</w:t>
            </w:r>
          </w:p>
        </w:tc>
        <w:tc>
          <w:tcPr>
            <w:tcW w:w="1275" w:type="dxa"/>
            <w:tcBorders>
              <w:top w:val="single" w:sz="4" w:space="0" w:color="auto"/>
              <w:left w:val="single" w:sz="4" w:space="0" w:color="auto"/>
              <w:bottom w:val="single" w:sz="4" w:space="0" w:color="auto"/>
              <w:right w:val="single" w:sz="4" w:space="0" w:color="auto"/>
            </w:tcBorders>
          </w:tcPr>
          <w:p w14:paraId="6CCDA196" w14:textId="77777777" w:rsidR="00FF0C63" w:rsidRPr="00284CE2" w:rsidRDefault="00FF0C63" w:rsidP="00DA58E5">
            <w:pPr>
              <w:jc w:val="center"/>
              <w:rPr>
                <w:b/>
                <w:sz w:val="22"/>
                <w:szCs w:val="22"/>
                <w:lang w:eastAsia="sk-SK"/>
              </w:rPr>
            </w:pPr>
            <w:r>
              <w:rPr>
                <w:b/>
                <w:sz w:val="22"/>
                <w:szCs w:val="22"/>
                <w:lang w:eastAsia="sk-SK"/>
              </w:rPr>
              <w:t>-</w:t>
            </w:r>
          </w:p>
        </w:tc>
        <w:tc>
          <w:tcPr>
            <w:tcW w:w="1276" w:type="dxa"/>
            <w:tcBorders>
              <w:top w:val="single" w:sz="4" w:space="0" w:color="auto"/>
              <w:left w:val="single" w:sz="4" w:space="0" w:color="auto"/>
              <w:bottom w:val="single" w:sz="4" w:space="0" w:color="auto"/>
              <w:right w:val="single" w:sz="4" w:space="0" w:color="auto"/>
            </w:tcBorders>
          </w:tcPr>
          <w:p w14:paraId="27BCF898" w14:textId="77777777" w:rsidR="00FF0C63" w:rsidRPr="00284CE2" w:rsidRDefault="00FF0C63" w:rsidP="00DA58E5">
            <w:pPr>
              <w:jc w:val="center"/>
              <w:rPr>
                <w:b/>
                <w:sz w:val="22"/>
                <w:szCs w:val="22"/>
                <w:lang w:eastAsia="sk-SK"/>
              </w:rPr>
            </w:pPr>
            <w:r>
              <w:rPr>
                <w:b/>
                <w:sz w:val="22"/>
                <w:szCs w:val="22"/>
                <w:lang w:eastAsia="sk-SK"/>
              </w:rPr>
              <w:t>-</w:t>
            </w:r>
          </w:p>
        </w:tc>
        <w:tc>
          <w:tcPr>
            <w:tcW w:w="2126" w:type="dxa"/>
            <w:gridSpan w:val="2"/>
            <w:tcBorders>
              <w:top w:val="single" w:sz="4" w:space="0" w:color="auto"/>
              <w:left w:val="single" w:sz="4" w:space="0" w:color="auto"/>
              <w:bottom w:val="single" w:sz="4" w:space="0" w:color="auto"/>
              <w:right w:val="single" w:sz="4" w:space="0" w:color="auto"/>
            </w:tcBorders>
          </w:tcPr>
          <w:p w14:paraId="1799B7DD" w14:textId="77777777" w:rsidR="00FF0C63" w:rsidRPr="00284CE2" w:rsidRDefault="00FF0C63" w:rsidP="00DA58E5">
            <w:pPr>
              <w:jc w:val="both"/>
              <w:rPr>
                <w:b/>
                <w:sz w:val="22"/>
                <w:szCs w:val="22"/>
                <w:lang w:eastAsia="sk-SK"/>
              </w:rPr>
            </w:pPr>
            <w:r>
              <w:rPr>
                <w:b/>
                <w:sz w:val="22"/>
                <w:szCs w:val="22"/>
                <w:lang w:eastAsia="sk-SK"/>
              </w:rPr>
              <w:t>-</w:t>
            </w:r>
          </w:p>
        </w:tc>
        <w:tc>
          <w:tcPr>
            <w:tcW w:w="926" w:type="dxa"/>
            <w:tcBorders>
              <w:top w:val="single" w:sz="4" w:space="0" w:color="auto"/>
              <w:left w:val="single" w:sz="4" w:space="0" w:color="auto"/>
              <w:bottom w:val="single" w:sz="4" w:space="0" w:color="auto"/>
              <w:right w:val="single" w:sz="4" w:space="0" w:color="auto"/>
            </w:tcBorders>
          </w:tcPr>
          <w:p w14:paraId="7F2F4830" w14:textId="77777777" w:rsidR="00FF0C63" w:rsidRPr="00284CE2" w:rsidRDefault="00FF0C63" w:rsidP="00DA58E5">
            <w:pPr>
              <w:jc w:val="center"/>
              <w:rPr>
                <w:b/>
                <w:sz w:val="22"/>
                <w:szCs w:val="22"/>
                <w:lang w:eastAsia="sk-SK"/>
              </w:rPr>
            </w:pPr>
            <w:r>
              <w:rPr>
                <w:b/>
                <w:sz w:val="22"/>
                <w:szCs w:val="22"/>
                <w:lang w:eastAsia="sk-SK"/>
              </w:rPr>
              <w:t>-</w:t>
            </w:r>
          </w:p>
        </w:tc>
      </w:tr>
      <w:tr w:rsidR="00FF0C63" w:rsidRPr="00284CE2" w14:paraId="63ABB4FF" w14:textId="77777777" w:rsidTr="00DA58E5">
        <w:trPr>
          <w:trHeight w:val="20"/>
        </w:trPr>
        <w:tc>
          <w:tcPr>
            <w:tcW w:w="376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B598DB9" w14:textId="77777777" w:rsidR="00FF0C63" w:rsidRPr="00284CE2" w:rsidRDefault="00FF0C63" w:rsidP="00DA58E5">
            <w:pPr>
              <w:jc w:val="center"/>
              <w:rPr>
                <w:b/>
                <w:szCs w:val="22"/>
                <w:lang w:eastAsia="sk-SK"/>
              </w:rPr>
            </w:pPr>
            <w:r w:rsidRPr="00284CE2">
              <w:rPr>
                <w:b/>
                <w:szCs w:val="22"/>
                <w:lang w:eastAsia="sk-SK"/>
              </w:rPr>
              <w:t>Infraštruktúra</w:t>
            </w:r>
          </w:p>
        </w:tc>
        <w:tc>
          <w:tcPr>
            <w:tcW w:w="127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59ED6E9" w14:textId="77777777" w:rsidR="00FF0C63" w:rsidRPr="00284CE2" w:rsidRDefault="00FF0C63" w:rsidP="00DA58E5">
            <w:pPr>
              <w:jc w:val="center"/>
              <w:rPr>
                <w:b/>
                <w:szCs w:val="22"/>
                <w:lang w:eastAsia="sk-SK"/>
              </w:rPr>
            </w:pPr>
            <w:r w:rsidRPr="00284CE2">
              <w:rPr>
                <w:b/>
                <w:szCs w:val="22"/>
                <w:lang w:eastAsia="sk-SK"/>
              </w:rPr>
              <w:t>A – nový systém</w:t>
            </w:r>
          </w:p>
          <w:p w14:paraId="19A78748" w14:textId="77777777" w:rsidR="00FF0C63" w:rsidRPr="00284CE2" w:rsidRDefault="00FF0C63" w:rsidP="00DA58E5">
            <w:pPr>
              <w:jc w:val="center"/>
              <w:rPr>
                <w:b/>
                <w:szCs w:val="22"/>
                <w:lang w:eastAsia="sk-SK"/>
              </w:rPr>
            </w:pPr>
            <w:r w:rsidRPr="00284CE2">
              <w:rPr>
                <w:b/>
                <w:szCs w:val="22"/>
                <w:lang w:eastAsia="sk-SK"/>
              </w:rPr>
              <w:t>B – zmena systému</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AFD9871" w14:textId="77777777" w:rsidR="00FF0C63" w:rsidRPr="00284CE2" w:rsidRDefault="00FF0C63" w:rsidP="00DA58E5">
            <w:pPr>
              <w:jc w:val="center"/>
              <w:rPr>
                <w:b/>
                <w:szCs w:val="22"/>
                <w:lang w:eastAsia="sk-SK"/>
              </w:rPr>
            </w:pPr>
            <w:r w:rsidRPr="00284CE2">
              <w:rPr>
                <w:b/>
                <w:szCs w:val="22"/>
                <w:lang w:eastAsia="sk-SK"/>
              </w:rPr>
              <w:t>Kód systému</w:t>
            </w:r>
          </w:p>
        </w:tc>
        <w:tc>
          <w:tcPr>
            <w:tcW w:w="3052"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7DCE053B" w14:textId="77777777" w:rsidR="00FF0C63" w:rsidRPr="00284CE2" w:rsidRDefault="00FF0C63" w:rsidP="00DA58E5">
            <w:pPr>
              <w:jc w:val="center"/>
              <w:rPr>
                <w:b/>
                <w:lang w:eastAsia="sk-SK"/>
              </w:rPr>
            </w:pPr>
            <w:r w:rsidRPr="00284CE2">
              <w:rPr>
                <w:b/>
                <w:szCs w:val="22"/>
                <w:lang w:eastAsia="sk-SK"/>
              </w:rPr>
              <w:t>Názov systému</w:t>
            </w:r>
          </w:p>
        </w:tc>
      </w:tr>
      <w:tr w:rsidR="00FF0C63" w:rsidRPr="00284CE2" w14:paraId="35A9C9A6" w14:textId="77777777" w:rsidTr="00DA58E5">
        <w:trPr>
          <w:trHeight w:val="20"/>
        </w:trPr>
        <w:tc>
          <w:tcPr>
            <w:tcW w:w="3768" w:type="dxa"/>
            <w:tcBorders>
              <w:top w:val="single" w:sz="4" w:space="0" w:color="auto"/>
              <w:left w:val="single" w:sz="4" w:space="0" w:color="auto"/>
              <w:bottom w:val="single" w:sz="4" w:space="0" w:color="auto"/>
              <w:right w:val="single" w:sz="4" w:space="0" w:color="auto"/>
            </w:tcBorders>
            <w:hideMark/>
          </w:tcPr>
          <w:p w14:paraId="4D4B918C" w14:textId="77777777" w:rsidR="00FF0C63" w:rsidRPr="00284CE2" w:rsidRDefault="00FF0C63" w:rsidP="00DA58E5">
            <w:pPr>
              <w:jc w:val="both"/>
              <w:rPr>
                <w:lang w:eastAsia="sk-SK"/>
              </w:rPr>
            </w:pPr>
            <w:r w:rsidRPr="00284CE2">
              <w:rPr>
                <w:b/>
                <w:lang w:eastAsia="sk-SK"/>
              </w:rPr>
              <w:t>6.2.</w:t>
            </w:r>
            <w:r w:rsidRPr="00284CE2">
              <w:rPr>
                <w:lang w:eastAsia="sk-SK"/>
              </w:rPr>
              <w:t xml:space="preserve"> Predpokladá predložený návrh zmenu existujúceho alebo vytvorenie nového informačného systému verejnej správy?</w:t>
            </w:r>
          </w:p>
          <w:p w14:paraId="671B8BD0" w14:textId="77777777" w:rsidR="00FF0C63" w:rsidRPr="00284CE2" w:rsidRDefault="00FF0C63" w:rsidP="00DA58E5">
            <w:pPr>
              <w:spacing w:line="20" w:lineRule="atLeast"/>
              <w:jc w:val="both"/>
              <w:rPr>
                <w:lang w:eastAsia="sk-SK"/>
              </w:rPr>
            </w:pPr>
            <w:r w:rsidRPr="00284CE2">
              <w:rPr>
                <w:i/>
                <w:iCs/>
                <w:lang w:eastAsia="sk-SK"/>
              </w:rPr>
              <w:t xml:space="preserve">(Ak áno, uveďte zmenu systému alebo vytvorenie nového systému, ďalej jeho kód a názov z centrálneho </w:t>
            </w:r>
            <w:proofErr w:type="spellStart"/>
            <w:r w:rsidRPr="00284CE2">
              <w:rPr>
                <w:i/>
                <w:iCs/>
                <w:lang w:eastAsia="sk-SK"/>
              </w:rPr>
              <w:t>metainformačného</w:t>
            </w:r>
            <w:proofErr w:type="spellEnd"/>
            <w:r w:rsidRPr="00284CE2">
              <w:rPr>
                <w:i/>
                <w:iCs/>
                <w:lang w:eastAsia="sk-SK"/>
              </w:rPr>
              <w:t xml:space="preserve"> systému verejnej správy.)</w:t>
            </w:r>
          </w:p>
        </w:tc>
        <w:tc>
          <w:tcPr>
            <w:tcW w:w="1275" w:type="dxa"/>
            <w:tcBorders>
              <w:top w:val="single" w:sz="4" w:space="0" w:color="auto"/>
              <w:left w:val="single" w:sz="4" w:space="0" w:color="auto"/>
              <w:bottom w:val="single" w:sz="4" w:space="0" w:color="auto"/>
              <w:right w:val="single" w:sz="4" w:space="0" w:color="auto"/>
            </w:tcBorders>
            <w:hideMark/>
          </w:tcPr>
          <w:p w14:paraId="26CF903E" w14:textId="77777777" w:rsidR="00FF0C63" w:rsidRPr="00284CE2" w:rsidRDefault="00FF0C63" w:rsidP="00DA58E5">
            <w:pPr>
              <w:jc w:val="center"/>
              <w:rPr>
                <w:b/>
                <w:iCs/>
                <w:lang w:eastAsia="sk-SK"/>
              </w:rPr>
            </w:pPr>
            <w:r>
              <w:rPr>
                <w:b/>
                <w:iCs/>
                <w:lang w:eastAsia="sk-SK"/>
              </w:rPr>
              <w:t>-</w:t>
            </w:r>
          </w:p>
        </w:tc>
        <w:tc>
          <w:tcPr>
            <w:tcW w:w="1276" w:type="dxa"/>
            <w:tcBorders>
              <w:top w:val="single" w:sz="4" w:space="0" w:color="auto"/>
              <w:left w:val="single" w:sz="4" w:space="0" w:color="auto"/>
              <w:bottom w:val="single" w:sz="4" w:space="0" w:color="auto"/>
              <w:right w:val="single" w:sz="4" w:space="0" w:color="auto"/>
            </w:tcBorders>
            <w:hideMark/>
          </w:tcPr>
          <w:p w14:paraId="03DD60A9" w14:textId="77777777" w:rsidR="00FF0C63" w:rsidRPr="00284CE2" w:rsidRDefault="00FF0C63" w:rsidP="00DA58E5">
            <w:pPr>
              <w:rPr>
                <w:i/>
                <w:iCs/>
                <w:lang w:eastAsia="sk-SK"/>
              </w:rPr>
            </w:pPr>
            <w:r>
              <w:rPr>
                <w:i/>
                <w:iCs/>
                <w:lang w:eastAsia="sk-SK"/>
              </w:rPr>
              <w:t>-</w:t>
            </w:r>
          </w:p>
        </w:tc>
        <w:tc>
          <w:tcPr>
            <w:tcW w:w="3052" w:type="dxa"/>
            <w:gridSpan w:val="3"/>
            <w:tcBorders>
              <w:top w:val="single" w:sz="4" w:space="0" w:color="auto"/>
              <w:left w:val="single" w:sz="4" w:space="0" w:color="auto"/>
              <w:bottom w:val="single" w:sz="4" w:space="0" w:color="auto"/>
              <w:right w:val="single" w:sz="4" w:space="0" w:color="auto"/>
            </w:tcBorders>
            <w:hideMark/>
          </w:tcPr>
          <w:p w14:paraId="5ED1E778" w14:textId="77777777" w:rsidR="00FF0C63" w:rsidRPr="00284CE2" w:rsidRDefault="00FF0C63" w:rsidP="00DA58E5">
            <w:pPr>
              <w:rPr>
                <w:i/>
                <w:iCs/>
                <w:lang w:eastAsia="sk-SK"/>
              </w:rPr>
            </w:pPr>
            <w:r>
              <w:rPr>
                <w:i/>
                <w:iCs/>
                <w:lang w:eastAsia="sk-SK"/>
              </w:rPr>
              <w:t>-</w:t>
            </w:r>
            <w:r w:rsidRPr="00284CE2">
              <w:rPr>
                <w:i/>
                <w:iCs/>
                <w:lang w:eastAsia="sk-SK"/>
              </w:rPr>
              <w:t xml:space="preserve"> </w:t>
            </w:r>
          </w:p>
        </w:tc>
      </w:tr>
      <w:tr w:rsidR="00FF0C63" w:rsidRPr="00284CE2" w14:paraId="66645615" w14:textId="77777777" w:rsidTr="00DA58E5">
        <w:trPr>
          <w:trHeight w:val="20"/>
        </w:trPr>
        <w:tc>
          <w:tcPr>
            <w:tcW w:w="376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DA9C417" w14:textId="77777777" w:rsidR="00FF0C63" w:rsidRPr="00284CE2" w:rsidRDefault="00FF0C63" w:rsidP="00DA58E5">
            <w:pPr>
              <w:spacing w:line="20" w:lineRule="atLeast"/>
              <w:ind w:hanging="55"/>
              <w:jc w:val="center"/>
              <w:rPr>
                <w:b/>
                <w:szCs w:val="22"/>
                <w:lang w:eastAsia="sk-SK"/>
              </w:rPr>
            </w:pPr>
            <w:r w:rsidRPr="00284CE2">
              <w:rPr>
                <w:b/>
                <w:szCs w:val="22"/>
                <w:lang w:eastAsia="sk-SK"/>
              </w:rPr>
              <w:t>Financovanie procesu informatizácie</w:t>
            </w:r>
          </w:p>
        </w:tc>
        <w:tc>
          <w:tcPr>
            <w:tcW w:w="127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D47795" w14:textId="77777777" w:rsidR="00FF0C63" w:rsidRPr="00284CE2" w:rsidRDefault="00FF0C63" w:rsidP="00DA58E5">
            <w:pPr>
              <w:jc w:val="center"/>
              <w:rPr>
                <w:b/>
                <w:i/>
                <w:iCs/>
                <w:szCs w:val="22"/>
                <w:lang w:eastAsia="sk-SK"/>
              </w:rPr>
            </w:pPr>
            <w:r w:rsidRPr="00284CE2">
              <w:rPr>
                <w:b/>
                <w:szCs w:val="22"/>
                <w:lang w:eastAsia="sk-SK"/>
              </w:rPr>
              <w:t>Rezortná úroveň</w:t>
            </w:r>
          </w:p>
        </w:tc>
        <w:tc>
          <w:tcPr>
            <w:tcW w:w="2343"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5FC3EB5" w14:textId="77777777" w:rsidR="00FF0C63" w:rsidRPr="00284CE2" w:rsidRDefault="00FF0C63" w:rsidP="00DA58E5">
            <w:pPr>
              <w:jc w:val="center"/>
              <w:rPr>
                <w:b/>
                <w:i/>
                <w:iCs/>
                <w:szCs w:val="22"/>
                <w:lang w:eastAsia="sk-SK"/>
              </w:rPr>
            </w:pPr>
            <w:r w:rsidRPr="00284CE2">
              <w:rPr>
                <w:b/>
                <w:szCs w:val="22"/>
                <w:lang w:eastAsia="sk-SK"/>
              </w:rPr>
              <w:t>Nadrezortná úroveň</w:t>
            </w:r>
          </w:p>
          <w:p w14:paraId="18FE8CB5" w14:textId="77777777" w:rsidR="00FF0C63" w:rsidRPr="00284CE2" w:rsidRDefault="00FF0C63" w:rsidP="00DA58E5">
            <w:pPr>
              <w:jc w:val="center"/>
              <w:rPr>
                <w:b/>
                <w:szCs w:val="22"/>
                <w:lang w:eastAsia="sk-SK"/>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868C541" w14:textId="77777777" w:rsidR="00FF0C63" w:rsidRPr="00284CE2" w:rsidRDefault="00FF0C63" w:rsidP="00DA58E5">
            <w:pPr>
              <w:rPr>
                <w:b/>
                <w:szCs w:val="22"/>
                <w:lang w:eastAsia="sk-SK"/>
              </w:rPr>
            </w:pPr>
            <w:r w:rsidRPr="00284CE2">
              <w:rPr>
                <w:b/>
                <w:szCs w:val="22"/>
                <w:lang w:eastAsia="sk-SK"/>
              </w:rPr>
              <w:t>A - z prostriedkov EÚ   B - z ďalších zdrojov financovania</w:t>
            </w:r>
          </w:p>
        </w:tc>
      </w:tr>
      <w:tr w:rsidR="00FF0C63" w:rsidRPr="00284CE2" w14:paraId="3B60C388" w14:textId="77777777" w:rsidTr="00DA58E5">
        <w:trPr>
          <w:trHeight w:val="20"/>
        </w:trPr>
        <w:tc>
          <w:tcPr>
            <w:tcW w:w="3768" w:type="dxa"/>
            <w:tcBorders>
              <w:top w:val="single" w:sz="4" w:space="0" w:color="auto"/>
              <w:left w:val="single" w:sz="4" w:space="0" w:color="auto"/>
              <w:bottom w:val="single" w:sz="4" w:space="0" w:color="auto"/>
              <w:right w:val="single" w:sz="4" w:space="0" w:color="auto"/>
            </w:tcBorders>
            <w:hideMark/>
          </w:tcPr>
          <w:p w14:paraId="32474D0E" w14:textId="77777777" w:rsidR="00FF0C63" w:rsidRPr="00284CE2" w:rsidRDefault="00FF0C63" w:rsidP="00DA58E5">
            <w:pPr>
              <w:jc w:val="both"/>
              <w:rPr>
                <w:szCs w:val="22"/>
                <w:lang w:eastAsia="sk-SK"/>
              </w:rPr>
            </w:pPr>
            <w:r w:rsidRPr="00284CE2">
              <w:rPr>
                <w:b/>
                <w:szCs w:val="22"/>
                <w:lang w:eastAsia="sk-SK"/>
              </w:rPr>
              <w:t>6.3.</w:t>
            </w:r>
            <w:r w:rsidRPr="00284CE2">
              <w:rPr>
                <w:szCs w:val="22"/>
                <w:lang w:eastAsia="sk-SK"/>
              </w:rPr>
              <w:t xml:space="preserve"> Vyžaduje si proces informatizácie  finančné investície?</w:t>
            </w:r>
          </w:p>
          <w:p w14:paraId="7463DB5D" w14:textId="77777777" w:rsidR="00FF0C63" w:rsidRPr="00284CE2" w:rsidRDefault="00FF0C63" w:rsidP="00DA58E5">
            <w:pPr>
              <w:spacing w:line="20" w:lineRule="atLeast"/>
              <w:jc w:val="both"/>
              <w:rPr>
                <w:lang w:eastAsia="sk-SK"/>
              </w:rPr>
            </w:pPr>
            <w:r w:rsidRPr="00284CE2">
              <w:rPr>
                <w:i/>
                <w:iCs/>
                <w:szCs w:val="22"/>
                <w:lang w:eastAsia="sk-SK"/>
              </w:rPr>
              <w:t>(Uveďte príslušnú úroveň financovania a kvantifikáciu finančných výdavkov uveďte  v analýze vplyvov na rozpočet verejnej správy.)</w:t>
            </w:r>
          </w:p>
        </w:tc>
        <w:tc>
          <w:tcPr>
            <w:tcW w:w="1275" w:type="dxa"/>
            <w:tcBorders>
              <w:top w:val="single" w:sz="4" w:space="0" w:color="auto"/>
              <w:left w:val="single" w:sz="4" w:space="0" w:color="auto"/>
              <w:bottom w:val="single" w:sz="4" w:space="0" w:color="auto"/>
              <w:right w:val="single" w:sz="4" w:space="0" w:color="auto"/>
            </w:tcBorders>
            <w:hideMark/>
          </w:tcPr>
          <w:p w14:paraId="35E3715A" w14:textId="77777777" w:rsidR="00FF0C63" w:rsidRPr="00284CE2" w:rsidRDefault="00FF0C63" w:rsidP="00DA58E5">
            <w:pPr>
              <w:jc w:val="center"/>
              <w:rPr>
                <w:i/>
                <w:iCs/>
                <w:lang w:eastAsia="sk-SK"/>
              </w:rPr>
            </w:pPr>
            <w:r w:rsidRPr="00284CE2">
              <w:rPr>
                <w:i/>
                <w:iCs/>
                <w:lang w:eastAsia="sk-SK"/>
              </w:rPr>
              <w:t>-</w:t>
            </w:r>
          </w:p>
        </w:tc>
        <w:tc>
          <w:tcPr>
            <w:tcW w:w="2343" w:type="dxa"/>
            <w:gridSpan w:val="2"/>
            <w:tcBorders>
              <w:top w:val="single" w:sz="4" w:space="0" w:color="auto"/>
              <w:left w:val="single" w:sz="4" w:space="0" w:color="auto"/>
              <w:bottom w:val="single" w:sz="4" w:space="0" w:color="auto"/>
              <w:right w:val="single" w:sz="4" w:space="0" w:color="auto"/>
            </w:tcBorders>
            <w:hideMark/>
          </w:tcPr>
          <w:p w14:paraId="71805931" w14:textId="77777777" w:rsidR="00FF0C63" w:rsidRPr="00284CE2" w:rsidRDefault="00FF0C63" w:rsidP="00DA58E5">
            <w:pPr>
              <w:rPr>
                <w:i/>
                <w:iCs/>
                <w:lang w:eastAsia="sk-SK"/>
              </w:rPr>
            </w:pPr>
            <w:r w:rsidRPr="00284CE2">
              <w:rPr>
                <w:i/>
                <w:iCs/>
                <w:lang w:eastAsia="sk-SK"/>
              </w:rPr>
              <w:t>X</w:t>
            </w:r>
          </w:p>
        </w:tc>
        <w:tc>
          <w:tcPr>
            <w:tcW w:w="1985" w:type="dxa"/>
            <w:gridSpan w:val="2"/>
            <w:tcBorders>
              <w:top w:val="single" w:sz="4" w:space="0" w:color="auto"/>
              <w:left w:val="single" w:sz="4" w:space="0" w:color="auto"/>
              <w:bottom w:val="single" w:sz="4" w:space="0" w:color="auto"/>
              <w:right w:val="single" w:sz="4" w:space="0" w:color="auto"/>
            </w:tcBorders>
            <w:hideMark/>
          </w:tcPr>
          <w:p w14:paraId="63EAA249" w14:textId="77777777" w:rsidR="00FF0C63" w:rsidRPr="00284CE2" w:rsidRDefault="00FF0C63" w:rsidP="00DA58E5">
            <w:pPr>
              <w:rPr>
                <w:i/>
                <w:iCs/>
                <w:lang w:eastAsia="sk-SK"/>
              </w:rPr>
            </w:pPr>
            <w:r w:rsidRPr="00284CE2">
              <w:rPr>
                <w:i/>
                <w:iCs/>
                <w:lang w:eastAsia="sk-SK"/>
              </w:rPr>
              <w:t>-</w:t>
            </w:r>
          </w:p>
        </w:tc>
      </w:tr>
    </w:tbl>
    <w:p w14:paraId="7D6BFE5F" w14:textId="77777777" w:rsidR="008A3647" w:rsidRDefault="008A3647" w:rsidP="00FF0C63">
      <w:pPr>
        <w:jc w:val="both"/>
        <w:rPr>
          <w:szCs w:val="20"/>
        </w:rPr>
      </w:pPr>
    </w:p>
    <w:p w14:paraId="0A39F94C" w14:textId="3B63C43C" w:rsidR="00FF0C63" w:rsidRPr="002575BB" w:rsidRDefault="00FF0C63" w:rsidP="00FF0C63">
      <w:pPr>
        <w:jc w:val="both"/>
        <w:rPr>
          <w:szCs w:val="20"/>
        </w:rPr>
      </w:pPr>
      <w:r w:rsidRPr="00806768">
        <w:rPr>
          <w:szCs w:val="20"/>
        </w:rPr>
        <w:t>Poznámka: Informácie a doklady k</w:t>
      </w:r>
      <w:r>
        <w:rPr>
          <w:szCs w:val="20"/>
        </w:rPr>
        <w:t> </w:t>
      </w:r>
      <w:r w:rsidRPr="00806768">
        <w:rPr>
          <w:szCs w:val="20"/>
        </w:rPr>
        <w:t>vysielaniu</w:t>
      </w:r>
      <w:r>
        <w:rPr>
          <w:szCs w:val="20"/>
        </w:rPr>
        <w:t xml:space="preserve"> vodičov</w:t>
      </w:r>
      <w:r w:rsidRPr="00806768">
        <w:rPr>
          <w:szCs w:val="20"/>
        </w:rPr>
        <w:t xml:space="preserve"> sa budú vymieňať prostredníctvom informačného systému o vnútornom trhu</w:t>
      </w:r>
      <w:r>
        <w:rPr>
          <w:szCs w:val="20"/>
        </w:rPr>
        <w:t xml:space="preserve"> tzv. IMI</w:t>
      </w:r>
      <w:r w:rsidRPr="00806768">
        <w:rPr>
          <w:szCs w:val="20"/>
        </w:rPr>
        <w:t xml:space="preserve">, ktorý je už v súčasnosti využívaný na spoluprácu medzi členskými štátmi Európskej únie a Európskou komisiou. Prevádzkovateľom systému IMI je Európska komisia v tejto súvislosti pre Slovenskú republiku nevzniknú náklady </w:t>
      </w:r>
      <w:r w:rsidRPr="00806768">
        <w:rPr>
          <w:szCs w:val="20"/>
        </w:rPr>
        <w:lastRenderedPageBreak/>
        <w:t xml:space="preserve">z hľadiska informatizácie. </w:t>
      </w:r>
      <w:r>
        <w:rPr>
          <w:szCs w:val="20"/>
        </w:rPr>
        <w:t xml:space="preserve">Ako predkladateľ návrhu považujeme takúto službu za pozitívny dopad na informatizáciu, avšak táto služba nie je vedená </w:t>
      </w:r>
      <w:r w:rsidRPr="002575BB">
        <w:rPr>
          <w:szCs w:val="20"/>
        </w:rPr>
        <w:t xml:space="preserve">v centrálnom </w:t>
      </w:r>
      <w:proofErr w:type="spellStart"/>
      <w:r w:rsidRPr="002575BB">
        <w:rPr>
          <w:szCs w:val="20"/>
        </w:rPr>
        <w:t>metainformačnom</w:t>
      </w:r>
      <w:proofErr w:type="spellEnd"/>
      <w:r w:rsidRPr="002575BB">
        <w:rPr>
          <w:szCs w:val="20"/>
        </w:rPr>
        <w:t xml:space="preserve"> systéme verejnej správy</w:t>
      </w:r>
      <w:r>
        <w:rPr>
          <w:szCs w:val="20"/>
        </w:rPr>
        <w:t xml:space="preserve">. </w:t>
      </w:r>
    </w:p>
    <w:p w14:paraId="0201303A" w14:textId="51620E13" w:rsidR="00A91FB1" w:rsidRDefault="00A91FB1" w:rsidP="00A91FB1">
      <w:pPr>
        <w:jc w:val="both"/>
      </w:pPr>
    </w:p>
    <w:p w14:paraId="3DFD8016" w14:textId="77777777" w:rsidR="008A3647" w:rsidRPr="00575FE7" w:rsidRDefault="008A3647" w:rsidP="008A3647">
      <w:pPr>
        <w:jc w:val="center"/>
        <w:rPr>
          <w:b/>
          <w:caps/>
          <w:spacing w:val="30"/>
        </w:rPr>
      </w:pPr>
      <w:r w:rsidRPr="00575FE7">
        <w:rPr>
          <w:b/>
          <w:caps/>
          <w:spacing w:val="30"/>
        </w:rPr>
        <w:t>Doložka zlučiteľnosti</w:t>
      </w:r>
    </w:p>
    <w:p w14:paraId="41279BDE" w14:textId="77777777" w:rsidR="008A3647" w:rsidRPr="00575FE7" w:rsidRDefault="008A3647" w:rsidP="008A3647">
      <w:pPr>
        <w:jc w:val="center"/>
        <w:rPr>
          <w:b/>
        </w:rPr>
      </w:pPr>
      <w:r w:rsidRPr="00575FE7">
        <w:rPr>
          <w:b/>
        </w:rPr>
        <w:t>právneho predpisu s právom Európskej únie </w:t>
      </w:r>
    </w:p>
    <w:p w14:paraId="27935F41" w14:textId="77777777" w:rsidR="008A3647" w:rsidRPr="00575FE7" w:rsidRDefault="008A3647" w:rsidP="008A3647"/>
    <w:p w14:paraId="5BB9FEA7" w14:textId="77777777" w:rsidR="008A3647" w:rsidRPr="00575FE7" w:rsidRDefault="008A3647" w:rsidP="008A3647">
      <w:pPr>
        <w:ind w:left="360" w:hanging="360"/>
        <w:jc w:val="both"/>
        <w:rPr>
          <w:b/>
        </w:rPr>
      </w:pPr>
      <w:r w:rsidRPr="00575FE7">
        <w:rPr>
          <w:b/>
        </w:rPr>
        <w:t>1.</w:t>
      </w:r>
      <w:r w:rsidRPr="00575FE7">
        <w:rPr>
          <w:b/>
        </w:rPr>
        <w:tab/>
      </w:r>
      <w:r>
        <w:rPr>
          <w:b/>
        </w:rPr>
        <w:t>Navrhovateľ zákona</w:t>
      </w:r>
      <w:r w:rsidRPr="00575FE7">
        <w:rPr>
          <w:b/>
        </w:rPr>
        <w:t>:</w:t>
      </w:r>
      <w:r w:rsidRPr="00575FE7">
        <w:t xml:space="preserve"> Ministerstvo dopravy a výstavby Slovenskej republiky </w:t>
      </w:r>
      <w:r>
        <w:t xml:space="preserve"> </w:t>
      </w:r>
    </w:p>
    <w:p w14:paraId="096B35CC" w14:textId="77777777" w:rsidR="008A3647" w:rsidRPr="00575FE7" w:rsidRDefault="008A3647" w:rsidP="008A3647">
      <w:pPr>
        <w:tabs>
          <w:tab w:val="left" w:pos="360"/>
        </w:tabs>
        <w:ind w:left="360"/>
      </w:pPr>
    </w:p>
    <w:p w14:paraId="70FB8083" w14:textId="77777777" w:rsidR="008A3647" w:rsidRPr="00AD201D" w:rsidRDefault="008A3647" w:rsidP="008A3647">
      <w:pPr>
        <w:ind w:left="426" w:hanging="426"/>
        <w:jc w:val="both"/>
        <w:rPr>
          <w:bCs/>
        </w:rPr>
      </w:pPr>
      <w:r w:rsidRPr="00575FE7">
        <w:rPr>
          <w:b/>
        </w:rPr>
        <w:t>2.</w:t>
      </w:r>
      <w:r w:rsidRPr="00575FE7">
        <w:rPr>
          <w:b/>
        </w:rPr>
        <w:tab/>
        <w:t xml:space="preserve">Názov návrhu </w:t>
      </w:r>
      <w:r>
        <w:rPr>
          <w:b/>
        </w:rPr>
        <w:t>zákona</w:t>
      </w:r>
      <w:r w:rsidRPr="00575FE7">
        <w:rPr>
          <w:b/>
        </w:rPr>
        <w:t>:</w:t>
      </w:r>
      <w:r w:rsidRPr="00575FE7">
        <w:t xml:space="preserve"> Návrh zákona, ktorým sa mení a dopĺňa zákon č. 462/2007 Z. z. o organizácii pracovného času v doprave a o zmene a doplnení zákona č. </w:t>
      </w:r>
      <w:hyperlink r:id="rId23" w:history="1">
        <w:r w:rsidRPr="00575FE7">
          <w:t>125/2006 Z. z.</w:t>
        </w:r>
      </w:hyperlink>
      <w:r w:rsidRPr="00575FE7">
        <w:t xml:space="preserve"> o inšpekcii práce a o zmene a doplnení zákona č. </w:t>
      </w:r>
      <w:hyperlink r:id="rId24" w:history="1">
        <w:r w:rsidRPr="00575FE7">
          <w:t>82/2005 Z. z.</w:t>
        </w:r>
      </w:hyperlink>
      <w:r w:rsidRPr="00575FE7">
        <w:t xml:space="preserve"> o nelegálnej práci a nelegálnom zamestnávaní a o zmene a doplnení niektorých zákonov v znení zákona č. </w:t>
      </w:r>
      <w:hyperlink r:id="rId25" w:history="1">
        <w:r w:rsidRPr="00575FE7">
          <w:t>309/2007 Z. z.</w:t>
        </w:r>
      </w:hyperlink>
      <w:r w:rsidRPr="00575FE7">
        <w:t xml:space="preserve"> v znení neskorších predpisov a ktorým sa menia a dopĺňajú niektoré zákony (ďalej len „návrh zákona“)</w:t>
      </w:r>
    </w:p>
    <w:p w14:paraId="7B7E24A3" w14:textId="77777777" w:rsidR="008A3647" w:rsidRPr="00575FE7" w:rsidRDefault="008A3647" w:rsidP="008A3647"/>
    <w:p w14:paraId="31507594" w14:textId="77777777" w:rsidR="008A3647" w:rsidRPr="00575FE7" w:rsidRDefault="008A3647" w:rsidP="008A3647">
      <w:pPr>
        <w:ind w:left="360" w:hanging="360"/>
        <w:rPr>
          <w:b/>
        </w:rPr>
      </w:pPr>
      <w:r>
        <w:rPr>
          <w:b/>
        </w:rPr>
        <w:t>3.</w:t>
      </w:r>
      <w:r>
        <w:rPr>
          <w:b/>
        </w:rPr>
        <w:tab/>
        <w:t>Predmet návrhu zákona je upravený v práve Európskej únie</w:t>
      </w:r>
      <w:r w:rsidRPr="00575FE7">
        <w:rPr>
          <w:b/>
        </w:rPr>
        <w:t>:</w:t>
      </w:r>
    </w:p>
    <w:p w14:paraId="76BB8C0C" w14:textId="77777777" w:rsidR="008A3647" w:rsidRPr="00575FE7" w:rsidRDefault="008A3647" w:rsidP="008A3647">
      <w:pPr>
        <w:ind w:left="709" w:hanging="349"/>
      </w:pPr>
      <w:r w:rsidRPr="00575FE7">
        <w:t>a)</w:t>
      </w:r>
      <w:r w:rsidRPr="00575FE7">
        <w:tab/>
      </w:r>
      <w:r>
        <w:t>v primárnom práve</w:t>
      </w:r>
    </w:p>
    <w:p w14:paraId="13F8AE09" w14:textId="77777777" w:rsidR="008A3647" w:rsidRPr="00575FE7" w:rsidRDefault="008A3647" w:rsidP="008A3647">
      <w:pPr>
        <w:ind w:left="360"/>
      </w:pPr>
    </w:p>
    <w:p w14:paraId="4639448B" w14:textId="77777777" w:rsidR="008A3647" w:rsidRPr="00575FE7" w:rsidRDefault="008A3647" w:rsidP="008A3647">
      <w:pPr>
        <w:ind w:left="851"/>
      </w:pPr>
      <w:r>
        <w:t xml:space="preserve">Hlava VI Doprava čl. 90, 91, 92, 93 a 95 </w:t>
      </w:r>
      <w:r w:rsidRPr="009630EB">
        <w:t>Zml</w:t>
      </w:r>
      <w:r>
        <w:t xml:space="preserve">uvy o fungovaní Európskej únie, </w:t>
      </w:r>
      <w:r w:rsidRPr="00575FE7">
        <w:t>Hlava X Sociálna politika, čl. 151 až 156 Zmluvy o fungovaní Európskej únie</w:t>
      </w:r>
      <w:r>
        <w:t xml:space="preserve">, </w:t>
      </w:r>
    </w:p>
    <w:p w14:paraId="1E0767F5" w14:textId="77777777" w:rsidR="008A3647" w:rsidRPr="00575FE7" w:rsidRDefault="008A3647" w:rsidP="008A3647">
      <w:pPr>
        <w:ind w:firstLine="360"/>
      </w:pPr>
      <w:r>
        <w:t>b) v sekundárnom práve</w:t>
      </w:r>
    </w:p>
    <w:p w14:paraId="1D2BE538" w14:textId="77777777" w:rsidR="008A3647" w:rsidRPr="00575FE7" w:rsidRDefault="008A3647" w:rsidP="008A3647">
      <w:pPr>
        <w:tabs>
          <w:tab w:val="left" w:pos="1068"/>
        </w:tabs>
        <w:ind w:left="879" w:hanging="171"/>
        <w:rPr>
          <w:i/>
        </w:rPr>
      </w:pPr>
    </w:p>
    <w:p w14:paraId="38054633" w14:textId="77777777" w:rsidR="008A3647" w:rsidRPr="00575FE7" w:rsidRDefault="008A3647" w:rsidP="008A3647">
      <w:pPr>
        <w:ind w:left="851" w:firstLine="28"/>
        <w:jc w:val="both"/>
      </w:pPr>
      <w:r w:rsidRPr="00575FE7">
        <w:t>Nariadenie Európskeho parlamentu a Rady (EÚ) 2020/1054 z 15. júla 2020, ktorým sa mení nariadenie (ES) č. 561/2006, pokiaľ ide o minimálne požiadavky na maximálne denné a týždenné časy jazdy, minimálne prestávky a doby denného a týždenného odpočinku, a nariadenie (EÚ) č. 165/2014, pokiaľ ide o určovanie polohy prostredníctvom tachografov (Ú. v. EÚ L 249, 31.7.2020),</w:t>
      </w:r>
    </w:p>
    <w:p w14:paraId="3D62D67D" w14:textId="77777777" w:rsidR="008A3647" w:rsidRPr="00F742CF" w:rsidRDefault="008A3647" w:rsidP="008A3647">
      <w:pPr>
        <w:ind w:left="851" w:firstLine="28"/>
      </w:pPr>
      <w:r>
        <w:t>Gestor: Ministerstvo dopravy a výstavby SR</w:t>
      </w:r>
    </w:p>
    <w:p w14:paraId="13CB4996" w14:textId="77777777" w:rsidR="008A3647" w:rsidRPr="00575FE7" w:rsidRDefault="008A3647" w:rsidP="008A3647">
      <w:pPr>
        <w:ind w:left="851" w:firstLine="28"/>
      </w:pPr>
    </w:p>
    <w:p w14:paraId="78D2C09A" w14:textId="77777777" w:rsidR="008A3647" w:rsidRPr="00285B30" w:rsidRDefault="008A3647" w:rsidP="008A3647">
      <w:pPr>
        <w:ind w:left="851" w:firstLine="28"/>
        <w:jc w:val="both"/>
      </w:pPr>
      <w:r w:rsidRPr="00575FE7">
        <w:t>Nariadenie Európskeho parlamentu a Rady (ES) č. 561/2006 z 15. marca 2006 o harmonizácii niektorých právnych predpisov v sociálnej oblasti, ktoré sa týkajú cestnej dopravy, ktorým sa menia a dopĺňajú nariadenia Rady (EHS) č. 3821/85 a (ES) č. 2135/98 a zrušuje nariadenie Rady (EHS) č. 3820/85 (Ú. v. EÚ L 102, 11.4.2006)</w:t>
      </w:r>
      <w:r w:rsidRPr="00285B30">
        <w:t xml:space="preserve"> </w:t>
      </w:r>
      <w:r w:rsidRPr="00575FE7">
        <w:t>v platnom znení</w:t>
      </w:r>
      <w:r>
        <w:t>,</w:t>
      </w:r>
    </w:p>
    <w:p w14:paraId="4833CE3A" w14:textId="77777777" w:rsidR="008A3647" w:rsidRPr="00F742CF" w:rsidRDefault="008A3647" w:rsidP="008A3647">
      <w:pPr>
        <w:ind w:left="851" w:firstLine="28"/>
      </w:pPr>
      <w:r>
        <w:t>Gestor: Ministerstvo dopravy a výstavby SR</w:t>
      </w:r>
    </w:p>
    <w:p w14:paraId="067B71B2" w14:textId="77777777" w:rsidR="008A3647" w:rsidRDefault="008A3647" w:rsidP="008A3647">
      <w:pPr>
        <w:ind w:left="851" w:firstLine="28"/>
        <w:jc w:val="both"/>
      </w:pPr>
    </w:p>
    <w:p w14:paraId="48C57F59" w14:textId="77777777" w:rsidR="008A3647" w:rsidRDefault="008A3647" w:rsidP="008A3647">
      <w:pPr>
        <w:ind w:left="851" w:firstLine="28"/>
        <w:jc w:val="both"/>
      </w:pPr>
      <w:r w:rsidRPr="00575FE7">
        <w:t>Smernica Európskeho parlamentu a Rady (EÚ) 2020/1057 z 15. júla 2020, ktorou sa stanovujú špecifické pravidlá vo vzťahu k smernici 96/71/ES a smernici 2014/67/EÚ pre vysielanie vodičov v odvetví cestnej dopravy a ktorou sa mení smernica 2006/22/ES, pokiaľ ide o požiadavky týkajúce sa dodržiavania predpisov, a nariadenie (EÚ) č. 1024/2012 (Ú. v. EÚ L 249, 31.7.2020).</w:t>
      </w:r>
    </w:p>
    <w:p w14:paraId="5BB35053" w14:textId="77777777" w:rsidR="008A3647" w:rsidRPr="00F742CF" w:rsidRDefault="008A3647" w:rsidP="008A3647">
      <w:pPr>
        <w:ind w:left="851" w:firstLine="28"/>
      </w:pPr>
      <w:r>
        <w:t>Gestor: Ministerstvo dopravy a výstavby SR</w:t>
      </w:r>
    </w:p>
    <w:p w14:paraId="091D5593" w14:textId="77777777" w:rsidR="008A3647" w:rsidRDefault="008A3647" w:rsidP="008A3647">
      <w:pPr>
        <w:ind w:left="851" w:firstLine="28"/>
        <w:jc w:val="both"/>
      </w:pPr>
    </w:p>
    <w:p w14:paraId="45689E93" w14:textId="77777777" w:rsidR="008A3647" w:rsidRPr="00575FE7" w:rsidRDefault="008A3647" w:rsidP="008A3647">
      <w:pPr>
        <w:ind w:left="851" w:firstLine="28"/>
        <w:jc w:val="both"/>
      </w:pPr>
      <w:r w:rsidRPr="00575FE7">
        <w:t>Smernica Európskeho parlamentu a Rady 2006/22/ES z 15. marca 2006 o minimálnych podmienkach vykonávania nariadení (ES) č. 561/2006 a (EÚ) č. 165/2014 a smernice 2002/15/ES, pokiaľ ide o právne predpisy v sociálnej oblasti, ktoré sa týkajú činností cestnej dopravy, a ktorou sa zrušuje smernica Rady 88/599/EHS (Ú. v.  EÚ L 102,11.4.2006)</w:t>
      </w:r>
      <w:r>
        <w:t xml:space="preserve"> </w:t>
      </w:r>
      <w:r w:rsidRPr="00575FE7">
        <w:t>v platnom znení</w:t>
      </w:r>
      <w:r>
        <w:t>,</w:t>
      </w:r>
    </w:p>
    <w:p w14:paraId="599853C1" w14:textId="77777777" w:rsidR="008A3647" w:rsidRDefault="008A3647" w:rsidP="008A3647">
      <w:pPr>
        <w:ind w:left="851" w:firstLine="28"/>
      </w:pPr>
      <w:r>
        <w:t>Gestor: Ministerstvo dopravy a výstavby SR</w:t>
      </w:r>
    </w:p>
    <w:p w14:paraId="682E564B" w14:textId="77777777" w:rsidR="008A3647" w:rsidRPr="00285B30" w:rsidRDefault="008A3647" w:rsidP="008A3647">
      <w:pPr>
        <w:ind w:left="851" w:firstLine="28"/>
      </w:pPr>
      <w:r w:rsidRPr="00285B30">
        <w:lastRenderedPageBreak/>
        <w:t>Nariadenie Komisie (EÚ) 2018/395 z 13. marca 2018, ktorým sa stanovujú podrobné pravidlá prevádzky balónov, ako aj udeľovania preukazov spôsobilosti letovej posádke balónov podľa nariadenia Európskeho parlamentu a Rady (EÚ) 2018/1139 (Ú. v. EÚ L 71, 14.3.2019) v platnom znení.</w:t>
      </w:r>
    </w:p>
    <w:p w14:paraId="54B161AC" w14:textId="77777777" w:rsidR="008A3647" w:rsidRDefault="008A3647" w:rsidP="008A3647">
      <w:pPr>
        <w:ind w:left="851" w:firstLine="28"/>
      </w:pPr>
      <w:r>
        <w:t>Gestor: Ministerstvo dopravy a výstavby SR</w:t>
      </w:r>
    </w:p>
    <w:p w14:paraId="33FCE8F0" w14:textId="77777777" w:rsidR="008A3647" w:rsidRDefault="008A3647" w:rsidP="008A3647">
      <w:pPr>
        <w:ind w:left="851" w:firstLine="28"/>
      </w:pPr>
    </w:p>
    <w:p w14:paraId="088116C8" w14:textId="77777777" w:rsidR="008A3647" w:rsidRDefault="008A3647" w:rsidP="008A3647">
      <w:pPr>
        <w:ind w:left="851" w:firstLine="28"/>
      </w:pPr>
      <w:r w:rsidRPr="00037EAE">
        <w:t>Nariadenie Komisie (EÚ) č. 965/2012 z 5. októbra 2012, ktorým sa ustanovujú technické požiadavky a administratívne postupy týkajúce sa leteckej prevádzky podľa nariadenia Európskeho parlamentu a Rady (ES) č. 216/2008 (Ú. v. EÚ L 296, 25. 10. 2012) v platnom znení.</w:t>
      </w:r>
    </w:p>
    <w:p w14:paraId="5B53B718" w14:textId="77777777" w:rsidR="008A3647" w:rsidRDefault="008A3647" w:rsidP="008A3647">
      <w:pPr>
        <w:ind w:left="851" w:firstLine="28"/>
      </w:pPr>
      <w:r>
        <w:t>Gestor: Ministerstvo dopravy a výstavby SR</w:t>
      </w:r>
    </w:p>
    <w:p w14:paraId="35A3F5A7" w14:textId="77777777" w:rsidR="008A3647" w:rsidRDefault="008A3647" w:rsidP="008A3647">
      <w:pPr>
        <w:ind w:left="879" w:hanging="171"/>
        <w:jc w:val="both"/>
      </w:pPr>
    </w:p>
    <w:p w14:paraId="6E13CAA7" w14:textId="77777777" w:rsidR="008A3647" w:rsidRDefault="008A3647" w:rsidP="008A3647">
      <w:pPr>
        <w:tabs>
          <w:tab w:val="left" w:pos="851"/>
          <w:tab w:val="left" w:pos="1560"/>
        </w:tabs>
        <w:spacing w:after="120"/>
        <w:ind w:left="851"/>
        <w:jc w:val="both"/>
      </w:pPr>
      <w:r>
        <w:t xml:space="preserve">- </w:t>
      </w:r>
      <w:r w:rsidRPr="001E4C43">
        <w:t>Nariadenie Európskeho parlamentu a Rady (EÚ) č. 1024/2012 z  25. októbra 2012 o administratívnej spolupráci prostredníctvom informačného systému o vnútornom trhu a o zrušení rozhodnutia Komisie 2008/49/ES ( „nariadenie o IMI“ )</w:t>
      </w:r>
      <w:r>
        <w:t xml:space="preserve"> (Ú. v. EÚ L 316, 14.11.2012) v platnom znení,</w:t>
      </w:r>
    </w:p>
    <w:p w14:paraId="08525159" w14:textId="77777777" w:rsidR="008A3647" w:rsidRPr="001E4C43" w:rsidRDefault="008A3647" w:rsidP="008A3647">
      <w:pPr>
        <w:tabs>
          <w:tab w:val="left" w:pos="851"/>
          <w:tab w:val="left" w:pos="1560"/>
        </w:tabs>
        <w:spacing w:after="120"/>
        <w:ind w:left="851"/>
        <w:jc w:val="both"/>
        <w:rPr>
          <w:b/>
        </w:rPr>
      </w:pPr>
      <w:r w:rsidRPr="001E4C43">
        <w:t>Gestor: Ministerstvo hospodárstva Slovenskej republiky, Ministerstvo školstva, vedy, výskumu a športu Slovenskej republiky, Ministerstvo zdravotníctva Slovenskej republiky, Ministerstvo vnútra Slovenskej republiky, Úrad vlády Slovenskej republiky</w:t>
      </w:r>
      <w:r>
        <w:t>, Ministerstvo dopravy a výstavby SR</w:t>
      </w:r>
      <w:r w:rsidRPr="001E4C43">
        <w:t>.</w:t>
      </w:r>
    </w:p>
    <w:p w14:paraId="59076D5E" w14:textId="6474EDFA" w:rsidR="008A3647" w:rsidRDefault="008A3647" w:rsidP="008A3647">
      <w:pPr>
        <w:ind w:left="879" w:hanging="171"/>
        <w:jc w:val="both"/>
      </w:pPr>
    </w:p>
    <w:p w14:paraId="0CFB852B" w14:textId="77777777" w:rsidR="008A3647" w:rsidRDefault="008A3647" w:rsidP="008A3647">
      <w:pPr>
        <w:ind w:left="879" w:hanging="28"/>
        <w:jc w:val="both"/>
      </w:pPr>
      <w:r w:rsidRPr="00037EAE">
        <w:t>Nariadenie Komisie (EÚ) 2016/403 z 18. marca 2016, ktorým sa dopĺňa nariadenie Európskeho parlamentu a Rady (ES) č. 1071/2009 v súvislosti s klasifikáciou závažných porušení predpisov Únie, ktoré môžu viesť k strate bezúhonnosti prevádzkovateľa cestnej dopravy, a ktorým sa mení príloha III k smernici Európskeho parlamentu a Rady 2006/22/ES (Ú. v. EÚ L74, 19.3.2016)</w:t>
      </w:r>
    </w:p>
    <w:p w14:paraId="28308A2E" w14:textId="77777777" w:rsidR="008A3647" w:rsidRDefault="008A3647" w:rsidP="008A3647">
      <w:pPr>
        <w:ind w:left="851" w:firstLine="28"/>
      </w:pPr>
      <w:r>
        <w:t>Gestor: Ministerstvo dopravy a výstavby SR</w:t>
      </w:r>
    </w:p>
    <w:p w14:paraId="6931CC18" w14:textId="77777777" w:rsidR="008A3647" w:rsidRDefault="008A3647" w:rsidP="008A3647">
      <w:pPr>
        <w:ind w:left="879" w:hanging="28"/>
        <w:jc w:val="both"/>
      </w:pPr>
    </w:p>
    <w:p w14:paraId="366F9634" w14:textId="77777777" w:rsidR="008A3647" w:rsidRDefault="008A3647" w:rsidP="008A3647">
      <w:pPr>
        <w:ind w:left="879" w:hanging="28"/>
        <w:jc w:val="both"/>
      </w:pPr>
      <w:r w:rsidRPr="00037EAE">
        <w:t>Nariadeni</w:t>
      </w:r>
      <w:r>
        <w:t>e</w:t>
      </w:r>
      <w:r w:rsidRPr="00037EAE">
        <w:t xml:space="preserve"> Európskeho parlamentu a Rady (ES) č. 1071/2009 z 21. októbra 2009, ktorým sa ustanovujú spoločné pravidlá týkajúce sa podmienok, ktoré je potrebné dodržiavať pri výkone povolania prevádzkovateľa cestnej dopravy, a ktorým sa zrušuje smernica Rady 96/26/ES (Ú. v. EÚ L 300, 14. 11. 2009)</w:t>
      </w:r>
      <w:r>
        <w:t xml:space="preserve"> </w:t>
      </w:r>
      <w:r w:rsidRPr="00037EAE">
        <w:t>v platnom znení.</w:t>
      </w:r>
    </w:p>
    <w:p w14:paraId="71E2086D" w14:textId="77777777" w:rsidR="008A3647" w:rsidRDefault="008A3647" w:rsidP="008A3647">
      <w:pPr>
        <w:ind w:left="851" w:firstLine="28"/>
      </w:pPr>
      <w:r>
        <w:t>Gestor: Ministerstvo dopravy a výstavby SR</w:t>
      </w:r>
    </w:p>
    <w:p w14:paraId="076A3F01" w14:textId="77777777" w:rsidR="008A3647" w:rsidRDefault="008A3647" w:rsidP="008A3647">
      <w:pPr>
        <w:ind w:left="879" w:hanging="28"/>
        <w:jc w:val="both"/>
      </w:pPr>
    </w:p>
    <w:p w14:paraId="11FFB127" w14:textId="77777777" w:rsidR="008A3647" w:rsidRDefault="008A3647" w:rsidP="008A3647">
      <w:pPr>
        <w:ind w:left="879" w:hanging="28"/>
        <w:jc w:val="both"/>
        <w:rPr>
          <w:rFonts w:eastAsiaTheme="minorEastAsia"/>
        </w:rPr>
      </w:pPr>
      <w:r w:rsidRPr="00037EAE">
        <w:rPr>
          <w:rFonts w:eastAsiaTheme="minorEastAsia"/>
        </w:rPr>
        <w:t>Nariadenie Európskeho parlamentu a Rady (E</w:t>
      </w:r>
      <w:r w:rsidRPr="00037EAE">
        <w:rPr>
          <w:rFonts w:eastAsiaTheme="minorEastAsia" w:hint="eastAsia"/>
        </w:rPr>
        <w:t>Ú</w:t>
      </w:r>
      <w:r w:rsidRPr="00037EAE">
        <w:rPr>
          <w:rFonts w:eastAsiaTheme="minorEastAsia"/>
        </w:rPr>
        <w:t>) 2019/1149 z 20. j</w:t>
      </w:r>
      <w:r w:rsidRPr="00037EAE">
        <w:rPr>
          <w:rFonts w:eastAsiaTheme="minorEastAsia" w:hint="eastAsia"/>
        </w:rPr>
        <w:t>ú</w:t>
      </w:r>
      <w:r w:rsidRPr="00037EAE">
        <w:rPr>
          <w:rFonts w:eastAsiaTheme="minorEastAsia"/>
        </w:rPr>
        <w:t>na 2019, ktor</w:t>
      </w:r>
      <w:r w:rsidRPr="00037EAE">
        <w:rPr>
          <w:rFonts w:eastAsiaTheme="minorEastAsia" w:hint="eastAsia"/>
        </w:rPr>
        <w:t>ý</w:t>
      </w:r>
      <w:r w:rsidRPr="00037EAE">
        <w:rPr>
          <w:rFonts w:eastAsiaTheme="minorEastAsia"/>
        </w:rPr>
        <w:t>m sa zria</w:t>
      </w:r>
      <w:r w:rsidRPr="00037EAE">
        <w:rPr>
          <w:rFonts w:eastAsiaTheme="minorEastAsia" w:hint="eastAsia"/>
        </w:rPr>
        <w:t>ď</w:t>
      </w:r>
      <w:r w:rsidRPr="00037EAE">
        <w:rPr>
          <w:rFonts w:eastAsiaTheme="minorEastAsia"/>
        </w:rPr>
        <w:t>uje Eur</w:t>
      </w:r>
      <w:r w:rsidRPr="00037EAE">
        <w:rPr>
          <w:rFonts w:eastAsiaTheme="minorEastAsia" w:hint="eastAsia"/>
        </w:rPr>
        <w:t>ó</w:t>
      </w:r>
      <w:r w:rsidRPr="00037EAE">
        <w:rPr>
          <w:rFonts w:eastAsiaTheme="minorEastAsia"/>
        </w:rPr>
        <w:t>psky org</w:t>
      </w:r>
      <w:r w:rsidRPr="00037EAE">
        <w:rPr>
          <w:rFonts w:eastAsiaTheme="minorEastAsia" w:hint="eastAsia"/>
        </w:rPr>
        <w:t>á</w:t>
      </w:r>
      <w:r w:rsidRPr="00037EAE">
        <w:rPr>
          <w:rFonts w:eastAsiaTheme="minorEastAsia"/>
        </w:rPr>
        <w:t>n pr</w:t>
      </w:r>
      <w:r w:rsidRPr="00037EAE">
        <w:rPr>
          <w:rFonts w:eastAsiaTheme="minorEastAsia" w:hint="eastAsia"/>
        </w:rPr>
        <w:t>á</w:t>
      </w:r>
      <w:r w:rsidRPr="00037EAE">
        <w:rPr>
          <w:rFonts w:eastAsiaTheme="minorEastAsia"/>
        </w:rPr>
        <w:t>ce a ktor</w:t>
      </w:r>
      <w:r w:rsidRPr="00037EAE">
        <w:rPr>
          <w:rFonts w:eastAsiaTheme="minorEastAsia" w:hint="eastAsia"/>
        </w:rPr>
        <w:t>ý</w:t>
      </w:r>
      <w:r w:rsidRPr="00037EAE">
        <w:rPr>
          <w:rFonts w:eastAsiaTheme="minorEastAsia"/>
        </w:rPr>
        <w:t xml:space="preserve">m sa menia nariadenia (ES) </w:t>
      </w:r>
      <w:r w:rsidRPr="00037EAE">
        <w:rPr>
          <w:rFonts w:eastAsiaTheme="minorEastAsia" w:hint="eastAsia"/>
        </w:rPr>
        <w:t>č</w:t>
      </w:r>
      <w:r w:rsidRPr="00037EAE">
        <w:rPr>
          <w:rFonts w:eastAsiaTheme="minorEastAsia"/>
        </w:rPr>
        <w:t>.</w:t>
      </w:r>
      <w:r w:rsidRPr="00037EAE">
        <w:rPr>
          <w:rFonts w:eastAsiaTheme="minorEastAsia" w:hint="eastAsia"/>
        </w:rPr>
        <w:t> </w:t>
      </w:r>
      <w:r w:rsidRPr="00037EAE">
        <w:rPr>
          <w:rFonts w:eastAsiaTheme="minorEastAsia"/>
        </w:rPr>
        <w:t>883/2004, (E</w:t>
      </w:r>
      <w:r w:rsidRPr="00037EAE">
        <w:rPr>
          <w:rFonts w:eastAsiaTheme="minorEastAsia" w:hint="eastAsia"/>
        </w:rPr>
        <w:t>Ú</w:t>
      </w:r>
      <w:r w:rsidRPr="00037EAE">
        <w:rPr>
          <w:rFonts w:eastAsiaTheme="minorEastAsia"/>
        </w:rPr>
        <w:t xml:space="preserve">) </w:t>
      </w:r>
      <w:r w:rsidRPr="00037EAE">
        <w:rPr>
          <w:rFonts w:eastAsiaTheme="minorEastAsia" w:hint="eastAsia"/>
        </w:rPr>
        <w:t>č</w:t>
      </w:r>
      <w:r w:rsidRPr="00037EAE">
        <w:rPr>
          <w:rFonts w:eastAsiaTheme="minorEastAsia"/>
        </w:rPr>
        <w:t>.</w:t>
      </w:r>
      <w:r w:rsidRPr="00037EAE">
        <w:rPr>
          <w:rFonts w:eastAsiaTheme="minorEastAsia" w:hint="eastAsia"/>
        </w:rPr>
        <w:t> </w:t>
      </w:r>
      <w:r w:rsidRPr="00037EAE">
        <w:rPr>
          <w:rFonts w:eastAsiaTheme="minorEastAsia"/>
        </w:rPr>
        <w:t>492/2011 a (E</w:t>
      </w:r>
      <w:r w:rsidRPr="00037EAE">
        <w:rPr>
          <w:rFonts w:eastAsiaTheme="minorEastAsia" w:hint="eastAsia"/>
        </w:rPr>
        <w:t>Ú</w:t>
      </w:r>
      <w:r w:rsidRPr="00037EAE">
        <w:rPr>
          <w:rFonts w:eastAsiaTheme="minorEastAsia"/>
        </w:rPr>
        <w:t>) 2016/589 a ktor</w:t>
      </w:r>
      <w:r w:rsidRPr="00037EAE">
        <w:rPr>
          <w:rFonts w:eastAsiaTheme="minorEastAsia" w:hint="eastAsia"/>
        </w:rPr>
        <w:t>ý</w:t>
      </w:r>
      <w:r w:rsidRPr="00037EAE">
        <w:rPr>
          <w:rFonts w:eastAsiaTheme="minorEastAsia"/>
        </w:rPr>
        <w:t>m sa zru</w:t>
      </w:r>
      <w:r w:rsidRPr="00037EAE">
        <w:rPr>
          <w:rFonts w:eastAsiaTheme="minorEastAsia" w:hint="eastAsia"/>
        </w:rPr>
        <w:t>š</w:t>
      </w:r>
      <w:r w:rsidRPr="00037EAE">
        <w:rPr>
          <w:rFonts w:eastAsiaTheme="minorEastAsia"/>
        </w:rPr>
        <w:t>uje rozhodnutie (E</w:t>
      </w:r>
      <w:r w:rsidRPr="00037EAE">
        <w:rPr>
          <w:rFonts w:eastAsiaTheme="minorEastAsia" w:hint="eastAsia"/>
        </w:rPr>
        <w:t>Ú</w:t>
      </w:r>
      <w:r w:rsidRPr="00037EAE">
        <w:rPr>
          <w:rFonts w:eastAsiaTheme="minorEastAsia"/>
        </w:rPr>
        <w:t>) 2016/344 (Ú. v. EÚ L 186,11.7.2019)</w:t>
      </w:r>
    </w:p>
    <w:p w14:paraId="193BE9F4" w14:textId="77777777" w:rsidR="008A3647" w:rsidRDefault="008A3647" w:rsidP="008A3647">
      <w:pPr>
        <w:ind w:left="879" w:hanging="28"/>
        <w:jc w:val="both"/>
        <w:rPr>
          <w:rFonts w:eastAsiaTheme="minorEastAsia"/>
        </w:rPr>
      </w:pPr>
      <w:r>
        <w:rPr>
          <w:rFonts w:eastAsiaTheme="minorEastAsia"/>
        </w:rPr>
        <w:t>Gestor: Ministerstvo práce, sociálnych vecí a rodiny Slovenskej republiky</w:t>
      </w:r>
    </w:p>
    <w:p w14:paraId="2A8B05BE" w14:textId="77777777" w:rsidR="008A3647" w:rsidRDefault="008A3647" w:rsidP="008A3647">
      <w:pPr>
        <w:ind w:left="879" w:hanging="28"/>
        <w:jc w:val="both"/>
        <w:rPr>
          <w:rFonts w:eastAsiaTheme="minorEastAsia"/>
        </w:rPr>
      </w:pPr>
    </w:p>
    <w:p w14:paraId="3268042B" w14:textId="77777777" w:rsidR="008A3647" w:rsidRDefault="008A3647" w:rsidP="008A3647">
      <w:pPr>
        <w:ind w:left="879" w:hanging="28"/>
        <w:jc w:val="both"/>
        <w:rPr>
          <w:rFonts w:eastAsiaTheme="minorEastAsia"/>
        </w:rPr>
      </w:pPr>
      <w:r w:rsidRPr="00037EAE">
        <w:t>Vykonávacie nariadenie Komisie (EÚ) 2017/548 z 23. marca 2017, ktorým sa stanovuje štandardné tlačivo pre písomné vyhlásenie o odstránení alebo porušení plomby tachografu (Ú. v.  EÚ L 79, 24.3.2017).</w:t>
      </w:r>
    </w:p>
    <w:p w14:paraId="5B74BDA9" w14:textId="77777777" w:rsidR="008A3647" w:rsidRDefault="008A3647" w:rsidP="008A3647">
      <w:pPr>
        <w:ind w:left="851" w:firstLine="28"/>
      </w:pPr>
      <w:r>
        <w:t>Gestor: Ministerstvo dopravy a výstavby SR</w:t>
      </w:r>
    </w:p>
    <w:p w14:paraId="289CE6A5" w14:textId="77777777" w:rsidR="008A3647" w:rsidRDefault="008A3647" w:rsidP="008A3647">
      <w:pPr>
        <w:ind w:left="879" w:hanging="28"/>
        <w:jc w:val="both"/>
      </w:pPr>
    </w:p>
    <w:p w14:paraId="26491126" w14:textId="77777777" w:rsidR="008A3647" w:rsidRDefault="008A3647" w:rsidP="008A3647">
      <w:pPr>
        <w:ind w:left="879" w:hanging="28"/>
        <w:jc w:val="both"/>
      </w:pPr>
      <w:r>
        <w:t>V</w:t>
      </w:r>
      <w:r w:rsidRPr="00037EAE">
        <w:t>ykonávacie nariadenie Komisie (EÚ) 2016/799 z 18. marca 2016, ktorým sa vykonáva nariadenie Európskeho parlamentu a Rady (EÚ) č. 165/2014, ktorým sa ustanovujú požiadavky na konštrukciu, skúšanie, montáž, prevádzku a opravu tachografov a ich komponentov (Ú. v.  EÚ L 139, 26.5.2016)</w:t>
      </w:r>
      <w:r>
        <w:t xml:space="preserve"> </w:t>
      </w:r>
      <w:r w:rsidRPr="00037EAE">
        <w:t>v platnom znení</w:t>
      </w:r>
      <w:r>
        <w:t>,</w:t>
      </w:r>
    </w:p>
    <w:p w14:paraId="5C23A409" w14:textId="77777777" w:rsidR="008A3647" w:rsidRDefault="008A3647" w:rsidP="008A3647">
      <w:pPr>
        <w:ind w:left="851" w:firstLine="28"/>
      </w:pPr>
      <w:r>
        <w:lastRenderedPageBreak/>
        <w:t>Gestor: Ministerstvo dopravy a výstavby SR</w:t>
      </w:r>
    </w:p>
    <w:p w14:paraId="5E58E72D" w14:textId="77777777" w:rsidR="008A3647" w:rsidRDefault="008A3647" w:rsidP="008A3647">
      <w:pPr>
        <w:ind w:left="879" w:hanging="28"/>
        <w:jc w:val="both"/>
      </w:pPr>
    </w:p>
    <w:p w14:paraId="13A9977F" w14:textId="77777777" w:rsidR="008A3647" w:rsidRPr="00877863" w:rsidRDefault="008A3647" w:rsidP="008A3647">
      <w:pPr>
        <w:ind w:left="879" w:hanging="28"/>
        <w:jc w:val="both"/>
      </w:pPr>
      <w:r>
        <w:rPr>
          <w:rFonts w:asciiTheme="minorBidi" w:hAnsiTheme="minorBidi" w:cs="Arial"/>
        </w:rPr>
        <w:t>N</w:t>
      </w:r>
      <w:r w:rsidRPr="00037EAE">
        <w:rPr>
          <w:rFonts w:asciiTheme="minorBidi" w:hAnsiTheme="minorBidi" w:cs="Arial"/>
        </w:rPr>
        <w:t>ariadeni</w:t>
      </w:r>
      <w:r>
        <w:rPr>
          <w:rFonts w:asciiTheme="minorBidi" w:hAnsiTheme="minorBidi" w:cs="Arial"/>
        </w:rPr>
        <w:t>e</w:t>
      </w:r>
      <w:r w:rsidRPr="00037EAE">
        <w:rPr>
          <w:rFonts w:asciiTheme="minorBidi" w:hAnsiTheme="minorBidi" w:cs="Arial"/>
        </w:rPr>
        <w:t xml:space="preserve"> Európskeho parlamentu a Rady (ES) č. 1072/2009 z 21. októbra 2009 o spoločných pravidlách prístupu nákladnej cestnej dopravy na medzinárodný trh</w:t>
      </w:r>
      <w:r>
        <w:rPr>
          <w:rFonts w:asciiTheme="minorBidi" w:hAnsiTheme="minorBidi" w:cs="Arial"/>
        </w:rPr>
        <w:t xml:space="preserve"> (prepracované znenie)</w:t>
      </w:r>
      <w:r w:rsidRPr="00037EAE">
        <w:rPr>
          <w:rFonts w:asciiTheme="minorBidi" w:hAnsiTheme="minorBidi" w:cs="Arial"/>
        </w:rPr>
        <w:t xml:space="preserve"> (</w:t>
      </w:r>
      <w:r w:rsidRPr="00037EAE">
        <w:rPr>
          <w:rFonts w:asciiTheme="minorBidi" w:hAnsiTheme="minorBidi" w:cs="Arial"/>
          <w:iCs/>
        </w:rPr>
        <w:t>Ú. v. EÚ L 300, 14.11.2009) v platnom znení</w:t>
      </w:r>
      <w:r>
        <w:rPr>
          <w:rFonts w:asciiTheme="minorBidi" w:hAnsiTheme="minorBidi" w:cs="Arial"/>
          <w:iCs/>
        </w:rPr>
        <w:t>.</w:t>
      </w:r>
    </w:p>
    <w:p w14:paraId="6C25970F" w14:textId="77777777" w:rsidR="008A3647" w:rsidRDefault="008A3647" w:rsidP="008A3647">
      <w:pPr>
        <w:ind w:left="851" w:firstLine="28"/>
      </w:pPr>
      <w:r>
        <w:t>Gestor: Ministerstvo dopravy a výstavby SR</w:t>
      </w:r>
    </w:p>
    <w:p w14:paraId="792115EE" w14:textId="77777777" w:rsidR="008A3647" w:rsidRDefault="008A3647" w:rsidP="008A3647">
      <w:pPr>
        <w:ind w:left="879" w:hanging="28"/>
        <w:jc w:val="both"/>
      </w:pPr>
    </w:p>
    <w:p w14:paraId="0553327E" w14:textId="77777777" w:rsidR="008A3647" w:rsidRDefault="008A3647" w:rsidP="008A3647">
      <w:pPr>
        <w:ind w:left="879" w:hanging="28"/>
        <w:jc w:val="both"/>
        <w:rPr>
          <w:rFonts w:asciiTheme="minorBidi" w:hAnsiTheme="minorBidi" w:cs="Arial"/>
          <w:iCs/>
        </w:rPr>
      </w:pPr>
      <w:r>
        <w:rPr>
          <w:rFonts w:asciiTheme="minorBidi" w:hAnsiTheme="minorBidi" w:cs="Arial"/>
        </w:rPr>
        <w:t>N</w:t>
      </w:r>
      <w:r w:rsidRPr="00037EAE">
        <w:rPr>
          <w:rFonts w:asciiTheme="minorBidi" w:hAnsiTheme="minorBidi" w:cs="Arial"/>
        </w:rPr>
        <w:t>ariadeni</w:t>
      </w:r>
      <w:r>
        <w:rPr>
          <w:rFonts w:asciiTheme="minorBidi" w:hAnsiTheme="minorBidi" w:cs="Arial"/>
        </w:rPr>
        <w:t>e</w:t>
      </w:r>
      <w:r w:rsidRPr="00037EAE">
        <w:rPr>
          <w:rFonts w:asciiTheme="minorBidi" w:hAnsiTheme="minorBidi" w:cs="Arial"/>
        </w:rPr>
        <w:t xml:space="preserve"> Európskeho parlamentu a Rady (ES) č. 1073/2009 z 21. októbra 2009 o spoločných pravidlách prístupu na medzinárodný trh autokarovej a autobusovej dopravy a o zmene a doplnení nariadenia (ES) č. 561/2006</w:t>
      </w:r>
      <w:r>
        <w:rPr>
          <w:rFonts w:asciiTheme="minorBidi" w:hAnsiTheme="minorBidi" w:cs="Arial"/>
        </w:rPr>
        <w:t xml:space="preserve"> (prepracované znenie)</w:t>
      </w:r>
      <w:r w:rsidRPr="00037EAE">
        <w:rPr>
          <w:rFonts w:asciiTheme="minorBidi" w:hAnsiTheme="minorBidi" w:cs="Arial"/>
        </w:rPr>
        <w:t xml:space="preserve"> (Ú. v. EÚ</w:t>
      </w:r>
      <w:r w:rsidRPr="00037EAE">
        <w:rPr>
          <w:rFonts w:asciiTheme="minorBidi" w:hAnsiTheme="minorBidi" w:cs="Arial"/>
          <w:iCs/>
        </w:rPr>
        <w:t xml:space="preserve"> L 300, 14.</w:t>
      </w:r>
      <w:r>
        <w:rPr>
          <w:rFonts w:asciiTheme="minorBidi" w:hAnsiTheme="minorBidi" w:cs="Arial"/>
          <w:iCs/>
        </w:rPr>
        <w:t xml:space="preserve"> </w:t>
      </w:r>
      <w:r w:rsidRPr="00037EAE">
        <w:rPr>
          <w:rFonts w:asciiTheme="minorBidi" w:hAnsiTheme="minorBidi" w:cs="Arial"/>
          <w:iCs/>
        </w:rPr>
        <w:t>11.</w:t>
      </w:r>
      <w:r>
        <w:rPr>
          <w:rFonts w:asciiTheme="minorBidi" w:hAnsiTheme="minorBidi" w:cs="Arial"/>
          <w:iCs/>
        </w:rPr>
        <w:t xml:space="preserve"> </w:t>
      </w:r>
      <w:r w:rsidRPr="00037EAE">
        <w:rPr>
          <w:rFonts w:asciiTheme="minorBidi" w:hAnsiTheme="minorBidi" w:cs="Arial"/>
          <w:iCs/>
        </w:rPr>
        <w:t>2009) v platnom znení.</w:t>
      </w:r>
    </w:p>
    <w:p w14:paraId="63C4B5F5" w14:textId="77777777" w:rsidR="008A3647" w:rsidRDefault="008A3647" w:rsidP="008A3647">
      <w:pPr>
        <w:ind w:left="851" w:firstLine="28"/>
      </w:pPr>
      <w:r>
        <w:t>Gestor: Ministerstvo dopravy a výstavby SR</w:t>
      </w:r>
    </w:p>
    <w:p w14:paraId="0C855BF6" w14:textId="77777777" w:rsidR="008A3647" w:rsidRDefault="008A3647" w:rsidP="008A3647">
      <w:pPr>
        <w:ind w:left="851" w:firstLine="28"/>
      </w:pPr>
    </w:p>
    <w:p w14:paraId="7325ABAE" w14:textId="77777777" w:rsidR="008A3647" w:rsidRPr="00F64B8A" w:rsidRDefault="008A3647" w:rsidP="008A3647">
      <w:pPr>
        <w:ind w:left="851" w:firstLine="28"/>
        <w:jc w:val="both"/>
        <w:rPr>
          <w:rFonts w:asciiTheme="minorBidi" w:hAnsiTheme="minorBidi" w:cs="Arial"/>
        </w:rPr>
      </w:pPr>
      <w:r w:rsidRPr="00F64B8A">
        <w:rPr>
          <w:rFonts w:asciiTheme="minorBidi" w:hAnsiTheme="minorBidi" w:cs="Arial"/>
        </w:rPr>
        <w:t>Smernica Európskeho parlamentu a Rady 2002/15/ES z 11. marca 2002 o organizácii pracovného času osôb vykonávajúcich mobilné činnosti v cestnej doprave (Ú.</w:t>
      </w:r>
      <w:r>
        <w:rPr>
          <w:rFonts w:asciiTheme="minorBidi" w:hAnsiTheme="minorBidi" w:cs="Arial"/>
        </w:rPr>
        <w:t xml:space="preserve"> </w:t>
      </w:r>
      <w:r w:rsidRPr="00F64B8A">
        <w:rPr>
          <w:rFonts w:asciiTheme="minorBidi" w:hAnsiTheme="minorBidi" w:cs="Arial"/>
        </w:rPr>
        <w:t>v.</w:t>
      </w:r>
      <w:r>
        <w:rPr>
          <w:rFonts w:asciiTheme="minorBidi" w:hAnsiTheme="minorBidi" w:cs="Arial"/>
        </w:rPr>
        <w:t xml:space="preserve"> </w:t>
      </w:r>
      <w:r w:rsidRPr="00F64B8A">
        <w:rPr>
          <w:rFonts w:asciiTheme="minorBidi" w:hAnsiTheme="minorBidi" w:cs="Arial"/>
        </w:rPr>
        <w:t xml:space="preserve"> E</w:t>
      </w:r>
      <w:r>
        <w:rPr>
          <w:rFonts w:asciiTheme="minorBidi" w:hAnsiTheme="minorBidi" w:cs="Arial"/>
        </w:rPr>
        <w:t>Ú</w:t>
      </w:r>
      <w:r w:rsidRPr="00F64B8A">
        <w:rPr>
          <w:rFonts w:asciiTheme="minorBidi" w:hAnsiTheme="minorBidi" w:cs="Arial"/>
        </w:rPr>
        <w:t xml:space="preserve"> L</w:t>
      </w:r>
      <w:r>
        <w:rPr>
          <w:rFonts w:asciiTheme="minorBidi" w:hAnsiTheme="minorBidi" w:cs="Arial"/>
        </w:rPr>
        <w:t> </w:t>
      </w:r>
      <w:r w:rsidRPr="00F64B8A">
        <w:rPr>
          <w:rFonts w:asciiTheme="minorBidi" w:hAnsiTheme="minorBidi" w:cs="Arial"/>
        </w:rPr>
        <w:t>80, 23.2.2002).</w:t>
      </w:r>
    </w:p>
    <w:p w14:paraId="07381EB6" w14:textId="77777777" w:rsidR="008A3647" w:rsidRDefault="008A3647" w:rsidP="008A3647">
      <w:pPr>
        <w:ind w:left="851" w:firstLine="28"/>
      </w:pPr>
      <w:r>
        <w:t>Gestor: Ministerstvo dopravy a výstavby SR</w:t>
      </w:r>
    </w:p>
    <w:p w14:paraId="0EFEE032" w14:textId="77777777" w:rsidR="008A3647" w:rsidRPr="00575FE7" w:rsidRDefault="008A3647" w:rsidP="008A3647">
      <w:pPr>
        <w:ind w:left="709" w:hanging="349"/>
      </w:pPr>
      <w:r>
        <w:t>c</w:t>
      </w:r>
      <w:r w:rsidRPr="00575FE7">
        <w:t>)</w:t>
      </w:r>
      <w:r w:rsidRPr="00575FE7">
        <w:tab/>
        <w:t>nie je obsiahnutá v judikatúre Súdneho dvora Európskej únie.</w:t>
      </w:r>
    </w:p>
    <w:p w14:paraId="62EB9ADB" w14:textId="77777777" w:rsidR="008A3647" w:rsidRPr="00575FE7" w:rsidRDefault="008A3647" w:rsidP="008A3647"/>
    <w:p w14:paraId="03A0A259" w14:textId="77777777" w:rsidR="008A3647" w:rsidRPr="00575FE7" w:rsidRDefault="008A3647" w:rsidP="008A3647">
      <w:pPr>
        <w:ind w:left="360" w:hanging="360"/>
        <w:rPr>
          <w:b/>
        </w:rPr>
      </w:pPr>
      <w:r w:rsidRPr="00575FE7">
        <w:rPr>
          <w:b/>
        </w:rPr>
        <w:t>4.</w:t>
      </w:r>
      <w:r w:rsidRPr="00575FE7">
        <w:rPr>
          <w:b/>
        </w:rPr>
        <w:tab/>
        <w:t xml:space="preserve">Záväzky Slovenskej republiky vo vzťahu k Európskej únii: </w:t>
      </w:r>
    </w:p>
    <w:p w14:paraId="4480DB31" w14:textId="77777777" w:rsidR="008A3647" w:rsidRPr="00F742CF" w:rsidRDefault="008A3647" w:rsidP="008A3647">
      <w:pPr>
        <w:pStyle w:val="Odsekzoznamu"/>
        <w:widowControl w:val="0"/>
        <w:numPr>
          <w:ilvl w:val="0"/>
          <w:numId w:val="24"/>
        </w:numPr>
        <w:autoSpaceDE w:val="0"/>
        <w:autoSpaceDN w:val="0"/>
        <w:adjustRightInd w:val="0"/>
        <w:spacing w:after="120"/>
        <w:jc w:val="both"/>
      </w:pPr>
      <w:r w:rsidRPr="00F742CF">
        <w:t>lehota na prebratie príslušného právneho aktu Európskej únie:</w:t>
      </w:r>
    </w:p>
    <w:p w14:paraId="1E65BCBF" w14:textId="6DE7DC9D" w:rsidR="008A3647" w:rsidRDefault="008A3647" w:rsidP="008A3647">
      <w:pPr>
        <w:ind w:left="720"/>
        <w:jc w:val="both"/>
      </w:pPr>
      <w:r>
        <w:t>Lehota na prebratie s</w:t>
      </w:r>
      <w:r w:rsidRPr="00575FE7">
        <w:t>mernic</w:t>
      </w:r>
      <w:r>
        <w:t>e</w:t>
      </w:r>
      <w:r w:rsidRPr="00575FE7">
        <w:t xml:space="preserve"> Európskeho parlamentu a Rady (EÚ) 2020/1057 </w:t>
      </w:r>
      <w:r>
        <w:t xml:space="preserve">je </w:t>
      </w:r>
      <w:r w:rsidRPr="00575FE7">
        <w:t>2.</w:t>
      </w:r>
      <w:r>
        <w:t> </w:t>
      </w:r>
      <w:r w:rsidRPr="00575FE7">
        <w:t xml:space="preserve"> februára 2022 </w:t>
      </w:r>
    </w:p>
    <w:p w14:paraId="4006ABFA" w14:textId="77777777" w:rsidR="008A3647" w:rsidRDefault="008A3647" w:rsidP="008A3647">
      <w:pPr>
        <w:pStyle w:val="Odsekzoznamu"/>
        <w:numPr>
          <w:ilvl w:val="0"/>
          <w:numId w:val="24"/>
        </w:numPr>
        <w:jc w:val="both"/>
      </w:pPr>
      <w:r>
        <w:rPr>
          <w:rFonts w:ascii="Times" w:hAnsi="Times" w:cs="Times"/>
          <w:sz w:val="25"/>
          <w:szCs w:val="25"/>
        </w:rPr>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r>
        <w:t xml:space="preserve">: nie sú začaté konania </w:t>
      </w:r>
      <w:r>
        <w:rPr>
          <w:rFonts w:ascii="Times" w:hAnsi="Times" w:cs="Times"/>
          <w:sz w:val="25"/>
          <w:szCs w:val="25"/>
        </w:rPr>
        <w:t>v rámci „EÚ Pilot“ ani iné postupy a konania</w:t>
      </w:r>
    </w:p>
    <w:p w14:paraId="5B005F53" w14:textId="77777777" w:rsidR="008A3647" w:rsidRPr="009630EB" w:rsidRDefault="008A3647" w:rsidP="008A3647">
      <w:pPr>
        <w:pStyle w:val="Odsekzoznamu"/>
        <w:spacing w:after="120"/>
        <w:ind w:firstLine="131"/>
        <w:jc w:val="both"/>
      </w:pPr>
    </w:p>
    <w:p w14:paraId="3855D443" w14:textId="77777777" w:rsidR="008A3647" w:rsidRDefault="008A3647" w:rsidP="008A3647">
      <w:pPr>
        <w:ind w:left="851" w:hanging="284"/>
        <w:jc w:val="both"/>
      </w:pPr>
      <w:r>
        <w:t>c</w:t>
      </w:r>
      <w:r w:rsidRPr="009630EB">
        <w:t>)</w:t>
      </w:r>
      <w:r w:rsidRPr="009630EB">
        <w:tab/>
      </w:r>
      <w:r>
        <w:rPr>
          <w:rFonts w:ascii="Times" w:hAnsi="Times" w:cs="Times"/>
          <w:sz w:val="25"/>
          <w:szCs w:val="25"/>
        </w:rPr>
        <w:t>informácia o právnych predpisoch, v ktorých sú preberané smernice už prebraté spolu s uvedením rozsahu tohto prebratia</w:t>
      </w:r>
      <w:r w:rsidRPr="009630EB" w:rsidDel="00936A2B">
        <w:t xml:space="preserve"> </w:t>
      </w:r>
      <w:r>
        <w:t>: s</w:t>
      </w:r>
      <w:r w:rsidRPr="00575FE7">
        <w:t xml:space="preserve">mernica Európskeho parlamentu a Rady (EÚ) 2020/1057 </w:t>
      </w:r>
      <w:r>
        <w:t>je týmto návrhom zákona prebratá úplne.</w:t>
      </w:r>
    </w:p>
    <w:p w14:paraId="4FBCD166" w14:textId="77777777" w:rsidR="008A3647" w:rsidRPr="00575FE7" w:rsidRDefault="008A3647" w:rsidP="008A3647">
      <w:pPr>
        <w:ind w:left="720"/>
        <w:jc w:val="both"/>
      </w:pPr>
    </w:p>
    <w:p w14:paraId="19BA25B3" w14:textId="77777777" w:rsidR="008A3647" w:rsidRPr="00575FE7" w:rsidRDefault="008A3647" w:rsidP="008A3647">
      <w:pPr>
        <w:ind w:left="360" w:hanging="360"/>
        <w:jc w:val="both"/>
        <w:rPr>
          <w:b/>
        </w:rPr>
      </w:pPr>
      <w:r w:rsidRPr="00575FE7">
        <w:rPr>
          <w:b/>
        </w:rPr>
        <w:t>5.</w:t>
      </w:r>
      <w:r w:rsidRPr="00575FE7">
        <w:rPr>
          <w:b/>
        </w:rPr>
        <w:tab/>
        <w:t>Stupeň zlučiteľnosti návrhu právneho predpisu s právom Európskej únie:</w:t>
      </w:r>
    </w:p>
    <w:p w14:paraId="1545103B" w14:textId="77777777" w:rsidR="008A3647" w:rsidRPr="00575FE7" w:rsidRDefault="008A3647" w:rsidP="008A3647">
      <w:pPr>
        <w:ind w:firstLine="360"/>
        <w:jc w:val="both"/>
      </w:pPr>
      <w:r>
        <w:t>Stupeň zlučiteľnosti - úplný</w:t>
      </w:r>
    </w:p>
    <w:p w14:paraId="4E798F96" w14:textId="37BB4BA2" w:rsidR="00A167E8" w:rsidRDefault="00A167E8" w:rsidP="00514FEE">
      <w:pPr>
        <w:jc w:val="both"/>
        <w:rPr>
          <w:b/>
          <w:bCs/>
          <w:u w:val="single"/>
        </w:rPr>
      </w:pPr>
    </w:p>
    <w:p w14:paraId="27515833" w14:textId="0181263B" w:rsidR="008A3647" w:rsidRDefault="008A3647" w:rsidP="00514FEE">
      <w:pPr>
        <w:jc w:val="both"/>
        <w:rPr>
          <w:b/>
          <w:bCs/>
          <w:u w:val="single"/>
        </w:rPr>
      </w:pPr>
    </w:p>
    <w:p w14:paraId="52A46439" w14:textId="5EE392C3" w:rsidR="008A3647" w:rsidRDefault="008A3647" w:rsidP="00514FEE">
      <w:pPr>
        <w:jc w:val="both"/>
        <w:rPr>
          <w:b/>
          <w:bCs/>
          <w:u w:val="single"/>
        </w:rPr>
      </w:pPr>
    </w:p>
    <w:p w14:paraId="5B8239C0" w14:textId="4A16D1DC" w:rsidR="008A3647" w:rsidRDefault="008A3647" w:rsidP="00514FEE">
      <w:pPr>
        <w:jc w:val="both"/>
        <w:rPr>
          <w:b/>
          <w:bCs/>
          <w:u w:val="single"/>
        </w:rPr>
      </w:pPr>
    </w:p>
    <w:p w14:paraId="687DB2FF" w14:textId="23D85168" w:rsidR="008A3647" w:rsidRDefault="008A3647" w:rsidP="00514FEE">
      <w:pPr>
        <w:jc w:val="both"/>
        <w:rPr>
          <w:b/>
          <w:bCs/>
          <w:u w:val="single"/>
        </w:rPr>
      </w:pPr>
    </w:p>
    <w:p w14:paraId="3CB7D2BB" w14:textId="16B3AE51" w:rsidR="008A3647" w:rsidRDefault="008A3647" w:rsidP="00514FEE">
      <w:pPr>
        <w:jc w:val="both"/>
        <w:rPr>
          <w:b/>
          <w:bCs/>
          <w:u w:val="single"/>
        </w:rPr>
      </w:pPr>
    </w:p>
    <w:p w14:paraId="06331E37" w14:textId="57525B1B" w:rsidR="008A3647" w:rsidRDefault="008A3647" w:rsidP="00514FEE">
      <w:pPr>
        <w:jc w:val="both"/>
        <w:rPr>
          <w:b/>
          <w:bCs/>
          <w:u w:val="single"/>
        </w:rPr>
      </w:pPr>
    </w:p>
    <w:p w14:paraId="0D7DF0AE" w14:textId="29BFECC1" w:rsidR="008A3647" w:rsidRDefault="008A3647" w:rsidP="00514FEE">
      <w:pPr>
        <w:jc w:val="both"/>
        <w:rPr>
          <w:b/>
          <w:bCs/>
          <w:u w:val="single"/>
        </w:rPr>
      </w:pPr>
    </w:p>
    <w:p w14:paraId="42EA6508" w14:textId="05E1DD92" w:rsidR="008A3647" w:rsidRDefault="008A3647" w:rsidP="00514FEE">
      <w:pPr>
        <w:jc w:val="both"/>
        <w:rPr>
          <w:b/>
          <w:bCs/>
          <w:u w:val="single"/>
        </w:rPr>
      </w:pPr>
    </w:p>
    <w:p w14:paraId="44FDE36F" w14:textId="3F5054AA" w:rsidR="008A3647" w:rsidRDefault="008A3647" w:rsidP="00514FEE">
      <w:pPr>
        <w:jc w:val="both"/>
        <w:rPr>
          <w:b/>
          <w:bCs/>
          <w:u w:val="single"/>
        </w:rPr>
      </w:pPr>
    </w:p>
    <w:p w14:paraId="07CCDEB8" w14:textId="77777777" w:rsidR="008A3647" w:rsidRDefault="008A3647" w:rsidP="00514FEE">
      <w:pPr>
        <w:jc w:val="both"/>
        <w:rPr>
          <w:b/>
          <w:bCs/>
          <w:u w:val="single"/>
        </w:rPr>
      </w:pPr>
    </w:p>
    <w:p w14:paraId="718C0E46" w14:textId="3D2BC7C1" w:rsidR="008A3647" w:rsidRDefault="008A3647" w:rsidP="00514FEE">
      <w:pPr>
        <w:jc w:val="both"/>
        <w:rPr>
          <w:b/>
          <w:bCs/>
          <w:u w:val="single"/>
        </w:rPr>
      </w:pPr>
      <w:r>
        <w:rPr>
          <w:b/>
          <w:bCs/>
          <w:u w:val="single"/>
        </w:rPr>
        <w:lastRenderedPageBreak/>
        <w:t xml:space="preserve">Osobitná časť: </w:t>
      </w:r>
    </w:p>
    <w:p w14:paraId="539B18BE" w14:textId="525BA8DC" w:rsidR="008A3647" w:rsidRDefault="008A3647" w:rsidP="00514FEE">
      <w:pPr>
        <w:jc w:val="both"/>
        <w:rPr>
          <w:b/>
          <w:bCs/>
          <w:u w:val="single"/>
        </w:rPr>
      </w:pPr>
    </w:p>
    <w:p w14:paraId="275BD8AA" w14:textId="77777777" w:rsidR="00A93BD1" w:rsidRPr="00DA7E48" w:rsidRDefault="00A93BD1" w:rsidP="00514FEE">
      <w:pPr>
        <w:pStyle w:val="Nadpis4"/>
        <w:spacing w:before="0"/>
        <w:jc w:val="both"/>
        <w:rPr>
          <w:rFonts w:ascii="Times New Roman" w:hAnsi="Times New Roman" w:cs="Times New Roman"/>
          <w:i w:val="0"/>
          <w:color w:val="auto"/>
        </w:rPr>
      </w:pPr>
      <w:r w:rsidRPr="00DA7E48">
        <w:rPr>
          <w:rFonts w:ascii="Times New Roman" w:hAnsi="Times New Roman" w:cs="Times New Roman"/>
          <w:i w:val="0"/>
          <w:color w:val="auto"/>
        </w:rPr>
        <w:t>K čl. I</w:t>
      </w:r>
    </w:p>
    <w:p w14:paraId="135F8CAF" w14:textId="77777777" w:rsidR="003074B0" w:rsidRPr="00DA7E48" w:rsidRDefault="003074B0" w:rsidP="00514FEE">
      <w:pPr>
        <w:jc w:val="both"/>
        <w:rPr>
          <w:b/>
        </w:rPr>
      </w:pPr>
    </w:p>
    <w:p w14:paraId="49039FAE" w14:textId="108738CD" w:rsidR="00C12156" w:rsidRPr="00DA7E48" w:rsidRDefault="00C12156" w:rsidP="00C12156">
      <w:pPr>
        <w:jc w:val="both"/>
        <w:rPr>
          <w:b/>
        </w:rPr>
      </w:pPr>
      <w:r w:rsidRPr="00DA7E48">
        <w:rPr>
          <w:b/>
        </w:rPr>
        <w:t xml:space="preserve">K bodom 1a 3 [§ 2 ods. 3 písm. c) a § 16 ods. 1] </w:t>
      </w:r>
    </w:p>
    <w:p w14:paraId="3CD89693" w14:textId="09A35128" w:rsidR="00C12156" w:rsidRPr="00DA7E48" w:rsidRDefault="00C12156" w:rsidP="00C12156">
      <w:pPr>
        <w:jc w:val="both"/>
      </w:pPr>
      <w:r w:rsidRPr="00DA7E48">
        <w:t>Úprava týkajúca sa organizácie pracovného času, ktorá sa vzťahu nielen na zamestnancov pôsobiacich v leteckej doprave, ale napríklad aj na riadiacich letovej prevádzky, členov posádok v prevádzke leteckých prác, pri vykonávaní výcvikových a skúšobných letov, letov leteckej záchrannej služby a pod.</w:t>
      </w:r>
      <w:r w:rsidRPr="00DA7E48">
        <w:rPr>
          <w:iCs/>
        </w:rPr>
        <w:t xml:space="preserve"> Úprava zároveň súvisí so zapracovaním požiadavky podľa nariadenia (EÚ) 2018/395 v platnom znení, na základe ktorej musí veliteľ lietadla dodržiavať obmedzenia času letu a času v službe a požiadavky na odpočinok uplatniteľné na jeho činnosti v súlade s vnútroštátnymi právnymi predpismi členského štátu, v ktorom má prevádzkovateľ hlavné miesto podnikania v prípade prevádzky leteckej dopravy balónmi. </w:t>
      </w:r>
    </w:p>
    <w:p w14:paraId="2CB1E3DD" w14:textId="77777777" w:rsidR="00C12156" w:rsidRPr="00DA7E48" w:rsidRDefault="00C12156" w:rsidP="00C12156">
      <w:pPr>
        <w:jc w:val="both"/>
        <w:rPr>
          <w:b/>
        </w:rPr>
      </w:pPr>
    </w:p>
    <w:p w14:paraId="0993B38C" w14:textId="6434A4DF" w:rsidR="00A93BD1" w:rsidRPr="00DA7E48" w:rsidRDefault="00A93BD1" w:rsidP="00C12156">
      <w:pPr>
        <w:jc w:val="both"/>
        <w:rPr>
          <w:b/>
        </w:rPr>
      </w:pPr>
      <w:r w:rsidRPr="00DA76B3">
        <w:rPr>
          <w:b/>
        </w:rPr>
        <w:t xml:space="preserve">K bodu </w:t>
      </w:r>
      <w:r w:rsidR="00C12156" w:rsidRPr="00DA76B3">
        <w:rPr>
          <w:b/>
        </w:rPr>
        <w:t xml:space="preserve">2 </w:t>
      </w:r>
      <w:r w:rsidR="00225AE4" w:rsidRPr="00DA76B3">
        <w:rPr>
          <w:b/>
        </w:rPr>
        <w:t>(</w:t>
      </w:r>
      <w:r w:rsidR="00225AE4" w:rsidRPr="00DA76B3">
        <w:t>poznámka pod čiarou k odkazu 7)</w:t>
      </w:r>
      <w:r w:rsidR="00F32768" w:rsidRPr="00DA76B3">
        <w:rPr>
          <w:b/>
        </w:rPr>
        <w:t>)</w:t>
      </w:r>
      <w:r w:rsidRPr="00DA76B3">
        <w:rPr>
          <w:b/>
        </w:rPr>
        <w:t>:</w:t>
      </w:r>
    </w:p>
    <w:p w14:paraId="42D1EB72" w14:textId="7BF53F95" w:rsidR="00A462F4" w:rsidRDefault="00DA76B3" w:rsidP="00514FEE">
      <w:pPr>
        <w:jc w:val="both"/>
      </w:pPr>
      <w:r>
        <w:t>Legislatívno-technická úprava</w:t>
      </w:r>
    </w:p>
    <w:p w14:paraId="0A9536BC" w14:textId="77777777" w:rsidR="00DA76B3" w:rsidRPr="00DA7E48" w:rsidRDefault="00DA76B3" w:rsidP="00514FEE">
      <w:pPr>
        <w:jc w:val="both"/>
      </w:pPr>
    </w:p>
    <w:p w14:paraId="1FA8146D" w14:textId="4FD37A85" w:rsidR="00DE1ACE" w:rsidRPr="00DA7E48" w:rsidRDefault="00DE1ACE" w:rsidP="00DE1ACE">
      <w:pPr>
        <w:jc w:val="both"/>
        <w:rPr>
          <w:b/>
        </w:rPr>
      </w:pPr>
      <w:r w:rsidRPr="00DA7E48">
        <w:rPr>
          <w:b/>
        </w:rPr>
        <w:t>K bodu 4</w:t>
      </w:r>
      <w:r w:rsidR="00E01661" w:rsidRPr="00DA7E48">
        <w:rPr>
          <w:b/>
        </w:rPr>
        <w:t xml:space="preserve"> a 5</w:t>
      </w:r>
      <w:r w:rsidRPr="00DA7E48">
        <w:rPr>
          <w:b/>
        </w:rPr>
        <w:t xml:space="preserve"> (§ 26 ods. </w:t>
      </w:r>
      <w:r w:rsidR="00E01661" w:rsidRPr="00DA7E48">
        <w:rPr>
          <w:b/>
        </w:rPr>
        <w:t>4 a 5</w:t>
      </w:r>
      <w:r w:rsidRPr="00DA7E48">
        <w:rPr>
          <w:b/>
        </w:rPr>
        <w:t>):</w:t>
      </w:r>
    </w:p>
    <w:p w14:paraId="6BECA365" w14:textId="2AC8B3B0" w:rsidR="00486775" w:rsidRPr="00C85950" w:rsidRDefault="00DE1ACE" w:rsidP="00C85950">
      <w:pPr>
        <w:jc w:val="both"/>
        <w:rPr>
          <w:iCs/>
        </w:rPr>
      </w:pPr>
      <w:r w:rsidRPr="0082121D">
        <w:rPr>
          <w:iCs/>
        </w:rPr>
        <w:t>Ide o odstránenie rozporu</w:t>
      </w:r>
      <w:r w:rsidR="00E01661" w:rsidRPr="00C85950">
        <w:rPr>
          <w:iCs/>
        </w:rPr>
        <w:t xml:space="preserve"> ustanovenia</w:t>
      </w:r>
      <w:r w:rsidRPr="00C85950">
        <w:rPr>
          <w:iCs/>
        </w:rPr>
        <w:t xml:space="preserve"> § 26 ods</w:t>
      </w:r>
      <w:r w:rsidR="00E01661" w:rsidRPr="00C85950">
        <w:rPr>
          <w:iCs/>
        </w:rPr>
        <w:t>.</w:t>
      </w:r>
      <w:r w:rsidRPr="00C85950">
        <w:rPr>
          <w:iCs/>
        </w:rPr>
        <w:t xml:space="preserve"> 4</w:t>
      </w:r>
      <w:r w:rsidR="00CA446E" w:rsidRPr="00C85950">
        <w:rPr>
          <w:iCs/>
        </w:rPr>
        <w:t xml:space="preserve"> </w:t>
      </w:r>
      <w:r w:rsidR="00E01661" w:rsidRPr="00C85950">
        <w:rPr>
          <w:iCs/>
        </w:rPr>
        <w:t xml:space="preserve">s </w:t>
      </w:r>
      <w:r w:rsidRPr="00C85950">
        <w:rPr>
          <w:iCs/>
        </w:rPr>
        <w:t>ustanovením § 8 ods. 2 písm. d) zákona</w:t>
      </w:r>
      <w:r w:rsidR="00E01661" w:rsidRPr="00C85950">
        <w:rPr>
          <w:iCs/>
        </w:rPr>
        <w:t xml:space="preserve"> o organizácii pracovného času v</w:t>
      </w:r>
      <w:r w:rsidR="00F02C6D" w:rsidRPr="00C85950">
        <w:rPr>
          <w:iCs/>
        </w:rPr>
        <w:t> </w:t>
      </w:r>
      <w:r w:rsidR="00E01661" w:rsidRPr="00C85950">
        <w:rPr>
          <w:iCs/>
        </w:rPr>
        <w:t>doprave</w:t>
      </w:r>
      <w:r w:rsidR="00F02C6D" w:rsidRPr="00C85950">
        <w:rPr>
          <w:iCs/>
        </w:rPr>
        <w:t xml:space="preserve">, kedy </w:t>
      </w:r>
      <w:r w:rsidRPr="00C85950">
        <w:rPr>
          <w:iCs/>
        </w:rPr>
        <w:t xml:space="preserve"> najkratším možným nepretržitým časovým úsekom kvalifikovateľným ako časť prestávky v práci je podľa § 27 ods. 2 zákona  čas 15 minút.</w:t>
      </w:r>
      <w:r w:rsidR="00006D90" w:rsidRPr="00C85950">
        <w:rPr>
          <w:iCs/>
        </w:rPr>
        <w:t xml:space="preserve"> </w:t>
      </w:r>
      <w:r w:rsidR="00486775" w:rsidRPr="00C85950">
        <w:rPr>
          <w:iCs/>
        </w:rPr>
        <w:t>Ak ide o prerušenie vedenia vozidla na krátky čas, znenie zákona ustanovuje, že takýto čas je súčasťou pracovného času</w:t>
      </w:r>
      <w:r w:rsidR="000D7943" w:rsidRPr="00C85950">
        <w:rPr>
          <w:iCs/>
        </w:rPr>
        <w:t xml:space="preserve"> vodiča</w:t>
      </w:r>
      <w:r w:rsidR="00486775" w:rsidRPr="00C85950">
        <w:rPr>
          <w:iCs/>
        </w:rPr>
        <w:t xml:space="preserve"> avšak nešpecifikuje, ktorej jeho zložky. Z tohto dôvodu návrh zákona ustanovuje, že</w:t>
      </w:r>
      <w:r w:rsidR="000D7943" w:rsidRPr="00C85950">
        <w:rPr>
          <w:iCs/>
        </w:rPr>
        <w:t xml:space="preserve"> prerušenie súvislého vedenia vozidla alebo inej nariadenej práce sa nekvalifikuje osobitne ale považuje sa za súčasť predchádzajúceho </w:t>
      </w:r>
      <w:r w:rsidR="00F02C6D" w:rsidRPr="00C85950">
        <w:rPr>
          <w:iCs/>
        </w:rPr>
        <w:t xml:space="preserve">alebo nasledujúceho výkonu práce. </w:t>
      </w:r>
    </w:p>
    <w:p w14:paraId="5D387B6A" w14:textId="77777777" w:rsidR="00DE1ACE" w:rsidRPr="00DA7E48" w:rsidRDefault="00DE1ACE" w:rsidP="00DE1ACE">
      <w:pPr>
        <w:jc w:val="both"/>
      </w:pPr>
    </w:p>
    <w:p w14:paraId="72A23943" w14:textId="6D6736A1" w:rsidR="00DE1ACE" w:rsidRPr="00DA7E48" w:rsidRDefault="00DE1ACE" w:rsidP="00DE1ACE">
      <w:pPr>
        <w:jc w:val="both"/>
        <w:rPr>
          <w:b/>
        </w:rPr>
      </w:pPr>
      <w:r w:rsidRPr="00DA7E48">
        <w:rPr>
          <w:b/>
        </w:rPr>
        <w:t xml:space="preserve">K bodu </w:t>
      </w:r>
      <w:r w:rsidR="00006D90" w:rsidRPr="00DA7E48">
        <w:rPr>
          <w:b/>
        </w:rPr>
        <w:t>6</w:t>
      </w:r>
      <w:r w:rsidRPr="00DA7E48">
        <w:rPr>
          <w:b/>
        </w:rPr>
        <w:t xml:space="preserve"> (§ 27 ods. 1):</w:t>
      </w:r>
    </w:p>
    <w:p w14:paraId="65FC051A" w14:textId="673D0E75" w:rsidR="00DE1ACE" w:rsidRPr="00DA7E48" w:rsidRDefault="00DE1ACE" w:rsidP="00DE1ACE">
      <w:pPr>
        <w:spacing w:before="120"/>
        <w:jc w:val="both"/>
      </w:pPr>
      <w:r w:rsidRPr="00DA7E48">
        <w:t>Ide o upresnenie ustanovenia. Prestávka môže byť zamestnancovi poskytnutá aj skôr ako po 4</w:t>
      </w:r>
      <w:r w:rsidR="00CA446E" w:rsidRPr="00DA7E48">
        <w:t> </w:t>
      </w:r>
      <w:r w:rsidRPr="00DA7E48">
        <w:t>hodinách jazdy a rovnako aj denný alebo týždenný odpočinok môžu nastať skôr ako po 4</w:t>
      </w:r>
      <w:r w:rsidR="00CA446E" w:rsidRPr="00DA7E48">
        <w:t> </w:t>
      </w:r>
      <w:r w:rsidRPr="00DA7E48">
        <w:t>hodinách.</w:t>
      </w:r>
    </w:p>
    <w:p w14:paraId="031CEBDA" w14:textId="77777777" w:rsidR="00DE1ACE" w:rsidRPr="00DA7E48" w:rsidRDefault="00DE1ACE" w:rsidP="00DE1ACE">
      <w:pPr>
        <w:jc w:val="both"/>
      </w:pPr>
    </w:p>
    <w:p w14:paraId="0A424C3C" w14:textId="6AC4EEA7" w:rsidR="00A462F4" w:rsidRPr="00DA7E48" w:rsidRDefault="00A462F4" w:rsidP="00514FEE">
      <w:pPr>
        <w:jc w:val="both"/>
        <w:rPr>
          <w:b/>
        </w:rPr>
      </w:pPr>
      <w:r w:rsidRPr="00DA7E48">
        <w:rPr>
          <w:b/>
        </w:rPr>
        <w:t xml:space="preserve">K bodu </w:t>
      </w:r>
      <w:r w:rsidR="00006D90" w:rsidRPr="00DA7E48">
        <w:rPr>
          <w:b/>
        </w:rPr>
        <w:t>7</w:t>
      </w:r>
      <w:r w:rsidR="006C011A">
        <w:rPr>
          <w:b/>
        </w:rPr>
        <w:t xml:space="preserve"> a 8</w:t>
      </w:r>
      <w:r w:rsidR="00C12156" w:rsidRPr="00DA7E48">
        <w:rPr>
          <w:b/>
        </w:rPr>
        <w:t xml:space="preserve"> </w:t>
      </w:r>
      <w:r w:rsidR="003737F7" w:rsidRPr="00DA7E48">
        <w:rPr>
          <w:b/>
        </w:rPr>
        <w:t>(</w:t>
      </w:r>
      <w:r w:rsidR="00FA2B2B" w:rsidRPr="00DA7E48">
        <w:rPr>
          <w:b/>
        </w:rPr>
        <w:t>§ 30 ods.</w:t>
      </w:r>
      <w:r w:rsidR="00413330" w:rsidRPr="00DA7E48">
        <w:rPr>
          <w:b/>
        </w:rPr>
        <w:t xml:space="preserve"> </w:t>
      </w:r>
      <w:r w:rsidR="00FA2B2B" w:rsidRPr="00DA7E48">
        <w:rPr>
          <w:b/>
        </w:rPr>
        <w:t>2</w:t>
      </w:r>
      <w:r w:rsidR="00B840A7" w:rsidRPr="00DA7E48">
        <w:rPr>
          <w:b/>
        </w:rPr>
        <w:t>, 5 a 6</w:t>
      </w:r>
      <w:r w:rsidR="00FA2B2B" w:rsidRPr="00DA7E48">
        <w:rPr>
          <w:b/>
        </w:rPr>
        <w:t>)</w:t>
      </w:r>
      <w:r w:rsidRPr="00DA7E48">
        <w:rPr>
          <w:b/>
        </w:rPr>
        <w:t>:</w:t>
      </w:r>
    </w:p>
    <w:p w14:paraId="19B95ECD" w14:textId="2BE3FF4C" w:rsidR="00B840A7" w:rsidRPr="00DA7E48" w:rsidRDefault="00DA76B3" w:rsidP="00B840A7">
      <w:pPr>
        <w:jc w:val="both"/>
        <w:rPr>
          <w:rFonts w:asciiTheme="minorBidi" w:hAnsiTheme="minorBidi" w:cs="Arial"/>
        </w:rPr>
      </w:pPr>
      <w:r>
        <w:t xml:space="preserve">Upravujú sa podmienky vykonávania koordinovaných cestných kontrol. Takéto kontroly </w:t>
      </w:r>
      <w:r w:rsidR="00B37B58" w:rsidRPr="00DA7E48">
        <w:t xml:space="preserve"> vykoná</w:t>
      </w:r>
      <w:r w:rsidR="00B840A7" w:rsidRPr="00DA7E48">
        <w:t xml:space="preserve">va každý štát na svojom území. Zavádza sa tiež možnosť, kedy vodič počas cestnej kontroly môže kontaktovať napríklad vedúceho dopravy pre doplnenie napríklad nákladného listu o poslednej medzinárodnej preprave a o každej následnej </w:t>
      </w:r>
      <w:proofErr w:type="spellStart"/>
      <w:r w:rsidR="00B840A7" w:rsidRPr="00DA7E48">
        <w:t>kabotážnej</w:t>
      </w:r>
      <w:proofErr w:type="spellEnd"/>
      <w:r w:rsidR="00B840A7" w:rsidRPr="00DA7E48">
        <w:t xml:space="preserve"> preprave, ktorý pre účely vysielania vo vozidle počas cestnej kontroly chýba</w:t>
      </w:r>
      <w:r w:rsidR="00B840A7" w:rsidRPr="00DA7E48">
        <w:rPr>
          <w:rFonts w:asciiTheme="minorBidi" w:hAnsiTheme="minorBidi" w:cs="Arial"/>
        </w:rPr>
        <w:t>. Zároveň sa upravuje ustanovenie odseku 6 nadväzne na zmeny uvedené v prílohách.</w:t>
      </w:r>
    </w:p>
    <w:p w14:paraId="1C9B14B6" w14:textId="77777777" w:rsidR="00CA5066" w:rsidRPr="00DA7E48" w:rsidRDefault="00CA5066" w:rsidP="00514FEE">
      <w:pPr>
        <w:jc w:val="both"/>
      </w:pPr>
    </w:p>
    <w:p w14:paraId="157FB4C5" w14:textId="3CE3DCB2" w:rsidR="00B840A7" w:rsidRPr="00DA7E48" w:rsidRDefault="00CA5066" w:rsidP="00514FEE">
      <w:pPr>
        <w:jc w:val="both"/>
        <w:rPr>
          <w:b/>
        </w:rPr>
      </w:pPr>
      <w:r w:rsidRPr="00DA7E48">
        <w:rPr>
          <w:b/>
        </w:rPr>
        <w:t xml:space="preserve">K bodu </w:t>
      </w:r>
      <w:r w:rsidR="006C011A">
        <w:rPr>
          <w:b/>
        </w:rPr>
        <w:t>9</w:t>
      </w:r>
      <w:r w:rsidR="006C011A" w:rsidRPr="00DA7E48">
        <w:rPr>
          <w:b/>
        </w:rPr>
        <w:t xml:space="preserve"> </w:t>
      </w:r>
      <w:r w:rsidR="001110B7" w:rsidRPr="00DA7E48">
        <w:rPr>
          <w:b/>
        </w:rPr>
        <w:t>(</w:t>
      </w:r>
      <w:r w:rsidR="00265985" w:rsidRPr="00DA7E48">
        <w:rPr>
          <w:b/>
        </w:rPr>
        <w:t>§ 31 ods. 3)</w:t>
      </w:r>
      <w:r w:rsidRPr="00DA7E48">
        <w:rPr>
          <w:b/>
        </w:rPr>
        <w:t>:</w:t>
      </w:r>
    </w:p>
    <w:p w14:paraId="5C8F8735" w14:textId="02465574" w:rsidR="008E6918" w:rsidRPr="00DA7E48" w:rsidRDefault="008E6918" w:rsidP="00514FEE">
      <w:pPr>
        <w:jc w:val="both"/>
        <w:rPr>
          <w:b/>
        </w:rPr>
      </w:pPr>
      <w:r w:rsidRPr="00DA7E48">
        <w:t xml:space="preserve">V rámci podpory spolupráce medzi orgánmi zabezpečujúcimi dodržiavanie predpisov v členských štátoch je potrebné zabezpečiť koordinované kontroly dopravných podnikov so zameraním </w:t>
      </w:r>
      <w:r w:rsidR="000F46C2" w:rsidRPr="00DA7E48">
        <w:t>na</w:t>
      </w:r>
      <w:r w:rsidRPr="00DA7E48">
        <w:t xml:space="preserve"> dodržiavanie predpisov. </w:t>
      </w:r>
    </w:p>
    <w:p w14:paraId="5F463325" w14:textId="77777777" w:rsidR="002D1C05" w:rsidRPr="00DA7E48" w:rsidRDefault="002D1C05" w:rsidP="00514FEE">
      <w:pPr>
        <w:jc w:val="both"/>
      </w:pPr>
    </w:p>
    <w:p w14:paraId="4D8D2EA9" w14:textId="5F48F950" w:rsidR="00266381" w:rsidRPr="00DA7E48" w:rsidRDefault="002D1C05" w:rsidP="00514FEE">
      <w:pPr>
        <w:jc w:val="both"/>
        <w:rPr>
          <w:b/>
        </w:rPr>
      </w:pPr>
      <w:r w:rsidRPr="00DA7E48">
        <w:rPr>
          <w:b/>
        </w:rPr>
        <w:t>K bod</w:t>
      </w:r>
      <w:r w:rsidR="00266381" w:rsidRPr="00DA7E48">
        <w:rPr>
          <w:b/>
        </w:rPr>
        <w:t>u</w:t>
      </w:r>
      <w:r w:rsidRPr="00DA7E48">
        <w:rPr>
          <w:b/>
        </w:rPr>
        <w:t xml:space="preserve"> </w:t>
      </w:r>
      <w:r w:rsidR="004055B4">
        <w:rPr>
          <w:b/>
        </w:rPr>
        <w:t>10 a 11</w:t>
      </w:r>
      <w:r w:rsidR="00C12156" w:rsidRPr="00DA7E48">
        <w:rPr>
          <w:b/>
        </w:rPr>
        <w:t xml:space="preserve"> </w:t>
      </w:r>
      <w:r w:rsidR="00605EF0" w:rsidRPr="00DA7E48">
        <w:rPr>
          <w:b/>
        </w:rPr>
        <w:t>(§ 31 ods</w:t>
      </w:r>
      <w:r w:rsidR="00022379" w:rsidRPr="00DA7E48">
        <w:rPr>
          <w:b/>
        </w:rPr>
        <w:t>.</w:t>
      </w:r>
      <w:r w:rsidR="00605EF0" w:rsidRPr="00DA7E48">
        <w:rPr>
          <w:b/>
        </w:rPr>
        <w:t xml:space="preserve"> 4</w:t>
      </w:r>
      <w:r w:rsidR="002B2639" w:rsidRPr="00DA7E48">
        <w:rPr>
          <w:b/>
        </w:rPr>
        <w:t xml:space="preserve"> a 6</w:t>
      </w:r>
      <w:r w:rsidR="00605EF0" w:rsidRPr="00DA7E48">
        <w:rPr>
          <w:b/>
        </w:rPr>
        <w:t>)</w:t>
      </w:r>
    </w:p>
    <w:p w14:paraId="3CCFF40D" w14:textId="5DE77BFB" w:rsidR="002B2639" w:rsidRPr="00DA7E48" w:rsidRDefault="007B1DC7" w:rsidP="002B2639">
      <w:pPr>
        <w:jc w:val="both"/>
        <w:rPr>
          <w:rFonts w:asciiTheme="minorBidi" w:hAnsiTheme="minorBidi" w:cs="Arial"/>
        </w:rPr>
      </w:pPr>
      <w:r w:rsidRPr="00DA7E48">
        <w:t>Európska komisia je na účely posudzovania závažnosti porušení nariadenia (ES) č. 561/2006 alebo</w:t>
      </w:r>
      <w:r w:rsidR="00192C98" w:rsidRPr="00DA7E48">
        <w:t xml:space="preserve"> nariadenia</w:t>
      </w:r>
      <w:r w:rsidRPr="00DA7E48">
        <w:t xml:space="preserve"> (EÚ) č. 165/2014 splnomocnená prijímať delegované akty na zmenu prílohy III Nariadenia Komisi</w:t>
      </w:r>
      <w:r w:rsidR="00514FEE" w:rsidRPr="00DA7E48">
        <w:t>e</w:t>
      </w:r>
      <w:r w:rsidRPr="00DA7E48">
        <w:t xml:space="preserve"> (EÚ) 2016/403 z tohto dôvodu sa upravuje text zákona. </w:t>
      </w:r>
      <w:r w:rsidR="002B2639" w:rsidRPr="00DA7E48">
        <w:rPr>
          <w:rFonts w:asciiTheme="minorBidi" w:hAnsiTheme="minorBidi" w:cs="Arial"/>
        </w:rPr>
        <w:t>Zároveň nadväzne na zmeny uvedené v prílohách sa upravuje príslušné ustanovenie.</w:t>
      </w:r>
    </w:p>
    <w:p w14:paraId="7334D488" w14:textId="77777777" w:rsidR="007B1DC7" w:rsidRPr="00DA7E48" w:rsidRDefault="007B1DC7" w:rsidP="00514FEE">
      <w:pPr>
        <w:jc w:val="both"/>
        <w:rPr>
          <w:b/>
          <w:i/>
          <w:u w:val="single"/>
        </w:rPr>
      </w:pPr>
    </w:p>
    <w:p w14:paraId="23250B3A" w14:textId="0D91586C" w:rsidR="002D1C05" w:rsidRPr="00DA7E48" w:rsidRDefault="00206B2B" w:rsidP="00514FEE">
      <w:pPr>
        <w:jc w:val="both"/>
        <w:rPr>
          <w:b/>
        </w:rPr>
      </w:pPr>
      <w:r w:rsidRPr="00DA7E48">
        <w:rPr>
          <w:b/>
        </w:rPr>
        <w:t>K bodu</w:t>
      </w:r>
      <w:r w:rsidR="00A37EEA" w:rsidRPr="00DA7E48">
        <w:rPr>
          <w:b/>
        </w:rPr>
        <w:t xml:space="preserve"> </w:t>
      </w:r>
      <w:r w:rsidR="00006D90" w:rsidRPr="00DA7E48">
        <w:rPr>
          <w:b/>
        </w:rPr>
        <w:t>1</w:t>
      </w:r>
      <w:r w:rsidR="00C942FA">
        <w:rPr>
          <w:b/>
        </w:rPr>
        <w:t>2</w:t>
      </w:r>
      <w:r w:rsidR="00C12156" w:rsidRPr="00DA7E48">
        <w:rPr>
          <w:b/>
        </w:rPr>
        <w:t xml:space="preserve"> </w:t>
      </w:r>
      <w:r w:rsidR="00C813A7" w:rsidRPr="00DA7E48">
        <w:rPr>
          <w:b/>
        </w:rPr>
        <w:t>(§ 31a)</w:t>
      </w:r>
      <w:r w:rsidR="002D1C05" w:rsidRPr="00DA7E48">
        <w:rPr>
          <w:b/>
        </w:rPr>
        <w:t>:</w:t>
      </w:r>
    </w:p>
    <w:p w14:paraId="466507BD" w14:textId="77777777" w:rsidR="004B4ABD" w:rsidRPr="00DA7E48" w:rsidRDefault="004B4ABD" w:rsidP="00514FEE">
      <w:pPr>
        <w:jc w:val="both"/>
      </w:pPr>
      <w:r w:rsidRPr="00DA7E48">
        <w:t xml:space="preserve">Ustanovuje sa spôsob výmeny informácií v rámci vzájomnej pomoci medzi členskými štátmi. Informácie, ktoré nie sú dostupné pre príslušné orgány iných členských štátov je možné požiadať prostredníctvom informačného systému o vnútornom trhu tzv. IMI systém, ktorý je zriadený Nariadením Európskeho parlamentu a Rady (EÚ) č. 1024/2012 a ktorý prevádzkuje Európska komisia. </w:t>
      </w:r>
    </w:p>
    <w:p w14:paraId="4FF37CC0" w14:textId="316E4524" w:rsidR="00096729" w:rsidRDefault="00096729" w:rsidP="00514FEE">
      <w:pPr>
        <w:jc w:val="both"/>
      </w:pPr>
    </w:p>
    <w:p w14:paraId="6E5F52E9" w14:textId="6DD0FBBC" w:rsidR="008A3647" w:rsidRDefault="008A3647" w:rsidP="00514FEE">
      <w:pPr>
        <w:jc w:val="both"/>
      </w:pPr>
    </w:p>
    <w:p w14:paraId="05565609" w14:textId="77777777" w:rsidR="008A3647" w:rsidRPr="00DA7E48" w:rsidRDefault="008A3647" w:rsidP="00514FEE">
      <w:pPr>
        <w:jc w:val="both"/>
      </w:pPr>
    </w:p>
    <w:p w14:paraId="4B05A0E0" w14:textId="1BF9CFFF" w:rsidR="00096729" w:rsidRPr="00DA7E48" w:rsidRDefault="00096729" w:rsidP="00514FEE">
      <w:pPr>
        <w:jc w:val="both"/>
        <w:rPr>
          <w:b/>
        </w:rPr>
      </w:pPr>
      <w:r w:rsidRPr="00DA7E48">
        <w:rPr>
          <w:b/>
        </w:rPr>
        <w:t xml:space="preserve">K bodu </w:t>
      </w:r>
      <w:r w:rsidR="00DE1ACE" w:rsidRPr="00DA7E48">
        <w:rPr>
          <w:b/>
        </w:rPr>
        <w:t>1</w:t>
      </w:r>
      <w:r w:rsidR="00C942FA">
        <w:rPr>
          <w:b/>
        </w:rPr>
        <w:t>3</w:t>
      </w:r>
      <w:r w:rsidR="00C12156" w:rsidRPr="00DA7E48">
        <w:rPr>
          <w:b/>
        </w:rPr>
        <w:t xml:space="preserve"> </w:t>
      </w:r>
      <w:r w:rsidR="00E83DF5" w:rsidRPr="00DA7E48">
        <w:rPr>
          <w:b/>
        </w:rPr>
        <w:t>(§ 33 písm</w:t>
      </w:r>
      <w:r w:rsidR="005B3D35" w:rsidRPr="00DA7E48">
        <w:rPr>
          <w:b/>
        </w:rPr>
        <w:t>.</w:t>
      </w:r>
      <w:r w:rsidR="00E83DF5" w:rsidRPr="00DA7E48">
        <w:rPr>
          <w:b/>
        </w:rPr>
        <w:t xml:space="preserve"> e)</w:t>
      </w:r>
      <w:r w:rsidR="002B2639" w:rsidRPr="00DA7E48">
        <w:rPr>
          <w:b/>
        </w:rPr>
        <w:t>)</w:t>
      </w:r>
      <w:r w:rsidRPr="00DA7E48">
        <w:rPr>
          <w:b/>
        </w:rPr>
        <w:t>:</w:t>
      </w:r>
    </w:p>
    <w:p w14:paraId="2359C0B1" w14:textId="7665F666" w:rsidR="002D4E64" w:rsidRPr="00DA7E48" w:rsidRDefault="00B3533F" w:rsidP="00514FEE">
      <w:pPr>
        <w:jc w:val="both"/>
      </w:pPr>
      <w:r w:rsidRPr="00DA7E48">
        <w:t>Ide o</w:t>
      </w:r>
      <w:r w:rsidR="00B939D3" w:rsidRPr="00DA7E48">
        <w:t xml:space="preserve"> úpravu </w:t>
      </w:r>
      <w:r w:rsidRPr="00DA7E48">
        <w:t xml:space="preserve">kompetencie pre Národný inšpektorát </w:t>
      </w:r>
      <w:r w:rsidR="00C97756" w:rsidRPr="00DA7E48">
        <w:t>týkajúc</w:t>
      </w:r>
      <w:r w:rsidR="00CC0F1D" w:rsidRPr="00DA7E48">
        <w:t>u</w:t>
      </w:r>
      <w:r w:rsidR="00C97756" w:rsidRPr="00DA7E48">
        <w:t xml:space="preserve"> sa zabezpečovania výmeny informácií </w:t>
      </w:r>
      <w:r w:rsidR="00EA72F3" w:rsidRPr="00DA7E48">
        <w:t>s inými členskými štátmi.</w:t>
      </w:r>
    </w:p>
    <w:p w14:paraId="3B6C46A2" w14:textId="1E149ABA" w:rsidR="00853C7C" w:rsidRDefault="00853C7C" w:rsidP="00514FEE">
      <w:pPr>
        <w:jc w:val="both"/>
      </w:pPr>
    </w:p>
    <w:p w14:paraId="1780A44B" w14:textId="04E9108C" w:rsidR="003C3CD8" w:rsidRPr="00A749C9" w:rsidRDefault="003C3CD8" w:rsidP="00514FEE">
      <w:pPr>
        <w:jc w:val="both"/>
        <w:rPr>
          <w:b/>
        </w:rPr>
      </w:pPr>
      <w:r w:rsidRPr="00A749C9">
        <w:rPr>
          <w:b/>
        </w:rPr>
        <w:t>K bodu 14 (§ 33 písm. i))</w:t>
      </w:r>
    </w:p>
    <w:p w14:paraId="7C2C7C9C" w14:textId="065760B2" w:rsidR="003C3CD8" w:rsidRDefault="003C3CD8" w:rsidP="00514FEE">
      <w:pPr>
        <w:jc w:val="both"/>
      </w:pPr>
      <w:r>
        <w:t>Legislatívno-technická úprava súvisiaca s úpravou v bode 15.</w:t>
      </w:r>
    </w:p>
    <w:p w14:paraId="19AD63CC" w14:textId="77777777" w:rsidR="003C3CD8" w:rsidRPr="00DA7E48" w:rsidRDefault="003C3CD8" w:rsidP="00514FEE">
      <w:pPr>
        <w:jc w:val="both"/>
      </w:pPr>
    </w:p>
    <w:p w14:paraId="462E7316" w14:textId="59AD3C48" w:rsidR="00853C7C" w:rsidRPr="00DA7E48" w:rsidRDefault="00853C7C" w:rsidP="00514FEE">
      <w:pPr>
        <w:jc w:val="both"/>
        <w:rPr>
          <w:b/>
        </w:rPr>
      </w:pPr>
      <w:r w:rsidRPr="00DA7E48">
        <w:rPr>
          <w:b/>
        </w:rPr>
        <w:t xml:space="preserve">K bodu </w:t>
      </w:r>
      <w:r w:rsidR="00DE1ACE" w:rsidRPr="00DA7E48">
        <w:rPr>
          <w:b/>
        </w:rPr>
        <w:t>1</w:t>
      </w:r>
      <w:r w:rsidR="00B47B03">
        <w:rPr>
          <w:b/>
        </w:rPr>
        <w:t>5</w:t>
      </w:r>
      <w:r w:rsidR="00C12156" w:rsidRPr="00DA7E48">
        <w:rPr>
          <w:b/>
        </w:rPr>
        <w:t xml:space="preserve"> </w:t>
      </w:r>
      <w:r w:rsidRPr="00DA7E48">
        <w:rPr>
          <w:b/>
        </w:rPr>
        <w:t>(</w:t>
      </w:r>
      <w:r w:rsidR="004E6627" w:rsidRPr="00DA7E48">
        <w:rPr>
          <w:b/>
        </w:rPr>
        <w:t>§33 písm. j</w:t>
      </w:r>
      <w:r w:rsidR="002B2639" w:rsidRPr="00DA7E48">
        <w:rPr>
          <w:b/>
        </w:rPr>
        <w:t>)</w:t>
      </w:r>
      <w:r w:rsidR="00FE4A48" w:rsidRPr="00DA7E48">
        <w:rPr>
          <w:b/>
        </w:rPr>
        <w:t xml:space="preserve"> a k</w:t>
      </w:r>
      <w:r w:rsidR="004E6627" w:rsidRPr="00DA7E48">
        <w:rPr>
          <w:b/>
        </w:rPr>
        <w:t>))</w:t>
      </w:r>
    </w:p>
    <w:p w14:paraId="6700F28D" w14:textId="57097BEA" w:rsidR="00B2225F" w:rsidRDefault="00E55A67" w:rsidP="00514FEE">
      <w:pPr>
        <w:jc w:val="both"/>
      </w:pPr>
      <w:r w:rsidRPr="00DA7E48">
        <w:t>Európsky orgán práce pomáha členským štátom a Komisii pri účinnom uplatňovaní a presadzovaní práva Únie v oblasti mobility pracovnej sily. Jednou z kompetencii Európskeho orgánu práce je poskytovať pomoc členským štátom pri vykonávaní zosúladených kontrol a podporovať úsilie v oblasti vzdelávania a odbornej prípravy inšpektorov. Z tohto dôvodu sa ustanovuje kompetencia pre Národný inšpektorát práce spolupracovať s Európskym orgánom práce v daných oblastiach.</w:t>
      </w:r>
      <w:r w:rsidR="00FE4A48" w:rsidRPr="00DA7E48">
        <w:t xml:space="preserve"> Zároveň sa dopĺ</w:t>
      </w:r>
      <w:r w:rsidR="00F7218F" w:rsidRPr="00DA7E48">
        <w:t>ňa kompetencia pre Národný inšpektorát práce</w:t>
      </w:r>
      <w:r w:rsidR="000F46C2" w:rsidRPr="00DA7E48">
        <w:t>,</w:t>
      </w:r>
      <w:r w:rsidR="00F7218F" w:rsidRPr="00DA7E48">
        <w:t xml:space="preserve">  a to zabezpečov</w:t>
      </w:r>
      <w:r w:rsidR="000F6B88" w:rsidRPr="00DA7E48">
        <w:t>ať odbornú prípravu inšpektorov.</w:t>
      </w:r>
    </w:p>
    <w:p w14:paraId="21E3A10B" w14:textId="565B085F" w:rsidR="00B47B03" w:rsidRDefault="00B47B03" w:rsidP="00514FEE">
      <w:pPr>
        <w:jc w:val="both"/>
      </w:pPr>
    </w:p>
    <w:p w14:paraId="7D5D12BA" w14:textId="40FA73F7" w:rsidR="00B47B03" w:rsidRDefault="00B47B03" w:rsidP="00514FEE">
      <w:pPr>
        <w:jc w:val="both"/>
        <w:rPr>
          <w:b/>
        </w:rPr>
      </w:pPr>
      <w:r w:rsidRPr="00A749C9">
        <w:rPr>
          <w:b/>
        </w:rPr>
        <w:t>K bodu 16 (§ 34 ods. 1 písm. i))</w:t>
      </w:r>
    </w:p>
    <w:p w14:paraId="047745AD" w14:textId="00FDCF7E" w:rsidR="00413983" w:rsidRDefault="00413983" w:rsidP="00413983">
      <w:pPr>
        <w:jc w:val="both"/>
      </w:pPr>
      <w:r>
        <w:t>Legislatívno-technická úprava súvisiaca s úpravou v bode 17.</w:t>
      </w:r>
    </w:p>
    <w:p w14:paraId="633FADDC" w14:textId="77777777" w:rsidR="00B47B03" w:rsidRPr="00A749C9" w:rsidRDefault="00B47B03" w:rsidP="00514FEE">
      <w:pPr>
        <w:jc w:val="both"/>
        <w:rPr>
          <w:b/>
        </w:rPr>
      </w:pPr>
    </w:p>
    <w:p w14:paraId="0E74DEBF" w14:textId="65EE7D68" w:rsidR="005B3D0E" w:rsidRPr="00DA7E48" w:rsidRDefault="005B3D0E" w:rsidP="00514FEE">
      <w:pPr>
        <w:tabs>
          <w:tab w:val="left" w:pos="709"/>
          <w:tab w:val="left" w:pos="4395"/>
          <w:tab w:val="left" w:pos="6946"/>
        </w:tabs>
        <w:jc w:val="both"/>
        <w:rPr>
          <w:b/>
        </w:rPr>
      </w:pPr>
      <w:r w:rsidRPr="00DA7E48">
        <w:rPr>
          <w:b/>
        </w:rPr>
        <w:t xml:space="preserve">K bodu </w:t>
      </w:r>
      <w:r w:rsidR="00C12156" w:rsidRPr="00DA7E48">
        <w:rPr>
          <w:b/>
        </w:rPr>
        <w:t>1</w:t>
      </w:r>
      <w:r w:rsidR="00413983">
        <w:rPr>
          <w:b/>
        </w:rPr>
        <w:t>7</w:t>
      </w:r>
      <w:r w:rsidR="00C12156" w:rsidRPr="00DA7E48">
        <w:rPr>
          <w:b/>
        </w:rPr>
        <w:t xml:space="preserve"> </w:t>
      </w:r>
      <w:r w:rsidRPr="00DA7E48">
        <w:rPr>
          <w:b/>
        </w:rPr>
        <w:t>(§ 34 ods. 1 písm. j</w:t>
      </w:r>
      <w:r w:rsidR="00432B82">
        <w:rPr>
          <w:b/>
        </w:rPr>
        <w:t xml:space="preserve"> a k</w:t>
      </w:r>
      <w:r w:rsidRPr="00DA7E48">
        <w:rPr>
          <w:b/>
        </w:rPr>
        <w:t>))</w:t>
      </w:r>
    </w:p>
    <w:p w14:paraId="57A07BAE" w14:textId="75F0B5BB" w:rsidR="005B3D0E" w:rsidRPr="00DA7E48" w:rsidRDefault="005B3D0E" w:rsidP="00514FEE">
      <w:pPr>
        <w:tabs>
          <w:tab w:val="left" w:pos="709"/>
          <w:tab w:val="left" w:pos="4395"/>
          <w:tab w:val="left" w:pos="6946"/>
        </w:tabs>
        <w:jc w:val="both"/>
      </w:pPr>
      <w:r w:rsidRPr="00DA7E48">
        <w:t>Ide o špecifikáciu povinnosti týkajúcej sa zadržaných kariet vodiča. Inšpektor kartu vodiča odoberie, ak zistí. Že vodič používa kartu vodič</w:t>
      </w:r>
      <w:r w:rsidR="00723266">
        <w:t>a</w:t>
      </w:r>
      <w:r w:rsidRPr="00DA7E48">
        <w:t xml:space="preserve">, ktorá je sfalšovaná alebo používa kartu vodiča, ktorej nie je oprávneným držiteľom. Takéto karty je potrebné zaslať Ministerstvu dopravy a výstavby SR, ktoré vedie centrálny register kariet vodiča podľa zákona č. 461/2007 Z. z. </w:t>
      </w:r>
    </w:p>
    <w:p w14:paraId="74E892C7" w14:textId="5CCC5489" w:rsidR="0056178A" w:rsidRDefault="0056178A" w:rsidP="00514FEE">
      <w:pPr>
        <w:tabs>
          <w:tab w:val="left" w:pos="709"/>
          <w:tab w:val="left" w:pos="4395"/>
          <w:tab w:val="left" w:pos="6946"/>
        </w:tabs>
        <w:jc w:val="both"/>
      </w:pPr>
    </w:p>
    <w:p w14:paraId="45DA7953" w14:textId="53216153" w:rsidR="00432B82" w:rsidRDefault="00432B82" w:rsidP="00514FEE">
      <w:pPr>
        <w:tabs>
          <w:tab w:val="left" w:pos="709"/>
          <w:tab w:val="left" w:pos="4395"/>
          <w:tab w:val="left" w:pos="6946"/>
        </w:tabs>
        <w:jc w:val="both"/>
        <w:rPr>
          <w:rFonts w:ascii="Times" w:hAnsi="Times" w:cs="Times"/>
          <w:sz w:val="25"/>
          <w:szCs w:val="25"/>
        </w:rPr>
      </w:pPr>
      <w:r>
        <w:rPr>
          <w:rFonts w:ascii="Times" w:hAnsi="Times" w:cs="Times"/>
          <w:sz w:val="25"/>
          <w:szCs w:val="25"/>
        </w:rPr>
        <w:t>Zároveň ide o úpravu kompetencie inšpektorátov práce, aby spolu s Policajným zborom mohli odstaviť vozidlá odťahovej služby na pozemných komunikáciách a skontrolovať, či osoba, ktorá bude viazať bremená na vyhradených technických zariadeniach zdvíhacích, ktoré sa na autách odťahových služieb nachádzajú, má potrebnú odbornú spôsobilosť, konkrétne či je držiteľom preukazu viazača bremien v zmysle § 16 zákona č. 124/2006 Z. z. o bezpečnosti a ochrane zdravia pri práci a o zmene a doplnení niektorých zákonov v znení neskorších predpisov ako aj § 17 ods. 2 vyhlášky Ministerstva práca, sociálnych vecí a rodiny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w:t>
      </w:r>
    </w:p>
    <w:p w14:paraId="429F8B56" w14:textId="6740676F" w:rsidR="00AF5E41" w:rsidRDefault="00AF5E41" w:rsidP="00514FEE">
      <w:pPr>
        <w:tabs>
          <w:tab w:val="left" w:pos="709"/>
          <w:tab w:val="left" w:pos="4395"/>
          <w:tab w:val="left" w:pos="6946"/>
        </w:tabs>
        <w:jc w:val="both"/>
      </w:pPr>
    </w:p>
    <w:p w14:paraId="2CCCFE3E" w14:textId="28E5352A" w:rsidR="008A3647" w:rsidRDefault="008A3647" w:rsidP="00514FEE">
      <w:pPr>
        <w:tabs>
          <w:tab w:val="left" w:pos="709"/>
          <w:tab w:val="left" w:pos="4395"/>
          <w:tab w:val="left" w:pos="6946"/>
        </w:tabs>
        <w:jc w:val="both"/>
      </w:pPr>
    </w:p>
    <w:p w14:paraId="7C355C94" w14:textId="77777777" w:rsidR="008A3647" w:rsidRPr="00DA7E48" w:rsidRDefault="008A3647" w:rsidP="00514FEE">
      <w:pPr>
        <w:tabs>
          <w:tab w:val="left" w:pos="709"/>
          <w:tab w:val="left" w:pos="4395"/>
          <w:tab w:val="left" w:pos="6946"/>
        </w:tabs>
        <w:jc w:val="both"/>
      </w:pPr>
    </w:p>
    <w:p w14:paraId="704F3A7A" w14:textId="0C36C985" w:rsidR="002E1D44" w:rsidRPr="00DA7E48" w:rsidRDefault="005B3D0E" w:rsidP="002E1D44">
      <w:pPr>
        <w:tabs>
          <w:tab w:val="left" w:pos="709"/>
          <w:tab w:val="left" w:pos="4395"/>
          <w:tab w:val="left" w:pos="6946"/>
        </w:tabs>
        <w:jc w:val="both"/>
        <w:rPr>
          <w:b/>
        </w:rPr>
      </w:pPr>
      <w:r w:rsidRPr="00DA7E48">
        <w:rPr>
          <w:b/>
        </w:rPr>
        <w:lastRenderedPageBreak/>
        <w:t xml:space="preserve">K bodu </w:t>
      </w:r>
      <w:r w:rsidR="00C12156" w:rsidRPr="00DA7E48">
        <w:rPr>
          <w:b/>
        </w:rPr>
        <w:t>1</w:t>
      </w:r>
      <w:r w:rsidR="00AF5E41">
        <w:rPr>
          <w:b/>
        </w:rPr>
        <w:t>8</w:t>
      </w:r>
      <w:r w:rsidR="00C12156" w:rsidRPr="00DA7E48">
        <w:rPr>
          <w:b/>
        </w:rPr>
        <w:t xml:space="preserve"> </w:t>
      </w:r>
      <w:r w:rsidR="002E1D44" w:rsidRPr="00DA7E48">
        <w:rPr>
          <w:b/>
        </w:rPr>
        <w:t xml:space="preserve">(§ 34 ods. 2 písm. </w:t>
      </w:r>
      <w:r w:rsidRPr="00DA7E48">
        <w:rPr>
          <w:b/>
        </w:rPr>
        <w:t xml:space="preserve">c) </w:t>
      </w:r>
      <w:r w:rsidR="002E1D44" w:rsidRPr="00DA7E48">
        <w:rPr>
          <w:b/>
        </w:rPr>
        <w:t>bod 2)</w:t>
      </w:r>
    </w:p>
    <w:p w14:paraId="24FB507C" w14:textId="0B8A8D54" w:rsidR="002E1D44" w:rsidRPr="00DA7E48" w:rsidRDefault="002E1D44" w:rsidP="00514FEE">
      <w:pPr>
        <w:tabs>
          <w:tab w:val="left" w:pos="709"/>
          <w:tab w:val="left" w:pos="4395"/>
          <w:tab w:val="left" w:pos="6946"/>
        </w:tabs>
        <w:jc w:val="both"/>
      </w:pPr>
      <w:r w:rsidRPr="00DA7E48">
        <w:t>Ide o doplnenie kompetencie pre inšpektora práce zakázať používanie vozidla ak zistí poruchy alebo chyby ktoré sa považujú za narušenie alebo manipuláciu so záznamovým zariadením alebo jeho snímačom pohybu. Zároveň je oprávnený nariadiť dopravnému podniku vykonanie kontroly záznamového zariadenia v dielni, ktorá je autorizovaná na vykonávanie periodických prehliadok podľa zákona č. 461/2007 Z. z. o používaní záznamového zariadenia v cestnej doprave.</w:t>
      </w:r>
    </w:p>
    <w:p w14:paraId="78ED7997" w14:textId="77777777" w:rsidR="002E1D44" w:rsidRPr="00DA7E48" w:rsidRDefault="002E1D44" w:rsidP="00514FEE">
      <w:pPr>
        <w:tabs>
          <w:tab w:val="left" w:pos="709"/>
          <w:tab w:val="left" w:pos="4395"/>
          <w:tab w:val="left" w:pos="6946"/>
        </w:tabs>
        <w:jc w:val="both"/>
      </w:pPr>
    </w:p>
    <w:p w14:paraId="6EFD3375" w14:textId="2CDDB7E1" w:rsidR="00FC09A6" w:rsidRPr="00DA7E48" w:rsidRDefault="00FC09A6" w:rsidP="00514FEE">
      <w:pPr>
        <w:tabs>
          <w:tab w:val="left" w:pos="709"/>
          <w:tab w:val="left" w:pos="4395"/>
          <w:tab w:val="left" w:pos="6946"/>
        </w:tabs>
        <w:jc w:val="both"/>
        <w:rPr>
          <w:b/>
        </w:rPr>
      </w:pPr>
      <w:r w:rsidRPr="00DA7E48">
        <w:rPr>
          <w:b/>
        </w:rPr>
        <w:t xml:space="preserve">K bodu </w:t>
      </w:r>
      <w:r w:rsidR="00C12156" w:rsidRPr="00DA7E48">
        <w:rPr>
          <w:b/>
        </w:rPr>
        <w:t>1</w:t>
      </w:r>
      <w:r w:rsidR="00AF5E41">
        <w:rPr>
          <w:b/>
        </w:rPr>
        <w:t>9</w:t>
      </w:r>
      <w:r w:rsidR="00C12156" w:rsidRPr="00DA7E48">
        <w:rPr>
          <w:b/>
        </w:rPr>
        <w:t xml:space="preserve"> </w:t>
      </w:r>
      <w:r w:rsidR="00864A5D" w:rsidRPr="00DA7E48">
        <w:rPr>
          <w:b/>
        </w:rPr>
        <w:t>(§ 34 ods</w:t>
      </w:r>
      <w:r w:rsidR="00CC7F63" w:rsidRPr="00DA7E48">
        <w:rPr>
          <w:b/>
        </w:rPr>
        <w:t>.</w:t>
      </w:r>
      <w:r w:rsidR="00864A5D" w:rsidRPr="00DA7E48">
        <w:rPr>
          <w:b/>
        </w:rPr>
        <w:t xml:space="preserve"> 2 </w:t>
      </w:r>
      <w:r w:rsidRPr="00DA7E48">
        <w:rPr>
          <w:b/>
        </w:rPr>
        <w:t xml:space="preserve">písm. </w:t>
      </w:r>
      <w:r w:rsidR="00387A4C" w:rsidRPr="00DA7E48">
        <w:rPr>
          <w:b/>
        </w:rPr>
        <w:t>f</w:t>
      </w:r>
      <w:r w:rsidRPr="00DA7E48">
        <w:rPr>
          <w:b/>
        </w:rPr>
        <w:t>))</w:t>
      </w:r>
    </w:p>
    <w:p w14:paraId="276DBF75" w14:textId="05A8501B" w:rsidR="0076430A" w:rsidRPr="00DA7E48" w:rsidRDefault="0076430A" w:rsidP="00514FEE">
      <w:pPr>
        <w:jc w:val="both"/>
      </w:pPr>
      <w:r w:rsidRPr="00DA7E48">
        <w:t>Účelom ustanovenia je jednoznačne v slovenskej legislatíve vymedziť oprávnenie inšpektora na realizáciu ustanovení uvedených v čl. 26 ods. 7 nariadenia (EÚ) č. 165/2014.</w:t>
      </w:r>
    </w:p>
    <w:p w14:paraId="276DFB31" w14:textId="1C244440" w:rsidR="00F7218F" w:rsidRPr="00DA7E48" w:rsidRDefault="00F7218F" w:rsidP="00514FEE">
      <w:pPr>
        <w:tabs>
          <w:tab w:val="left" w:pos="709"/>
          <w:tab w:val="left" w:pos="4395"/>
          <w:tab w:val="left" w:pos="6946"/>
        </w:tabs>
        <w:jc w:val="both"/>
      </w:pPr>
    </w:p>
    <w:p w14:paraId="49D10024" w14:textId="1D84F790" w:rsidR="00F7218F" w:rsidRPr="00DA7E48" w:rsidRDefault="00F7218F" w:rsidP="00F7218F">
      <w:pPr>
        <w:tabs>
          <w:tab w:val="left" w:pos="709"/>
          <w:tab w:val="left" w:pos="4395"/>
          <w:tab w:val="left" w:pos="6946"/>
        </w:tabs>
        <w:jc w:val="both"/>
        <w:rPr>
          <w:b/>
        </w:rPr>
      </w:pPr>
      <w:r w:rsidRPr="00DA7E48">
        <w:rPr>
          <w:b/>
        </w:rPr>
        <w:t xml:space="preserve">K bodu </w:t>
      </w:r>
      <w:r w:rsidR="00D55140">
        <w:rPr>
          <w:b/>
        </w:rPr>
        <w:t>20</w:t>
      </w:r>
      <w:r w:rsidR="00C12156" w:rsidRPr="00DA7E48">
        <w:rPr>
          <w:b/>
        </w:rPr>
        <w:t xml:space="preserve"> </w:t>
      </w:r>
      <w:r w:rsidR="00387A4C" w:rsidRPr="00DA7E48">
        <w:rPr>
          <w:b/>
        </w:rPr>
        <w:t xml:space="preserve">a </w:t>
      </w:r>
      <w:r w:rsidR="00D55140">
        <w:rPr>
          <w:b/>
        </w:rPr>
        <w:t>21</w:t>
      </w:r>
      <w:r w:rsidR="00C12156" w:rsidRPr="00DA7E48">
        <w:rPr>
          <w:b/>
        </w:rPr>
        <w:t xml:space="preserve"> </w:t>
      </w:r>
      <w:r w:rsidRPr="00DA7E48">
        <w:rPr>
          <w:b/>
        </w:rPr>
        <w:t>(§ 36 ods. 2 až 4</w:t>
      </w:r>
      <w:r w:rsidR="00B35DD8" w:rsidRPr="00DA7E48">
        <w:rPr>
          <w:b/>
        </w:rPr>
        <w:t>, § 36 ods. 5 a 6</w:t>
      </w:r>
      <w:r w:rsidRPr="00DA7E48">
        <w:rPr>
          <w:b/>
        </w:rPr>
        <w:t>)</w:t>
      </w:r>
    </w:p>
    <w:p w14:paraId="71FF3493" w14:textId="4A57766F" w:rsidR="00F7218F" w:rsidRPr="00DA7E48" w:rsidRDefault="00F7218F" w:rsidP="00F7218F">
      <w:pPr>
        <w:tabs>
          <w:tab w:val="left" w:pos="709"/>
          <w:tab w:val="left" w:pos="4395"/>
          <w:tab w:val="left" w:pos="6946"/>
        </w:tabs>
        <w:jc w:val="both"/>
      </w:pPr>
      <w:r w:rsidRPr="00DA7E48">
        <w:t xml:space="preserve">Upravuje sa rozsah cestnej kontroly, ktorú vykonáva policajný zbor. Zároveň sa upravuje konanie policajta ak pri kontrole zistí porušenia. </w:t>
      </w:r>
    </w:p>
    <w:p w14:paraId="0E930A7E" w14:textId="558F8BC1" w:rsidR="00F20DF4" w:rsidRPr="00DA7E48" w:rsidRDefault="00F20DF4" w:rsidP="00514FEE">
      <w:pPr>
        <w:tabs>
          <w:tab w:val="left" w:pos="709"/>
          <w:tab w:val="left" w:pos="4395"/>
          <w:tab w:val="left" w:pos="6946"/>
        </w:tabs>
        <w:jc w:val="both"/>
      </w:pPr>
    </w:p>
    <w:p w14:paraId="705B9C8C" w14:textId="2EEF654A" w:rsidR="00EE25E0" w:rsidRPr="00DA7E48" w:rsidRDefault="00EE25E0" w:rsidP="00EE25E0">
      <w:pPr>
        <w:tabs>
          <w:tab w:val="left" w:pos="709"/>
          <w:tab w:val="left" w:pos="4395"/>
          <w:tab w:val="left" w:pos="6946"/>
        </w:tabs>
        <w:jc w:val="both"/>
        <w:rPr>
          <w:b/>
        </w:rPr>
      </w:pPr>
      <w:r w:rsidRPr="00DA7E48">
        <w:rPr>
          <w:b/>
        </w:rPr>
        <w:t xml:space="preserve">K bodu </w:t>
      </w:r>
      <w:r w:rsidR="00D55140">
        <w:rPr>
          <w:b/>
        </w:rPr>
        <w:t>22</w:t>
      </w:r>
      <w:r w:rsidR="00C12156" w:rsidRPr="00DA7E48">
        <w:rPr>
          <w:b/>
        </w:rPr>
        <w:t xml:space="preserve"> </w:t>
      </w:r>
      <w:r w:rsidRPr="00DA7E48">
        <w:rPr>
          <w:b/>
        </w:rPr>
        <w:t xml:space="preserve">(§ 36 ods. </w:t>
      </w:r>
      <w:r w:rsidR="00B35DD8" w:rsidRPr="00DA7E48">
        <w:rPr>
          <w:b/>
        </w:rPr>
        <w:t>7 písm. d) a e)</w:t>
      </w:r>
      <w:r w:rsidRPr="00DA7E48">
        <w:rPr>
          <w:b/>
        </w:rPr>
        <w:t>)</w:t>
      </w:r>
    </w:p>
    <w:p w14:paraId="1861D5AD" w14:textId="77777777" w:rsidR="00D80C38" w:rsidRPr="00DA7E48" w:rsidRDefault="00D80C38" w:rsidP="00EE25E0">
      <w:pPr>
        <w:tabs>
          <w:tab w:val="left" w:pos="709"/>
          <w:tab w:val="left" w:pos="4395"/>
          <w:tab w:val="left" w:pos="6946"/>
        </w:tabs>
        <w:jc w:val="both"/>
        <w:rPr>
          <w:b/>
        </w:rPr>
      </w:pPr>
    </w:p>
    <w:p w14:paraId="028E8E36" w14:textId="461728F7" w:rsidR="00EE25E0" w:rsidRPr="00DA7E48" w:rsidRDefault="00EE25E0" w:rsidP="00EE25E0">
      <w:pPr>
        <w:jc w:val="both"/>
      </w:pPr>
      <w:r w:rsidRPr="00DA7E48">
        <w:t>Európsky orgán práce pomáha členským štátom a Komisii pri účinnom uplatňovaní a presadzovaní práva Únie v oblasti mobility pracovnej sily. Jednou z kompetencii Európskeho orgánu práce je poskytovať pomoc členským štátom pri vykonávaní zosúladených kontrol a podporovať úsilie v oblasti vzdelávania a odbornej prípravy inšpektorov. Z tohto dôvodu sa ustanovuje kompetencia pre Policajný zbor spolupracovať s Európskym orgánom práce v daných oblastiach. Zároveň sa dopĺňa kompetencia pre Policajný zbor</w:t>
      </w:r>
      <w:r w:rsidR="00F80E4E" w:rsidRPr="00DA7E48">
        <w:t>,</w:t>
      </w:r>
      <w:r w:rsidRPr="00DA7E48">
        <w:t xml:space="preserve"> a to zabezpečovať odbornú prípravu policajtov.</w:t>
      </w:r>
    </w:p>
    <w:p w14:paraId="7EF15056" w14:textId="48EE53B6" w:rsidR="00EE25E0" w:rsidRDefault="00EE25E0" w:rsidP="00514FEE">
      <w:pPr>
        <w:tabs>
          <w:tab w:val="left" w:pos="709"/>
          <w:tab w:val="left" w:pos="4395"/>
          <w:tab w:val="left" w:pos="6946"/>
        </w:tabs>
        <w:jc w:val="both"/>
      </w:pPr>
    </w:p>
    <w:p w14:paraId="7A0E47ED" w14:textId="1FF92536" w:rsidR="00D55140" w:rsidRPr="00AE49D3" w:rsidRDefault="00D55140" w:rsidP="00514FEE">
      <w:pPr>
        <w:tabs>
          <w:tab w:val="left" w:pos="709"/>
          <w:tab w:val="left" w:pos="4395"/>
          <w:tab w:val="left" w:pos="6946"/>
        </w:tabs>
        <w:jc w:val="both"/>
        <w:rPr>
          <w:b/>
        </w:rPr>
      </w:pPr>
      <w:r w:rsidRPr="00AE49D3">
        <w:rPr>
          <w:b/>
        </w:rPr>
        <w:t>K bodu 23 a 24 (§ 37 ods. 1 a 2)</w:t>
      </w:r>
    </w:p>
    <w:p w14:paraId="3415484F" w14:textId="2ED69B65" w:rsidR="00D55140" w:rsidRDefault="00D55140" w:rsidP="00514FEE">
      <w:pPr>
        <w:tabs>
          <w:tab w:val="left" w:pos="709"/>
          <w:tab w:val="left" w:pos="4395"/>
          <w:tab w:val="left" w:pos="6946"/>
        </w:tabs>
        <w:jc w:val="both"/>
      </w:pPr>
      <w:r>
        <w:t>P</w:t>
      </w:r>
      <w:r w:rsidRPr="00D55140">
        <w:t>ôvodné hodnoty pokút boli prepočítané na eurá</w:t>
      </w:r>
      <w:r>
        <w:t>.</w:t>
      </w:r>
    </w:p>
    <w:p w14:paraId="7A144695" w14:textId="7938D5AB" w:rsidR="00211EB1" w:rsidRDefault="00211EB1" w:rsidP="00514FEE">
      <w:pPr>
        <w:tabs>
          <w:tab w:val="left" w:pos="709"/>
          <w:tab w:val="left" w:pos="4395"/>
          <w:tab w:val="left" w:pos="6946"/>
        </w:tabs>
        <w:jc w:val="both"/>
      </w:pPr>
    </w:p>
    <w:p w14:paraId="1469FEC7" w14:textId="30396C07" w:rsidR="00211EB1" w:rsidRPr="00C85950" w:rsidRDefault="00211EB1" w:rsidP="00514FEE">
      <w:pPr>
        <w:tabs>
          <w:tab w:val="left" w:pos="709"/>
          <w:tab w:val="left" w:pos="4395"/>
          <w:tab w:val="left" w:pos="6946"/>
        </w:tabs>
        <w:jc w:val="both"/>
        <w:rPr>
          <w:b/>
        </w:rPr>
      </w:pPr>
      <w:r w:rsidRPr="00C85950">
        <w:rPr>
          <w:b/>
        </w:rPr>
        <w:t>K bodu 25</w:t>
      </w:r>
      <w:r w:rsidR="0082121D">
        <w:rPr>
          <w:b/>
        </w:rPr>
        <w:t xml:space="preserve"> (§ 37 ods. 2 písm. d))</w:t>
      </w:r>
    </w:p>
    <w:p w14:paraId="6291F610" w14:textId="77777777" w:rsidR="0082121D" w:rsidRDefault="0082121D" w:rsidP="0082121D">
      <w:pPr>
        <w:tabs>
          <w:tab w:val="left" w:pos="709"/>
          <w:tab w:val="left" w:pos="4395"/>
          <w:tab w:val="left" w:pos="6946"/>
        </w:tabs>
        <w:jc w:val="both"/>
      </w:pPr>
      <w:r w:rsidRPr="00D368ED">
        <w:t xml:space="preserve">Upravuje sa skutková podstata správneho deliktu v súvislosti nedodržaním maximálneho týždenného pracovného času mobilných zamestnancov. </w:t>
      </w:r>
    </w:p>
    <w:p w14:paraId="7338D3ED" w14:textId="77777777" w:rsidR="00D55140" w:rsidRPr="00DA7E48" w:rsidRDefault="00D55140" w:rsidP="00514FEE">
      <w:pPr>
        <w:tabs>
          <w:tab w:val="left" w:pos="709"/>
          <w:tab w:val="left" w:pos="4395"/>
          <w:tab w:val="left" w:pos="6946"/>
        </w:tabs>
        <w:jc w:val="both"/>
      </w:pPr>
    </w:p>
    <w:p w14:paraId="75E8D7F9" w14:textId="0B94067E" w:rsidR="00F20DF4" w:rsidRPr="00DA7E48" w:rsidRDefault="00F20DF4" w:rsidP="00514FEE">
      <w:pPr>
        <w:tabs>
          <w:tab w:val="left" w:pos="709"/>
          <w:tab w:val="left" w:pos="4395"/>
          <w:tab w:val="left" w:pos="6946"/>
        </w:tabs>
        <w:jc w:val="both"/>
        <w:rPr>
          <w:b/>
        </w:rPr>
      </w:pPr>
      <w:r w:rsidRPr="00DA7E48">
        <w:rPr>
          <w:b/>
        </w:rPr>
        <w:t xml:space="preserve">K bodu </w:t>
      </w:r>
      <w:r w:rsidR="00900DF7">
        <w:rPr>
          <w:b/>
        </w:rPr>
        <w:t>2</w:t>
      </w:r>
      <w:r w:rsidR="00211EB1">
        <w:rPr>
          <w:b/>
        </w:rPr>
        <w:t>6</w:t>
      </w:r>
      <w:r w:rsidR="00C12156" w:rsidRPr="00DA7E48">
        <w:rPr>
          <w:b/>
        </w:rPr>
        <w:t xml:space="preserve"> </w:t>
      </w:r>
      <w:r w:rsidRPr="00DA7E48">
        <w:rPr>
          <w:b/>
        </w:rPr>
        <w:t>(§</w:t>
      </w:r>
      <w:r w:rsidR="008476AC" w:rsidRPr="00DA7E48">
        <w:rPr>
          <w:b/>
        </w:rPr>
        <w:t xml:space="preserve"> 37 ods. 2 písm. e</w:t>
      </w:r>
      <w:r w:rsidRPr="00DA7E48">
        <w:rPr>
          <w:b/>
        </w:rPr>
        <w:t>)</w:t>
      </w:r>
      <w:r w:rsidR="008476AC" w:rsidRPr="00DA7E48">
        <w:rPr>
          <w:b/>
        </w:rPr>
        <w:t>)</w:t>
      </w:r>
    </w:p>
    <w:p w14:paraId="4393E662" w14:textId="4E689392" w:rsidR="00F20DF4" w:rsidRPr="00DA7E48" w:rsidRDefault="003A4AC1" w:rsidP="00514FEE">
      <w:pPr>
        <w:tabs>
          <w:tab w:val="left" w:pos="709"/>
          <w:tab w:val="left" w:pos="4395"/>
          <w:tab w:val="left" w:pos="6946"/>
        </w:tabs>
        <w:jc w:val="both"/>
      </w:pPr>
      <w:r w:rsidRPr="00DA7E48">
        <w:t>Vodič je povinný doby pravidelného odpočinku čerpať mimo kabíny vozidla. Dopravný podnik je povinný</w:t>
      </w:r>
      <w:r w:rsidR="00B5608E">
        <w:t xml:space="preserve"> podľa nariadenia</w:t>
      </w:r>
      <w:r w:rsidR="00B5608E" w:rsidRPr="00DA7E48">
        <w:t xml:space="preserve"> Európskeho parlamentu a Rady (EÚ) 2020/1054 </w:t>
      </w:r>
      <w:r w:rsidRPr="00DA7E48">
        <w:t xml:space="preserve"> zabezpečiť ubytovanie vo vhodnom ubytovacom zariadení</w:t>
      </w:r>
      <w:r w:rsidR="00871591">
        <w:t xml:space="preserve"> a uhradiť náklady za ubytovanie vodiča</w:t>
      </w:r>
      <w:r w:rsidRPr="00DA7E48">
        <w:t>, z tohto dôvodu sa ustanovujú sankcie pre dopravný podnik</w:t>
      </w:r>
      <w:r w:rsidR="00F80E4E" w:rsidRPr="00DA7E48">
        <w:t>,</w:t>
      </w:r>
      <w:r w:rsidRPr="00DA7E48">
        <w:t xml:space="preserve"> ak túto povinnosť nezabezpečí.</w:t>
      </w:r>
    </w:p>
    <w:p w14:paraId="61657E1F" w14:textId="0DA45AAF" w:rsidR="00F20DF4" w:rsidRPr="00DA7E48" w:rsidRDefault="00F20DF4" w:rsidP="00514FEE">
      <w:pPr>
        <w:tabs>
          <w:tab w:val="left" w:pos="709"/>
          <w:tab w:val="left" w:pos="4395"/>
          <w:tab w:val="left" w:pos="6946"/>
        </w:tabs>
        <w:jc w:val="both"/>
      </w:pPr>
    </w:p>
    <w:p w14:paraId="727020CC" w14:textId="7FFAF86B" w:rsidR="00F20DF4" w:rsidRPr="00DA7E48" w:rsidRDefault="00F20DF4" w:rsidP="00514FEE">
      <w:pPr>
        <w:tabs>
          <w:tab w:val="left" w:pos="709"/>
          <w:tab w:val="left" w:pos="4395"/>
          <w:tab w:val="left" w:pos="6946"/>
        </w:tabs>
        <w:jc w:val="both"/>
        <w:rPr>
          <w:b/>
        </w:rPr>
      </w:pPr>
      <w:r w:rsidRPr="00DA7E48">
        <w:rPr>
          <w:b/>
        </w:rPr>
        <w:t xml:space="preserve">K bodu </w:t>
      </w:r>
      <w:r w:rsidR="00006D90" w:rsidRPr="00DA7E48">
        <w:rPr>
          <w:b/>
        </w:rPr>
        <w:t>2</w:t>
      </w:r>
      <w:r w:rsidR="00211EB1">
        <w:rPr>
          <w:b/>
        </w:rPr>
        <w:t>7</w:t>
      </w:r>
      <w:r w:rsidR="00C12156" w:rsidRPr="00DA7E48">
        <w:rPr>
          <w:b/>
        </w:rPr>
        <w:t xml:space="preserve"> </w:t>
      </w:r>
      <w:r w:rsidR="00C70BC5" w:rsidRPr="00DA7E48">
        <w:rPr>
          <w:b/>
        </w:rPr>
        <w:t>(§ 37 ods. 2 písm. h</w:t>
      </w:r>
      <w:r w:rsidRPr="00DA7E48">
        <w:rPr>
          <w:b/>
        </w:rPr>
        <w:t>))</w:t>
      </w:r>
    </w:p>
    <w:p w14:paraId="4A5F9005" w14:textId="75A1E4E8" w:rsidR="00E81C99" w:rsidRDefault="00E81C99" w:rsidP="00514FEE">
      <w:pPr>
        <w:tabs>
          <w:tab w:val="left" w:pos="709"/>
          <w:tab w:val="left" w:pos="4395"/>
          <w:tab w:val="left" w:pos="6946"/>
        </w:tabs>
        <w:jc w:val="both"/>
      </w:pPr>
      <w:r w:rsidRPr="00DA7E48">
        <w:t>Nariadenie Európskeho parlamentu a Rady (EÚ) 165/2014 podľa poslednej zmeny ustanovenej Nariadením Európskeho parlamentu a Rady (EÚ) 2020/1054 zavádza povinnosť pre dopravné podniky zabezpečiť podľa harmonogramu výmenu analógového, digitálneho a inteligentného tachografu prvej generácie za inteligentný tachograf druhej generácie, ak budú ich vozidlá vykonávať medzinárodnú prepravu</w:t>
      </w:r>
      <w:r w:rsidR="006907FB" w:rsidRPr="00DA7E48">
        <w:t>.</w:t>
      </w:r>
      <w:r w:rsidRPr="00DA7E48">
        <w:t xml:space="preserve"> Z tohto dôvodu sa </w:t>
      </w:r>
      <w:r w:rsidR="006907FB" w:rsidRPr="00DA7E48">
        <w:t xml:space="preserve">zavádzajú </w:t>
      </w:r>
      <w:r w:rsidRPr="00DA7E48">
        <w:t>sankcie za porušenie tejto povinnosti.</w:t>
      </w:r>
    </w:p>
    <w:p w14:paraId="5ED7A00D" w14:textId="71699FA8" w:rsidR="00900DF7" w:rsidRDefault="00900DF7" w:rsidP="00514FEE">
      <w:pPr>
        <w:tabs>
          <w:tab w:val="left" w:pos="709"/>
          <w:tab w:val="left" w:pos="4395"/>
          <w:tab w:val="left" w:pos="6946"/>
        </w:tabs>
        <w:jc w:val="both"/>
      </w:pPr>
    </w:p>
    <w:p w14:paraId="0EA5E4C2" w14:textId="5A1917C8" w:rsidR="00D158EB" w:rsidRDefault="00D158EB" w:rsidP="00D158EB">
      <w:pPr>
        <w:tabs>
          <w:tab w:val="left" w:pos="709"/>
          <w:tab w:val="left" w:pos="4395"/>
          <w:tab w:val="left" w:pos="6946"/>
        </w:tabs>
        <w:jc w:val="both"/>
        <w:rPr>
          <w:b/>
        </w:rPr>
      </w:pPr>
      <w:r>
        <w:rPr>
          <w:b/>
        </w:rPr>
        <w:t xml:space="preserve">K bodu </w:t>
      </w:r>
      <w:r w:rsidRPr="00A749C9">
        <w:rPr>
          <w:b/>
        </w:rPr>
        <w:t>2</w:t>
      </w:r>
      <w:r w:rsidR="00211EB1">
        <w:rPr>
          <w:b/>
        </w:rPr>
        <w:t>8</w:t>
      </w:r>
      <w:r w:rsidRPr="00A749C9">
        <w:rPr>
          <w:b/>
        </w:rPr>
        <w:t xml:space="preserve"> (§ 37 ods. </w:t>
      </w:r>
      <w:smartTag w:uri="urn:schemas-microsoft-com:office:smarttags" w:element="metricconverter">
        <w:smartTagPr>
          <w:attr w:name="ProductID" w:val="3 a"/>
        </w:smartTagPr>
        <w:r w:rsidRPr="00A749C9">
          <w:rPr>
            <w:b/>
          </w:rPr>
          <w:t>3 a</w:t>
        </w:r>
      </w:smartTag>
      <w:r w:rsidRPr="00A749C9">
        <w:rPr>
          <w:b/>
        </w:rPr>
        <w:t> 4)</w:t>
      </w:r>
    </w:p>
    <w:p w14:paraId="0D45AF89" w14:textId="77777777" w:rsidR="00D158EB" w:rsidRDefault="00D158EB" w:rsidP="00D158EB">
      <w:pPr>
        <w:tabs>
          <w:tab w:val="left" w:pos="709"/>
          <w:tab w:val="left" w:pos="4395"/>
          <w:tab w:val="left" w:pos="6946"/>
        </w:tabs>
        <w:jc w:val="both"/>
      </w:pPr>
      <w:r>
        <w:t>P</w:t>
      </w:r>
      <w:r w:rsidRPr="00D55140">
        <w:t>ôvodné hodnoty pokút boli prepočítané na eurá</w:t>
      </w:r>
      <w:r>
        <w:t>.</w:t>
      </w:r>
    </w:p>
    <w:p w14:paraId="1480E449" w14:textId="77777777" w:rsidR="00D158EB" w:rsidRDefault="00D158EB" w:rsidP="00514FEE">
      <w:pPr>
        <w:tabs>
          <w:tab w:val="left" w:pos="709"/>
          <w:tab w:val="left" w:pos="4395"/>
          <w:tab w:val="left" w:pos="6946"/>
        </w:tabs>
        <w:jc w:val="both"/>
      </w:pPr>
    </w:p>
    <w:p w14:paraId="0B013310" w14:textId="0FB237B0" w:rsidR="00900DF7" w:rsidRPr="00D368ED" w:rsidRDefault="00900DF7" w:rsidP="00514FEE">
      <w:pPr>
        <w:tabs>
          <w:tab w:val="left" w:pos="709"/>
          <w:tab w:val="left" w:pos="4395"/>
          <w:tab w:val="left" w:pos="6946"/>
        </w:tabs>
        <w:jc w:val="both"/>
        <w:rPr>
          <w:b/>
        </w:rPr>
      </w:pPr>
      <w:r w:rsidRPr="00D368ED">
        <w:rPr>
          <w:b/>
        </w:rPr>
        <w:lastRenderedPageBreak/>
        <w:t>K bodu 2</w:t>
      </w:r>
      <w:r w:rsidR="00211EB1">
        <w:rPr>
          <w:b/>
        </w:rPr>
        <w:t>9</w:t>
      </w:r>
      <w:r w:rsidRPr="00D368ED">
        <w:rPr>
          <w:b/>
        </w:rPr>
        <w:t xml:space="preserve"> (§ 37 ods. 3 písm. a))</w:t>
      </w:r>
    </w:p>
    <w:p w14:paraId="167D6EFB" w14:textId="3BCA1EDE" w:rsidR="00900DF7" w:rsidRDefault="00D368ED" w:rsidP="00514FEE">
      <w:pPr>
        <w:tabs>
          <w:tab w:val="left" w:pos="709"/>
          <w:tab w:val="left" w:pos="4395"/>
          <w:tab w:val="left" w:pos="6946"/>
        </w:tabs>
        <w:jc w:val="both"/>
      </w:pPr>
      <w:r w:rsidRPr="00D368ED">
        <w:t xml:space="preserve">Upravuje sa skutková podstata správneho deliktu v súvislosti nedodržaním maximálneho týždenného pracovného času mobilných zamestnancov. </w:t>
      </w:r>
    </w:p>
    <w:p w14:paraId="69533919" w14:textId="4F5C5631" w:rsidR="00900DF7" w:rsidRDefault="00900DF7" w:rsidP="00514FEE">
      <w:pPr>
        <w:tabs>
          <w:tab w:val="left" w:pos="709"/>
          <w:tab w:val="left" w:pos="4395"/>
          <w:tab w:val="left" w:pos="6946"/>
        </w:tabs>
        <w:jc w:val="both"/>
      </w:pPr>
    </w:p>
    <w:p w14:paraId="2463726A" w14:textId="0C6AF2A9" w:rsidR="00900DF7" w:rsidRPr="00A749C9" w:rsidRDefault="00900DF7" w:rsidP="00514FEE">
      <w:pPr>
        <w:tabs>
          <w:tab w:val="left" w:pos="709"/>
          <w:tab w:val="left" w:pos="4395"/>
          <w:tab w:val="left" w:pos="6946"/>
        </w:tabs>
        <w:jc w:val="both"/>
        <w:rPr>
          <w:b/>
        </w:rPr>
      </w:pPr>
      <w:r w:rsidRPr="00A749C9">
        <w:rPr>
          <w:b/>
        </w:rPr>
        <w:t xml:space="preserve">K bodu </w:t>
      </w:r>
      <w:r w:rsidR="00211EB1">
        <w:rPr>
          <w:b/>
        </w:rPr>
        <w:t>30</w:t>
      </w:r>
      <w:r w:rsidR="00211EB1" w:rsidRPr="00A749C9">
        <w:rPr>
          <w:b/>
        </w:rPr>
        <w:t xml:space="preserve"> </w:t>
      </w:r>
      <w:r w:rsidR="00927C81" w:rsidRPr="00A749C9">
        <w:rPr>
          <w:b/>
        </w:rPr>
        <w:t>(§ 37 ods. 3 písm. b) a c))</w:t>
      </w:r>
    </w:p>
    <w:p w14:paraId="608FB91F" w14:textId="292766B9" w:rsidR="00927C81" w:rsidRPr="00DA7E48" w:rsidRDefault="00927C81" w:rsidP="00514FEE">
      <w:pPr>
        <w:tabs>
          <w:tab w:val="left" w:pos="709"/>
          <w:tab w:val="left" w:pos="4395"/>
          <w:tab w:val="left" w:pos="6946"/>
        </w:tabs>
        <w:jc w:val="both"/>
      </w:pPr>
      <w:r>
        <w:t>Zavádzajú sa nové skutkové podstaty správnych deliktov pre zamestnávateľa alebo dopravný  podnik.</w:t>
      </w:r>
    </w:p>
    <w:p w14:paraId="441FB591" w14:textId="77777777" w:rsidR="00D158EB" w:rsidRDefault="00D158EB" w:rsidP="00D158EB">
      <w:pPr>
        <w:tabs>
          <w:tab w:val="left" w:pos="709"/>
          <w:tab w:val="left" w:pos="4395"/>
          <w:tab w:val="left" w:pos="6946"/>
        </w:tabs>
        <w:jc w:val="both"/>
        <w:rPr>
          <w:b/>
        </w:rPr>
      </w:pPr>
    </w:p>
    <w:p w14:paraId="7C79B72E" w14:textId="605EE2DA" w:rsidR="00D158EB" w:rsidRPr="00DA7E48" w:rsidRDefault="00D158EB" w:rsidP="00D158EB">
      <w:pPr>
        <w:tabs>
          <w:tab w:val="left" w:pos="709"/>
          <w:tab w:val="left" w:pos="4395"/>
          <w:tab w:val="left" w:pos="6946"/>
        </w:tabs>
        <w:jc w:val="both"/>
        <w:rPr>
          <w:b/>
        </w:rPr>
      </w:pPr>
      <w:r w:rsidRPr="00DA7E48">
        <w:rPr>
          <w:b/>
        </w:rPr>
        <w:t xml:space="preserve">K bodu </w:t>
      </w:r>
      <w:r w:rsidR="00211EB1">
        <w:rPr>
          <w:b/>
        </w:rPr>
        <w:t>31</w:t>
      </w:r>
      <w:r w:rsidR="00211EB1" w:rsidRPr="00DA7E48">
        <w:rPr>
          <w:b/>
        </w:rPr>
        <w:t xml:space="preserve"> </w:t>
      </w:r>
      <w:r w:rsidRPr="00DA7E48">
        <w:rPr>
          <w:b/>
        </w:rPr>
        <w:t xml:space="preserve">(§ 37 ods. 3 písm. </w:t>
      </w:r>
      <w:r>
        <w:rPr>
          <w:b/>
        </w:rPr>
        <w:t>f</w:t>
      </w:r>
      <w:r w:rsidRPr="00DA7E48">
        <w:rPr>
          <w:b/>
        </w:rPr>
        <w:t>))</w:t>
      </w:r>
    </w:p>
    <w:p w14:paraId="647547B6" w14:textId="77777777" w:rsidR="00D158EB" w:rsidRPr="00DA7E48" w:rsidRDefault="00D158EB" w:rsidP="00D158EB">
      <w:pPr>
        <w:jc w:val="both"/>
      </w:pPr>
      <w:r w:rsidRPr="00DA7E48">
        <w:t>Nariadenie Komisie (EÚ) č. 581/2010 týkajúce sa maximálnych lehôt na ukladanie relevantných údajov z jednotiek vozidla a z kariet vodiča ustanovuje lehotu 90 dní a nie 3 mesiace</w:t>
      </w:r>
      <w:r>
        <w:t>.</w:t>
      </w:r>
      <w:r w:rsidRPr="00DA7E48">
        <w:t xml:space="preserve"> </w:t>
      </w:r>
    </w:p>
    <w:p w14:paraId="7F90FCF8" w14:textId="3331BECE" w:rsidR="004F2F5A" w:rsidRDefault="004F2F5A" w:rsidP="00514FEE">
      <w:pPr>
        <w:tabs>
          <w:tab w:val="left" w:pos="709"/>
          <w:tab w:val="left" w:pos="4395"/>
          <w:tab w:val="left" w:pos="6946"/>
        </w:tabs>
        <w:jc w:val="both"/>
        <w:rPr>
          <w:b/>
        </w:rPr>
      </w:pPr>
      <w:r w:rsidRPr="00A749C9">
        <w:rPr>
          <w:b/>
        </w:rPr>
        <w:t>K bod</w:t>
      </w:r>
      <w:r w:rsidR="00D158EB">
        <w:rPr>
          <w:b/>
        </w:rPr>
        <w:t>u</w:t>
      </w:r>
      <w:r w:rsidRPr="00A749C9">
        <w:rPr>
          <w:b/>
        </w:rPr>
        <w:t xml:space="preserve"> </w:t>
      </w:r>
      <w:r w:rsidR="00211EB1" w:rsidRPr="00A749C9">
        <w:rPr>
          <w:b/>
        </w:rPr>
        <w:t>3</w:t>
      </w:r>
      <w:r w:rsidR="00211EB1">
        <w:rPr>
          <w:b/>
        </w:rPr>
        <w:t>2</w:t>
      </w:r>
      <w:r w:rsidR="00211EB1" w:rsidRPr="00A749C9">
        <w:rPr>
          <w:b/>
        </w:rPr>
        <w:t xml:space="preserve"> </w:t>
      </w:r>
      <w:r w:rsidRPr="00A749C9">
        <w:rPr>
          <w:b/>
        </w:rPr>
        <w:t>( § 37 ods. 8 písm. b))</w:t>
      </w:r>
    </w:p>
    <w:p w14:paraId="2402F6F2" w14:textId="133275C1" w:rsidR="004F2F5A" w:rsidRDefault="004F2F5A" w:rsidP="004F2F5A">
      <w:pPr>
        <w:tabs>
          <w:tab w:val="left" w:pos="709"/>
          <w:tab w:val="left" w:pos="4395"/>
          <w:tab w:val="left" w:pos="6946"/>
        </w:tabs>
        <w:jc w:val="both"/>
      </w:pPr>
      <w:r>
        <w:t>P</w:t>
      </w:r>
      <w:r w:rsidRPr="00D55140">
        <w:t>ôvodné hodnoty pokút boli prepočítané na eurá</w:t>
      </w:r>
      <w:r>
        <w:t>.</w:t>
      </w:r>
    </w:p>
    <w:p w14:paraId="1DA46988" w14:textId="77777777" w:rsidR="00EE25E0" w:rsidRPr="00DA7E48" w:rsidRDefault="00EE25E0" w:rsidP="00EE25E0">
      <w:pPr>
        <w:tabs>
          <w:tab w:val="left" w:pos="709"/>
          <w:tab w:val="left" w:pos="4395"/>
          <w:tab w:val="left" w:pos="6946"/>
        </w:tabs>
        <w:jc w:val="both"/>
        <w:rPr>
          <w:b/>
        </w:rPr>
      </w:pPr>
    </w:p>
    <w:p w14:paraId="020717A9" w14:textId="1671B71C" w:rsidR="00EE25E0" w:rsidRPr="00DA7E48" w:rsidRDefault="00387A4C" w:rsidP="00EE25E0">
      <w:pPr>
        <w:tabs>
          <w:tab w:val="left" w:pos="709"/>
          <w:tab w:val="left" w:pos="4395"/>
          <w:tab w:val="left" w:pos="6946"/>
        </w:tabs>
        <w:jc w:val="both"/>
        <w:rPr>
          <w:b/>
        </w:rPr>
      </w:pPr>
      <w:r w:rsidRPr="00DA7E48">
        <w:rPr>
          <w:b/>
        </w:rPr>
        <w:t xml:space="preserve">K bodu </w:t>
      </w:r>
      <w:r w:rsidR="00297C61">
        <w:rPr>
          <w:b/>
        </w:rPr>
        <w:t>3</w:t>
      </w:r>
      <w:r w:rsidR="00211EB1">
        <w:rPr>
          <w:b/>
        </w:rPr>
        <w:t>3</w:t>
      </w:r>
      <w:r w:rsidR="00297C61" w:rsidRPr="00DA7E48">
        <w:rPr>
          <w:b/>
        </w:rPr>
        <w:t xml:space="preserve"> </w:t>
      </w:r>
      <w:r w:rsidR="00EE25E0" w:rsidRPr="00DA7E48">
        <w:rPr>
          <w:b/>
        </w:rPr>
        <w:t>(§ 3</w:t>
      </w:r>
      <w:r w:rsidR="001F5C0E" w:rsidRPr="00DA7E48">
        <w:rPr>
          <w:b/>
        </w:rPr>
        <w:t>8</w:t>
      </w:r>
      <w:r w:rsidR="00EE25E0" w:rsidRPr="00DA7E48">
        <w:rPr>
          <w:b/>
        </w:rPr>
        <w:t xml:space="preserve"> ods. </w:t>
      </w:r>
      <w:r w:rsidR="001F5C0E" w:rsidRPr="00DA7E48">
        <w:rPr>
          <w:b/>
        </w:rPr>
        <w:t>1</w:t>
      </w:r>
      <w:r w:rsidR="00EE25E0" w:rsidRPr="00DA7E48">
        <w:rPr>
          <w:b/>
        </w:rPr>
        <w:t xml:space="preserve"> písm. </w:t>
      </w:r>
      <w:r w:rsidR="001F5C0E" w:rsidRPr="00DA7E48">
        <w:rPr>
          <w:b/>
        </w:rPr>
        <w:t>b</w:t>
      </w:r>
      <w:r w:rsidR="00EE25E0" w:rsidRPr="00DA7E48">
        <w:rPr>
          <w:b/>
        </w:rPr>
        <w:t>)</w:t>
      </w:r>
      <w:r w:rsidR="002A4C17">
        <w:rPr>
          <w:b/>
        </w:rPr>
        <w:t xml:space="preserve"> až d)</w:t>
      </w:r>
      <w:r w:rsidR="00EE25E0" w:rsidRPr="00DA7E48">
        <w:rPr>
          <w:b/>
        </w:rPr>
        <w:t>)</w:t>
      </w:r>
    </w:p>
    <w:p w14:paraId="1E5B5D61" w14:textId="395EE438" w:rsidR="002A4C17" w:rsidRPr="00DA7E48" w:rsidRDefault="001F5C0E" w:rsidP="002A4C17">
      <w:pPr>
        <w:tabs>
          <w:tab w:val="left" w:pos="709"/>
          <w:tab w:val="left" w:pos="4395"/>
          <w:tab w:val="left" w:pos="6946"/>
        </w:tabs>
        <w:jc w:val="both"/>
      </w:pPr>
      <w:r w:rsidRPr="00DA7E48">
        <w:t>Ide o</w:t>
      </w:r>
      <w:r w:rsidR="00297C61">
        <w:t xml:space="preserve"> nové </w:t>
      </w:r>
      <w:r w:rsidRPr="00DA7E48">
        <w:t xml:space="preserve">rozčlenenie </w:t>
      </w:r>
      <w:r w:rsidR="00297C61">
        <w:t xml:space="preserve">alebo precizovanie skutkových podstát </w:t>
      </w:r>
      <w:r w:rsidRPr="00DA7E48">
        <w:t>priestupk</w:t>
      </w:r>
      <w:r w:rsidR="00297C61">
        <w:t>ov.</w:t>
      </w:r>
      <w:r w:rsidRPr="00DA7E48">
        <w:t>.</w:t>
      </w:r>
      <w:r w:rsidR="002A4C17">
        <w:t xml:space="preserve"> </w:t>
      </w:r>
      <w:r w:rsidR="00297C61">
        <w:t>O</w:t>
      </w:r>
      <w:r w:rsidR="002A4C17" w:rsidRPr="00DA7E48">
        <w:t>dpočinok, riadna dovolenka a</w:t>
      </w:r>
      <w:r w:rsidR="00297C61">
        <w:t> </w:t>
      </w:r>
      <w:r w:rsidR="002A4C17" w:rsidRPr="00DA7E48">
        <w:t>práceneschopnosť</w:t>
      </w:r>
      <w:r w:rsidR="00297C61">
        <w:t xml:space="preserve"> budú zároveň</w:t>
      </w:r>
      <w:r w:rsidR="002A4C17" w:rsidRPr="00DA7E48">
        <w:t xml:space="preserve"> údaj</w:t>
      </w:r>
      <w:r w:rsidR="002A4C17">
        <w:t>mi</w:t>
      </w:r>
      <w:r w:rsidR="002A4C17" w:rsidRPr="00DA7E48">
        <w:t>, ktoré je potrebné zaznamenávať do tachografu</w:t>
      </w:r>
      <w:r w:rsidR="002A4C17">
        <w:t>.</w:t>
      </w:r>
    </w:p>
    <w:p w14:paraId="7C7B5796" w14:textId="77777777" w:rsidR="001F5C0E" w:rsidRPr="00DA7E48" w:rsidRDefault="001F5C0E" w:rsidP="00514FEE">
      <w:pPr>
        <w:tabs>
          <w:tab w:val="left" w:pos="709"/>
          <w:tab w:val="left" w:pos="4395"/>
          <w:tab w:val="left" w:pos="6946"/>
        </w:tabs>
        <w:jc w:val="both"/>
      </w:pPr>
    </w:p>
    <w:p w14:paraId="445F62C6" w14:textId="113434C1" w:rsidR="00F20DF4" w:rsidRPr="00DA7E48" w:rsidRDefault="00F20DF4" w:rsidP="00514FEE">
      <w:pPr>
        <w:tabs>
          <w:tab w:val="left" w:pos="709"/>
          <w:tab w:val="left" w:pos="4395"/>
          <w:tab w:val="left" w:pos="6946"/>
        </w:tabs>
        <w:jc w:val="both"/>
        <w:rPr>
          <w:b/>
        </w:rPr>
      </w:pPr>
      <w:r w:rsidRPr="00DA7E48">
        <w:rPr>
          <w:b/>
        </w:rPr>
        <w:t xml:space="preserve">K bodu </w:t>
      </w:r>
      <w:r w:rsidR="00211EB1">
        <w:rPr>
          <w:b/>
        </w:rPr>
        <w:t>34</w:t>
      </w:r>
      <w:r w:rsidR="00211EB1" w:rsidRPr="00DA7E48">
        <w:rPr>
          <w:b/>
        </w:rPr>
        <w:t xml:space="preserve"> </w:t>
      </w:r>
      <w:r w:rsidR="001315D1" w:rsidRPr="00DA7E48">
        <w:rPr>
          <w:b/>
        </w:rPr>
        <w:t>(§ 38 ods. 1</w:t>
      </w:r>
      <w:r w:rsidR="00E34D20" w:rsidRPr="00DA7E48">
        <w:rPr>
          <w:b/>
        </w:rPr>
        <w:t xml:space="preserve"> písm.</w:t>
      </w:r>
      <w:r w:rsidR="00C56666" w:rsidRPr="00DA7E48">
        <w:rPr>
          <w:b/>
        </w:rPr>
        <w:t xml:space="preserve"> </w:t>
      </w:r>
      <w:r w:rsidR="0012580D" w:rsidRPr="00DA7E48">
        <w:rPr>
          <w:b/>
        </w:rPr>
        <w:t xml:space="preserve">c) a </w:t>
      </w:r>
      <w:r w:rsidR="001F5C0E" w:rsidRPr="00DA7E48">
        <w:rPr>
          <w:b/>
        </w:rPr>
        <w:t>g</w:t>
      </w:r>
      <w:r w:rsidR="00E34D20" w:rsidRPr="00DA7E48">
        <w:rPr>
          <w:b/>
        </w:rPr>
        <w:t>))</w:t>
      </w:r>
    </w:p>
    <w:p w14:paraId="5BA59041" w14:textId="6DCDDBA4" w:rsidR="001674FA" w:rsidRPr="00DA7E48" w:rsidRDefault="00B5608E" w:rsidP="001674FA">
      <w:pPr>
        <w:jc w:val="both"/>
      </w:pPr>
      <w:r>
        <w:t>N</w:t>
      </w:r>
      <w:r w:rsidR="001674FA" w:rsidRPr="00DA7E48">
        <w:t>ariadeni</w:t>
      </w:r>
      <w:r>
        <w:t>e</w:t>
      </w:r>
      <w:r w:rsidR="001674FA" w:rsidRPr="00DA7E48">
        <w:t xml:space="preserve"> Európskeho parlamentu a Rady (EÚ) 561/2006</w:t>
      </w:r>
      <w:r>
        <w:t xml:space="preserve"> v znení n</w:t>
      </w:r>
      <w:r w:rsidRPr="00DA7E48">
        <w:t>ariaden</w:t>
      </w:r>
      <w:r>
        <w:t>ia</w:t>
      </w:r>
      <w:r w:rsidRPr="00DA7E48">
        <w:t xml:space="preserve"> Európskeho parlamentu a Rady (EÚ) 2020/1054 </w:t>
      </w:r>
      <w:r w:rsidR="001674FA" w:rsidRPr="00DA7E48">
        <w:t xml:space="preserve"> ustanovuje povinnosť predložiť pri cestných kontrolách záznamy o časoch jazdy a doby odpočinku počas dňa kontroly a počas predchádzajúcich 56 dní. Táto zmena nadobúda účinnosť 31. decembra 2024.</w:t>
      </w:r>
    </w:p>
    <w:p w14:paraId="36BBBEA4" w14:textId="5B8D7D4E" w:rsidR="00A530AA" w:rsidRPr="00DA7E48" w:rsidRDefault="00A530AA" w:rsidP="00514FEE">
      <w:pPr>
        <w:tabs>
          <w:tab w:val="left" w:pos="709"/>
          <w:tab w:val="left" w:pos="4395"/>
          <w:tab w:val="left" w:pos="6946"/>
        </w:tabs>
        <w:jc w:val="both"/>
      </w:pPr>
    </w:p>
    <w:p w14:paraId="70021C8D" w14:textId="7D939CAA" w:rsidR="003074B0" w:rsidRPr="00DA7E48" w:rsidRDefault="00A530AA" w:rsidP="00514FEE">
      <w:pPr>
        <w:tabs>
          <w:tab w:val="left" w:pos="709"/>
          <w:tab w:val="left" w:pos="4395"/>
          <w:tab w:val="left" w:pos="6946"/>
        </w:tabs>
        <w:jc w:val="both"/>
        <w:rPr>
          <w:b/>
        </w:rPr>
      </w:pPr>
      <w:r w:rsidRPr="00DA7E48">
        <w:rPr>
          <w:b/>
        </w:rPr>
        <w:t xml:space="preserve">K bodu </w:t>
      </w:r>
      <w:r w:rsidR="00211EB1">
        <w:rPr>
          <w:b/>
        </w:rPr>
        <w:t>35</w:t>
      </w:r>
      <w:r w:rsidR="00211EB1" w:rsidRPr="00DA7E48">
        <w:rPr>
          <w:b/>
        </w:rPr>
        <w:t xml:space="preserve"> </w:t>
      </w:r>
      <w:r w:rsidR="00274B33" w:rsidRPr="00DA7E48">
        <w:rPr>
          <w:b/>
        </w:rPr>
        <w:t>(</w:t>
      </w:r>
      <w:r w:rsidR="00664013" w:rsidRPr="00DA7E48">
        <w:rPr>
          <w:b/>
        </w:rPr>
        <w:t xml:space="preserve">§ 38 ods. 1 písm. </w:t>
      </w:r>
      <w:r w:rsidR="00A85C36" w:rsidRPr="00DA7E48">
        <w:rPr>
          <w:b/>
        </w:rPr>
        <w:t>k</w:t>
      </w:r>
      <w:r w:rsidR="00664013" w:rsidRPr="00DA7E48">
        <w:rPr>
          <w:b/>
        </w:rPr>
        <w:t>))</w:t>
      </w:r>
    </w:p>
    <w:p w14:paraId="19CE655B" w14:textId="2B1329F1" w:rsidR="00A85C36" w:rsidRDefault="00A85C36" w:rsidP="00514FEE">
      <w:pPr>
        <w:tabs>
          <w:tab w:val="left" w:pos="709"/>
          <w:tab w:val="left" w:pos="4395"/>
          <w:tab w:val="left" w:pos="6946"/>
        </w:tabs>
        <w:jc w:val="both"/>
      </w:pPr>
      <w:r w:rsidRPr="00DA7E48">
        <w:t xml:space="preserve">Vodič je povinný zaznamenávať začiatok a koniec pracovnej zmeny, vykonávať záznamy o  prekročení hranice, záznamy miesta nakládky a vykládky a z tohto dôvodu sa </w:t>
      </w:r>
      <w:r w:rsidR="000F6B88" w:rsidRPr="00DA7E48">
        <w:t>upravujú príslušné ustanovenia.</w:t>
      </w:r>
    </w:p>
    <w:p w14:paraId="193CBC53" w14:textId="02A0E884" w:rsidR="00CF40E5" w:rsidRDefault="00CF40E5" w:rsidP="00514FEE">
      <w:pPr>
        <w:tabs>
          <w:tab w:val="left" w:pos="709"/>
          <w:tab w:val="left" w:pos="4395"/>
          <w:tab w:val="left" w:pos="6946"/>
        </w:tabs>
        <w:jc w:val="both"/>
      </w:pPr>
    </w:p>
    <w:p w14:paraId="7204B9D6" w14:textId="22EE219E" w:rsidR="00CF40E5" w:rsidRDefault="00CF40E5" w:rsidP="00514FEE">
      <w:pPr>
        <w:tabs>
          <w:tab w:val="left" w:pos="709"/>
          <w:tab w:val="left" w:pos="4395"/>
          <w:tab w:val="left" w:pos="6946"/>
        </w:tabs>
        <w:jc w:val="both"/>
        <w:rPr>
          <w:b/>
        </w:rPr>
      </w:pPr>
      <w:r w:rsidRPr="00A749C9">
        <w:rPr>
          <w:b/>
        </w:rPr>
        <w:t xml:space="preserve">K bodu </w:t>
      </w:r>
      <w:r w:rsidR="00211EB1" w:rsidRPr="00A749C9">
        <w:rPr>
          <w:b/>
        </w:rPr>
        <w:t>3</w:t>
      </w:r>
      <w:r w:rsidR="00211EB1">
        <w:rPr>
          <w:b/>
        </w:rPr>
        <w:t>6</w:t>
      </w:r>
      <w:r w:rsidR="00211EB1" w:rsidRPr="00A749C9">
        <w:rPr>
          <w:b/>
        </w:rPr>
        <w:t xml:space="preserve"> </w:t>
      </w:r>
      <w:r w:rsidRPr="00A749C9">
        <w:rPr>
          <w:b/>
        </w:rPr>
        <w:t>(§ 38 ods. 1 písm. p))</w:t>
      </w:r>
    </w:p>
    <w:p w14:paraId="55F2D14C" w14:textId="5B6D7074" w:rsidR="00CF40E5" w:rsidRDefault="00CF40E5" w:rsidP="00CF40E5">
      <w:pPr>
        <w:jc w:val="both"/>
      </w:pPr>
      <w:r>
        <w:t>Legislatívno-technická úprava súvisiaca s úpravou v bode 36.</w:t>
      </w:r>
    </w:p>
    <w:p w14:paraId="49462CB3" w14:textId="77777777" w:rsidR="00CF40E5" w:rsidRPr="00DA7E48" w:rsidRDefault="00CF40E5" w:rsidP="00514FEE">
      <w:pPr>
        <w:tabs>
          <w:tab w:val="left" w:pos="709"/>
          <w:tab w:val="left" w:pos="4395"/>
          <w:tab w:val="left" w:pos="6946"/>
        </w:tabs>
        <w:jc w:val="both"/>
      </w:pPr>
    </w:p>
    <w:p w14:paraId="48EC0F75" w14:textId="133A678A" w:rsidR="00F20DF4" w:rsidRPr="00DA7E48" w:rsidRDefault="00F20DF4" w:rsidP="00514FEE">
      <w:pPr>
        <w:tabs>
          <w:tab w:val="left" w:pos="709"/>
          <w:tab w:val="left" w:pos="4395"/>
          <w:tab w:val="left" w:pos="6946"/>
        </w:tabs>
        <w:jc w:val="both"/>
        <w:rPr>
          <w:b/>
        </w:rPr>
      </w:pPr>
      <w:r w:rsidRPr="00DA7E48">
        <w:rPr>
          <w:b/>
        </w:rPr>
        <w:t xml:space="preserve">K bodu </w:t>
      </w:r>
      <w:r w:rsidR="00211EB1">
        <w:rPr>
          <w:b/>
        </w:rPr>
        <w:t>37</w:t>
      </w:r>
      <w:r w:rsidR="00211EB1" w:rsidRPr="00DA7E48">
        <w:rPr>
          <w:b/>
        </w:rPr>
        <w:t xml:space="preserve"> </w:t>
      </w:r>
      <w:r w:rsidR="009A73C8" w:rsidRPr="00DA7E48">
        <w:rPr>
          <w:b/>
        </w:rPr>
        <w:t>(§ 38 sa od</w:t>
      </w:r>
      <w:r w:rsidR="001B33D4" w:rsidRPr="00DA7E48">
        <w:rPr>
          <w:b/>
        </w:rPr>
        <w:t>s.</w:t>
      </w:r>
      <w:r w:rsidR="009A73C8" w:rsidRPr="00DA7E48">
        <w:rPr>
          <w:b/>
        </w:rPr>
        <w:t xml:space="preserve"> 1 písm. </w:t>
      </w:r>
      <w:r w:rsidR="00CF40E5">
        <w:rPr>
          <w:b/>
        </w:rPr>
        <w:t>q</w:t>
      </w:r>
      <w:r w:rsidR="009A73C8" w:rsidRPr="00DA7E48">
        <w:rPr>
          <w:b/>
        </w:rPr>
        <w:t>) a</w:t>
      </w:r>
      <w:r w:rsidR="00A85C36" w:rsidRPr="00DA7E48">
        <w:rPr>
          <w:b/>
        </w:rPr>
        <w:t xml:space="preserve">ž </w:t>
      </w:r>
      <w:r w:rsidR="00CF40E5">
        <w:rPr>
          <w:b/>
        </w:rPr>
        <w:t>u</w:t>
      </w:r>
      <w:r w:rsidR="009A73C8" w:rsidRPr="00DA7E48">
        <w:rPr>
          <w:b/>
        </w:rPr>
        <w:t>))</w:t>
      </w:r>
    </w:p>
    <w:p w14:paraId="6CB9BF90" w14:textId="288AA36D" w:rsidR="00103202" w:rsidRPr="00DA7E48" w:rsidRDefault="00D02F1B" w:rsidP="00514FEE">
      <w:pPr>
        <w:jc w:val="both"/>
      </w:pPr>
      <w:r w:rsidRPr="00DA7E48">
        <w:t>Dopĺňajú sa</w:t>
      </w:r>
      <w:r w:rsidR="00CF40E5">
        <w:t xml:space="preserve"> nové skutkové podstaty</w:t>
      </w:r>
      <w:r w:rsidRPr="00DA7E48">
        <w:t xml:space="preserve"> </w:t>
      </w:r>
      <w:r w:rsidR="00103202" w:rsidRPr="00DA7E48">
        <w:t>priestupk</w:t>
      </w:r>
      <w:r w:rsidR="00CF40E5">
        <w:t>ov.</w:t>
      </w:r>
    </w:p>
    <w:p w14:paraId="28DA9726" w14:textId="77777777" w:rsidR="009A73C8" w:rsidRPr="00DA7E48" w:rsidRDefault="009A73C8" w:rsidP="00514FEE">
      <w:pPr>
        <w:tabs>
          <w:tab w:val="left" w:pos="709"/>
          <w:tab w:val="left" w:pos="4395"/>
          <w:tab w:val="left" w:pos="6946"/>
        </w:tabs>
        <w:jc w:val="both"/>
      </w:pPr>
    </w:p>
    <w:p w14:paraId="56350374" w14:textId="3A6D5738" w:rsidR="00F20DF4" w:rsidRPr="00DA7E48" w:rsidRDefault="00F20DF4" w:rsidP="00514FEE">
      <w:pPr>
        <w:tabs>
          <w:tab w:val="left" w:pos="709"/>
          <w:tab w:val="left" w:pos="4395"/>
          <w:tab w:val="left" w:pos="6946"/>
        </w:tabs>
        <w:jc w:val="both"/>
        <w:rPr>
          <w:b/>
        </w:rPr>
      </w:pPr>
      <w:r w:rsidRPr="00DA7E48">
        <w:rPr>
          <w:b/>
        </w:rPr>
        <w:t xml:space="preserve">K bodu </w:t>
      </w:r>
      <w:r w:rsidR="00211EB1">
        <w:rPr>
          <w:b/>
        </w:rPr>
        <w:t>38</w:t>
      </w:r>
      <w:r w:rsidR="00211EB1" w:rsidRPr="00DA7E48">
        <w:rPr>
          <w:b/>
        </w:rPr>
        <w:t xml:space="preserve"> </w:t>
      </w:r>
      <w:r w:rsidR="00E724B7" w:rsidRPr="00DA7E48">
        <w:rPr>
          <w:b/>
        </w:rPr>
        <w:t>(38 ods. 4 písm</w:t>
      </w:r>
      <w:r w:rsidR="00EE1DBA" w:rsidRPr="00DA7E48">
        <w:rPr>
          <w:b/>
        </w:rPr>
        <w:t>.</w:t>
      </w:r>
      <w:r w:rsidR="00946740" w:rsidRPr="00DA7E48">
        <w:rPr>
          <w:b/>
        </w:rPr>
        <w:t xml:space="preserve"> </w:t>
      </w:r>
      <w:r w:rsidR="00D02F1B" w:rsidRPr="00DA7E48">
        <w:rPr>
          <w:b/>
        </w:rPr>
        <w:t xml:space="preserve">a) až </w:t>
      </w:r>
      <w:r w:rsidR="001D4F22" w:rsidRPr="00DA7E48">
        <w:rPr>
          <w:b/>
        </w:rPr>
        <w:t>d</w:t>
      </w:r>
      <w:r w:rsidR="00E724B7" w:rsidRPr="00DA7E48">
        <w:rPr>
          <w:b/>
        </w:rPr>
        <w:t>))</w:t>
      </w:r>
    </w:p>
    <w:p w14:paraId="0A5191CF" w14:textId="77777777" w:rsidR="001D0912" w:rsidRDefault="00910DB5" w:rsidP="00514FEE">
      <w:pPr>
        <w:tabs>
          <w:tab w:val="left" w:pos="709"/>
          <w:tab w:val="left" w:pos="4395"/>
          <w:tab w:val="left" w:pos="6946"/>
        </w:tabs>
        <w:jc w:val="both"/>
      </w:pPr>
      <w:r w:rsidRPr="00DA7E48">
        <w:t xml:space="preserve">Ide o úpravu </w:t>
      </w:r>
      <w:r w:rsidR="00D02F1B" w:rsidRPr="00DA7E48">
        <w:t xml:space="preserve">pokút za príslušné </w:t>
      </w:r>
      <w:r w:rsidRPr="00DA7E48">
        <w:t>priestupk</w:t>
      </w:r>
      <w:r w:rsidR="00D02F1B" w:rsidRPr="00DA7E48">
        <w:t>y</w:t>
      </w:r>
      <w:r w:rsidRPr="00DA7E48">
        <w:t>.</w:t>
      </w:r>
      <w:r w:rsidR="006E15C6">
        <w:t xml:space="preserve"> Pokuty </w:t>
      </w:r>
      <w:r w:rsidR="006E15C6" w:rsidRPr="00DA7E48">
        <w:t xml:space="preserve">za porušenie právnych predpisov v oblasti sociálnej legislatívy v doprave </w:t>
      </w:r>
      <w:r w:rsidR="006E15C6">
        <w:t xml:space="preserve">sú </w:t>
      </w:r>
      <w:r w:rsidR="006E15C6" w:rsidRPr="00DA7E48">
        <w:t>v Slovenskej republike nižši</w:t>
      </w:r>
      <w:r w:rsidR="006E15C6">
        <w:t>e</w:t>
      </w:r>
      <w:r w:rsidR="006E15C6" w:rsidRPr="00DA7E48">
        <w:t xml:space="preserve"> ako v okolitých štátoch</w:t>
      </w:r>
      <w:r w:rsidR="006E15C6">
        <w:t xml:space="preserve">. Z tohto dôvodu </w:t>
      </w:r>
      <w:r w:rsidR="00CF40E5">
        <w:t xml:space="preserve">a </w:t>
      </w:r>
      <w:r w:rsidR="006E15C6">
        <w:t>vzhľadom na závažnosť príslušných priestupkov bol</w:t>
      </w:r>
      <w:r w:rsidR="00CF40E5">
        <w:t>a</w:t>
      </w:r>
      <w:r w:rsidR="006E15C6">
        <w:t xml:space="preserve"> upraven</w:t>
      </w:r>
      <w:r w:rsidR="00CF40E5">
        <w:t>á výška</w:t>
      </w:r>
      <w:r w:rsidR="006E15C6">
        <w:t xml:space="preserve"> pok</w:t>
      </w:r>
      <w:r w:rsidR="00CF40E5">
        <w:t>ú</w:t>
      </w:r>
      <w:r w:rsidR="006E15C6">
        <w:t xml:space="preserve">t za porušenie právnych predpisov v sociálnej legislatíve. Zároveň porušovanie právnych predpisov má vplyv na bezpečnosť cestnej premávky z tohto dôvodu, je potrebné aby vodiči dodržiavali sociálnu legislatívu. </w:t>
      </w:r>
    </w:p>
    <w:p w14:paraId="3FD4B9A1" w14:textId="77777777" w:rsidR="001D0912" w:rsidRDefault="001D0912" w:rsidP="00514FEE">
      <w:pPr>
        <w:tabs>
          <w:tab w:val="left" w:pos="709"/>
          <w:tab w:val="left" w:pos="4395"/>
          <w:tab w:val="left" w:pos="6946"/>
        </w:tabs>
        <w:jc w:val="both"/>
      </w:pPr>
    </w:p>
    <w:p w14:paraId="7A3899EE" w14:textId="7B938004" w:rsidR="00F20DF4" w:rsidRPr="00DA7E48" w:rsidRDefault="00F20DF4" w:rsidP="00514FEE">
      <w:pPr>
        <w:tabs>
          <w:tab w:val="left" w:pos="709"/>
          <w:tab w:val="left" w:pos="4395"/>
          <w:tab w:val="left" w:pos="6946"/>
        </w:tabs>
        <w:jc w:val="both"/>
        <w:rPr>
          <w:b/>
        </w:rPr>
      </w:pPr>
      <w:r w:rsidRPr="00DA7E48">
        <w:rPr>
          <w:b/>
        </w:rPr>
        <w:t xml:space="preserve">K bodu </w:t>
      </w:r>
      <w:r w:rsidR="00211EB1">
        <w:rPr>
          <w:b/>
        </w:rPr>
        <w:t>39</w:t>
      </w:r>
      <w:r w:rsidR="00211EB1" w:rsidRPr="00DA7E48">
        <w:rPr>
          <w:b/>
        </w:rPr>
        <w:t xml:space="preserve"> </w:t>
      </w:r>
      <w:r w:rsidR="00EE1DBA" w:rsidRPr="00DA7E48">
        <w:rPr>
          <w:b/>
        </w:rPr>
        <w:t>(§ 38 ods. 5</w:t>
      </w:r>
      <w:r w:rsidRPr="00DA7E48">
        <w:rPr>
          <w:b/>
        </w:rPr>
        <w:t>)</w:t>
      </w:r>
    </w:p>
    <w:p w14:paraId="57A436F7" w14:textId="0A8A7E3B" w:rsidR="00131CC0" w:rsidRPr="00DA7E48" w:rsidRDefault="00131CC0" w:rsidP="00514FEE">
      <w:pPr>
        <w:jc w:val="both"/>
      </w:pPr>
      <w:r w:rsidRPr="00DA7E48">
        <w:t xml:space="preserve">Výška blokovej pokuty za porušenie právnych predpisov v oblasti sociálnej legislatívy v doprave </w:t>
      </w:r>
      <w:r w:rsidR="00450247" w:rsidRPr="00DA7E48">
        <w:t xml:space="preserve">je </w:t>
      </w:r>
      <w:r w:rsidRPr="00DA7E48">
        <w:t>v Slovenskej republike</w:t>
      </w:r>
      <w:r w:rsidR="00450247" w:rsidRPr="00DA7E48">
        <w:t xml:space="preserve"> </w:t>
      </w:r>
      <w:r w:rsidRPr="00DA7E48">
        <w:t xml:space="preserve">nižšia ako v okolitých štátoch. Slovenská republika je tranzitnou krajinou a prax inšpektorov práce ukázala, že vodiči, ktorí sú si vedomí porušení právnych predpisov v oblasti sociálnej legislatívy v doprave radšej zvolia trasu cez Slovenskú </w:t>
      </w:r>
      <w:r w:rsidRPr="00DA7E48">
        <w:lastRenderedPageBreak/>
        <w:t>republiku a zaplatia pokutu v Slovenskej republike, pretože je nižšia ako v okolitých štátoch. Zvýšenie blokovej pokuty na navrhovanú sumu a súčasne zvýšenie sumy pokuty, ktorú je možné uložiť v </w:t>
      </w:r>
      <w:proofErr w:type="spellStart"/>
      <w:r w:rsidRPr="00DA7E48">
        <w:t>rozkaznom</w:t>
      </w:r>
      <w:proofErr w:type="spellEnd"/>
      <w:r w:rsidRPr="00DA7E48">
        <w:t xml:space="preserve"> konaní, bude viac motivovať vodičov k dodržiavaniu právnych predpisov a prispeje k zvýšeniu bezpečnosti na slovenských cestách. </w:t>
      </w:r>
    </w:p>
    <w:p w14:paraId="1CE23E28" w14:textId="2E775335" w:rsidR="00F20DF4" w:rsidRPr="00DA7E48" w:rsidRDefault="00F20DF4" w:rsidP="00514FEE">
      <w:pPr>
        <w:tabs>
          <w:tab w:val="left" w:pos="709"/>
          <w:tab w:val="left" w:pos="4395"/>
          <w:tab w:val="left" w:pos="6946"/>
        </w:tabs>
        <w:jc w:val="both"/>
      </w:pPr>
    </w:p>
    <w:p w14:paraId="32BFE774" w14:textId="1B21CFF9" w:rsidR="00F20DF4" w:rsidRPr="00DA7E48" w:rsidRDefault="00F20DF4" w:rsidP="00514FEE">
      <w:pPr>
        <w:tabs>
          <w:tab w:val="left" w:pos="709"/>
          <w:tab w:val="left" w:pos="4395"/>
          <w:tab w:val="left" w:pos="6946"/>
        </w:tabs>
        <w:jc w:val="both"/>
        <w:rPr>
          <w:b/>
        </w:rPr>
      </w:pPr>
      <w:r w:rsidRPr="00DA7E48">
        <w:rPr>
          <w:b/>
        </w:rPr>
        <w:t xml:space="preserve">K bodu </w:t>
      </w:r>
      <w:r w:rsidR="00211EB1">
        <w:rPr>
          <w:b/>
        </w:rPr>
        <w:t>40</w:t>
      </w:r>
      <w:r w:rsidR="00211EB1" w:rsidRPr="00DA7E48">
        <w:rPr>
          <w:b/>
        </w:rPr>
        <w:t xml:space="preserve"> </w:t>
      </w:r>
      <w:r w:rsidR="00B05B33" w:rsidRPr="00DA7E48">
        <w:rPr>
          <w:b/>
        </w:rPr>
        <w:t>(§ 38 ods. 6)</w:t>
      </w:r>
    </w:p>
    <w:p w14:paraId="03933CEF" w14:textId="7E4CF756" w:rsidR="0072154A" w:rsidRPr="00DA7E48" w:rsidRDefault="0072154A" w:rsidP="00514FEE">
      <w:pPr>
        <w:jc w:val="both"/>
      </w:pPr>
      <w:r w:rsidRPr="00DA7E48">
        <w:t xml:space="preserve">Odobrané karty </w:t>
      </w:r>
      <w:r w:rsidR="005F4371" w:rsidRPr="00DA7E48">
        <w:t xml:space="preserve">vodiča </w:t>
      </w:r>
      <w:r w:rsidRPr="00DA7E48">
        <w:t>je potrebné zaslať Ministerstvu dopravy a výstavby SR, ktoré vedie centrálny register kariet</w:t>
      </w:r>
      <w:r w:rsidR="005F4371" w:rsidRPr="00DA7E48">
        <w:t xml:space="preserve"> vodiča</w:t>
      </w:r>
      <w:r w:rsidRPr="00DA7E48">
        <w:t xml:space="preserve"> podľa zákona č. 461/2007 Z.</w:t>
      </w:r>
      <w:r w:rsidR="00233F43" w:rsidRPr="00DA7E48">
        <w:t xml:space="preserve"> </w:t>
      </w:r>
      <w:r w:rsidRPr="00DA7E48">
        <w:t xml:space="preserve">z. </w:t>
      </w:r>
      <w:r w:rsidR="00D01E79" w:rsidRPr="00DA7E48">
        <w:t>o používaní záznamového zariadenia v cestnej doprave</w:t>
      </w:r>
      <w:r w:rsidR="004D443C" w:rsidRPr="00DA7E48">
        <w:t xml:space="preserve"> v znení zákona č. 177/2018 Z. z. </w:t>
      </w:r>
    </w:p>
    <w:p w14:paraId="284A090B" w14:textId="16EE8F1E" w:rsidR="002D5F76" w:rsidRDefault="002D5F76" w:rsidP="00514FEE">
      <w:pPr>
        <w:jc w:val="both"/>
      </w:pPr>
    </w:p>
    <w:p w14:paraId="58F52440" w14:textId="11A867AC" w:rsidR="008A3647" w:rsidRDefault="008A3647" w:rsidP="00514FEE">
      <w:pPr>
        <w:jc w:val="both"/>
      </w:pPr>
    </w:p>
    <w:p w14:paraId="049DEDF5" w14:textId="77777777" w:rsidR="008A3647" w:rsidRPr="00DA7E48" w:rsidRDefault="008A3647" w:rsidP="00514FEE">
      <w:pPr>
        <w:jc w:val="both"/>
      </w:pPr>
    </w:p>
    <w:p w14:paraId="32F44C4A" w14:textId="1FD861B8" w:rsidR="0078093C" w:rsidRPr="00DA7E48" w:rsidRDefault="002D5F76" w:rsidP="00514FEE">
      <w:pPr>
        <w:jc w:val="both"/>
        <w:rPr>
          <w:b/>
        </w:rPr>
      </w:pPr>
      <w:r w:rsidRPr="00DA7E48">
        <w:rPr>
          <w:b/>
        </w:rPr>
        <w:t xml:space="preserve">K bodu </w:t>
      </w:r>
      <w:r w:rsidR="00211EB1">
        <w:rPr>
          <w:b/>
        </w:rPr>
        <w:t>41</w:t>
      </w:r>
      <w:r w:rsidR="002C5CE5" w:rsidRPr="00DA7E48">
        <w:rPr>
          <w:b/>
        </w:rPr>
        <w:t>(</w:t>
      </w:r>
      <w:r w:rsidR="008070E6" w:rsidRPr="00DA7E48">
        <w:rPr>
          <w:b/>
        </w:rPr>
        <w:t>§ 40a</w:t>
      </w:r>
      <w:r w:rsidR="00D02F1B" w:rsidRPr="00DA7E48">
        <w:rPr>
          <w:b/>
        </w:rPr>
        <w:t xml:space="preserve"> a § 40b</w:t>
      </w:r>
      <w:r w:rsidR="008070E6" w:rsidRPr="00DA7E48">
        <w:rPr>
          <w:b/>
        </w:rPr>
        <w:t>)</w:t>
      </w:r>
    </w:p>
    <w:p w14:paraId="1BAD3771" w14:textId="0FCE180A" w:rsidR="003854E7" w:rsidRPr="00DA7E48" w:rsidRDefault="0078093C" w:rsidP="00514FEE">
      <w:pPr>
        <w:jc w:val="both"/>
      </w:pPr>
      <w:r w:rsidRPr="00DA7E48">
        <w:t>Ustanovenie rieši problematiku nedostatku rušňovodičov v čase vyhlásenia mimoriadnej situácie, núdzového stavu alebo výnimočného stavu, keď ale prevádzka železničnej dopravy nie je zastavená. V záujme zaručenia bezpečnosti železničnej dopravy sa navrhuje aj potrebný čas odpočinku.</w:t>
      </w:r>
    </w:p>
    <w:p w14:paraId="1AA5049B" w14:textId="7863AC72" w:rsidR="00D02F1B" w:rsidRPr="00DA7E48" w:rsidRDefault="00D02F1B" w:rsidP="00D02F1B">
      <w:pPr>
        <w:pStyle w:val="CM4"/>
        <w:jc w:val="both"/>
      </w:pPr>
      <w:r w:rsidRPr="00DA7E48">
        <w:rPr>
          <w:rFonts w:ascii="Times New Roman" w:eastAsia="Calibri" w:hAnsi="Times New Roman" w:cs="Calibri"/>
          <w:color w:val="000000"/>
        </w:rPr>
        <w:t xml:space="preserve">V prílohe č. 2 sa upravuje vybavenie, ktoré musia mať kontrolné orgány pri kontrolách. </w:t>
      </w:r>
      <w:r w:rsidRPr="00DA7E48">
        <w:t xml:space="preserve">Termín na vybavenie kontrolných orgánov </w:t>
      </w:r>
      <w:r w:rsidR="00754368" w:rsidRPr="00DA7E48">
        <w:t>z</w:t>
      </w:r>
      <w:r w:rsidR="00754368" w:rsidRPr="00DA7E48">
        <w:rPr>
          <w:rFonts w:ascii="Times New Roman" w:hAnsi="Times New Roman"/>
        </w:rPr>
        <w:t xml:space="preserve">ariadením na diaľkovú včasnú detekciu údajov v záznamovom zariadení </w:t>
      </w:r>
      <w:r w:rsidRPr="00DA7E48">
        <w:t>je 21. august 2024. Dovtedy sa môžu členské štáty rozhodnúť, či svoje kontrolné orgány vybavia takýmto zariadením na diaľkovú včasnú detekciu. Vo všeobecnosti takéto zariadenie pomôže inšpektorom v selekcii vozidla pre vykonanie cestnej kontrol</w:t>
      </w:r>
      <w:r w:rsidR="00F80E4E" w:rsidRPr="00DA7E48">
        <w:t>y</w:t>
      </w:r>
      <w:r w:rsidR="00754368" w:rsidRPr="00DA7E48">
        <w:t>.</w:t>
      </w:r>
    </w:p>
    <w:p w14:paraId="034F35E8" w14:textId="77777777" w:rsidR="003854E7" w:rsidRPr="00DA7E48" w:rsidRDefault="003854E7" w:rsidP="00514FEE">
      <w:pPr>
        <w:jc w:val="both"/>
      </w:pPr>
    </w:p>
    <w:p w14:paraId="26013F7E" w14:textId="1EF78AA4" w:rsidR="00AF218A" w:rsidRPr="00DA7E48" w:rsidRDefault="003854E7" w:rsidP="00514FEE">
      <w:pPr>
        <w:jc w:val="both"/>
        <w:rPr>
          <w:b/>
        </w:rPr>
      </w:pPr>
      <w:r w:rsidRPr="00DA7E48">
        <w:rPr>
          <w:b/>
        </w:rPr>
        <w:t xml:space="preserve">K bodu </w:t>
      </w:r>
      <w:r w:rsidR="00211EB1">
        <w:rPr>
          <w:b/>
        </w:rPr>
        <w:t>42</w:t>
      </w:r>
      <w:r w:rsidR="00211EB1" w:rsidRPr="00DA7E48">
        <w:rPr>
          <w:b/>
        </w:rPr>
        <w:t xml:space="preserve"> </w:t>
      </w:r>
      <w:r w:rsidRPr="00DA7E48">
        <w:rPr>
          <w:b/>
        </w:rPr>
        <w:t>(</w:t>
      </w:r>
      <w:r w:rsidR="00A60263" w:rsidRPr="00DA7E48">
        <w:rPr>
          <w:b/>
        </w:rPr>
        <w:t>p</w:t>
      </w:r>
      <w:r w:rsidRPr="00DA7E48">
        <w:rPr>
          <w:b/>
        </w:rPr>
        <w:t>ríloha č. 1)</w:t>
      </w:r>
    </w:p>
    <w:p w14:paraId="6104C85F" w14:textId="01A4C012" w:rsidR="002C5CE5" w:rsidRPr="00DA7E48" w:rsidRDefault="00AF218A" w:rsidP="00514FEE">
      <w:pPr>
        <w:jc w:val="both"/>
      </w:pPr>
      <w:r w:rsidRPr="00DA7E48">
        <w:t xml:space="preserve">Ide o úpravu predmetu cestnej kontroly a kontroly v dopravných podnikoch. </w:t>
      </w:r>
      <w:r w:rsidR="002C5CE5" w:rsidRPr="00DA7E48">
        <w:t xml:space="preserve"> </w:t>
      </w:r>
    </w:p>
    <w:p w14:paraId="2869256B" w14:textId="64CD3A29" w:rsidR="00A60263" w:rsidRPr="00DA7E48" w:rsidRDefault="00A60263" w:rsidP="00514FEE">
      <w:pPr>
        <w:jc w:val="both"/>
      </w:pPr>
    </w:p>
    <w:p w14:paraId="303D1664" w14:textId="193F33B6" w:rsidR="00A60263" w:rsidRPr="00DA7E48" w:rsidRDefault="00A60263" w:rsidP="00514FEE">
      <w:pPr>
        <w:jc w:val="both"/>
        <w:rPr>
          <w:b/>
        </w:rPr>
      </w:pPr>
      <w:r w:rsidRPr="00DA7E48">
        <w:rPr>
          <w:b/>
        </w:rPr>
        <w:t xml:space="preserve">K bodu </w:t>
      </w:r>
      <w:r w:rsidR="00211EB1">
        <w:rPr>
          <w:b/>
        </w:rPr>
        <w:t>43</w:t>
      </w:r>
      <w:r w:rsidR="00211EB1" w:rsidRPr="00DA7E48">
        <w:rPr>
          <w:b/>
        </w:rPr>
        <w:t xml:space="preserve"> </w:t>
      </w:r>
      <w:r w:rsidRPr="00DA7E48">
        <w:rPr>
          <w:b/>
        </w:rPr>
        <w:t>(príloha č. 2)</w:t>
      </w:r>
    </w:p>
    <w:p w14:paraId="16AF8753" w14:textId="6E6B9E62" w:rsidR="002D5F76" w:rsidRPr="00DA7E48" w:rsidRDefault="00754368" w:rsidP="00514FEE">
      <w:pPr>
        <w:jc w:val="both"/>
      </w:pPr>
      <w:r w:rsidRPr="00DA7E48">
        <w:t xml:space="preserve">Ide o úpravu vybavenia, ktoré musia mať kontrolné orgány k dispozícii. </w:t>
      </w:r>
      <w:r w:rsidR="00A07451" w:rsidRPr="00DA7E48">
        <w:t>Nariadenie Európskeho parlamentu (EÚ) č. 165/2014 o tachografoch v cestnej doprave, ktorým sa ruší nariadenie Rady (EHS) č. 3821/85 o záznamovom zariadení v cestnej doprave a mení nariadenie Európskeho parlamentu a Rady (ES) č. 561/2006 o harmonizácii niektorých právnych predpisov v sociálnej oblasti, ktoré sa týkajú cestnej dopravy v platnom znení ustanovuje povinnosť v článku 9 pre členské štáty vybaviť svoje kontrolné orgány zariadením na diaľkovú včasnú detekciu potrebným na komunikáciu údajov pri vykonávaní cielených cestných kontrol. Termín na vybavenie kontrolných orgánov týmto zariadením je 21. august 2024.  Dovtedy sa môžu členské štáty rozhodnúť, či svoje kontrolné orgány vybavia takýmto zariadením na diaľkovú včasnú detekciu. Vo všeobecnosti takéto zariadenie pomôže inšpektorom v selekcii vozidla pre vykonanie cestnej kontrol</w:t>
      </w:r>
      <w:r w:rsidR="00F80E4E" w:rsidRPr="00DA7E48">
        <w:t>y.</w:t>
      </w:r>
    </w:p>
    <w:p w14:paraId="113C204E" w14:textId="4AAFFA5F" w:rsidR="005A2C29" w:rsidRPr="00DA7E48" w:rsidRDefault="005A2C29" w:rsidP="00514FEE">
      <w:pPr>
        <w:jc w:val="both"/>
      </w:pPr>
    </w:p>
    <w:p w14:paraId="4FC2722A" w14:textId="5DD76F53" w:rsidR="00E943CC" w:rsidRPr="00DA7E48" w:rsidRDefault="005A2C29" w:rsidP="00514FEE">
      <w:pPr>
        <w:jc w:val="both"/>
        <w:rPr>
          <w:b/>
        </w:rPr>
      </w:pPr>
      <w:r w:rsidRPr="00DA7E48">
        <w:rPr>
          <w:b/>
        </w:rPr>
        <w:t xml:space="preserve">K bodu </w:t>
      </w:r>
      <w:r w:rsidR="00211EB1">
        <w:rPr>
          <w:b/>
        </w:rPr>
        <w:t>44</w:t>
      </w:r>
      <w:r w:rsidR="00211EB1" w:rsidRPr="00DA7E48">
        <w:rPr>
          <w:b/>
        </w:rPr>
        <w:t xml:space="preserve"> </w:t>
      </w:r>
      <w:r w:rsidRPr="00DA7E48">
        <w:rPr>
          <w:b/>
        </w:rPr>
        <w:t>(príloha č. 3)</w:t>
      </w:r>
    </w:p>
    <w:p w14:paraId="1910F344" w14:textId="4433352F" w:rsidR="00E943CC" w:rsidRPr="00DA7E48" w:rsidRDefault="00E943CC" w:rsidP="00514FEE">
      <w:pPr>
        <w:jc w:val="both"/>
      </w:pPr>
      <w:r w:rsidRPr="00DA7E48">
        <w:t>Ide o</w:t>
      </w:r>
      <w:r w:rsidR="007E5D50" w:rsidRPr="00DA7E48">
        <w:t> </w:t>
      </w:r>
      <w:r w:rsidRPr="00DA7E48">
        <w:t>legislatívno</w:t>
      </w:r>
      <w:r w:rsidR="007E5D50" w:rsidRPr="00DA7E48">
        <w:t>-</w:t>
      </w:r>
      <w:r w:rsidRPr="00DA7E48">
        <w:t>technickú úpravu v súvislosti s vypustením prílohy č. 3.</w:t>
      </w:r>
    </w:p>
    <w:p w14:paraId="2EA1E3B3" w14:textId="13A925AB" w:rsidR="007F2922" w:rsidRPr="00DA7E48" w:rsidRDefault="007F2922" w:rsidP="00514FEE">
      <w:pPr>
        <w:jc w:val="both"/>
      </w:pPr>
    </w:p>
    <w:p w14:paraId="4057E329" w14:textId="1D41CAA0" w:rsidR="00C17C8C" w:rsidRPr="00DA7E48" w:rsidRDefault="00C17C8C" w:rsidP="00514FEE">
      <w:pPr>
        <w:jc w:val="both"/>
        <w:rPr>
          <w:b/>
        </w:rPr>
      </w:pPr>
      <w:r w:rsidRPr="00DA7E48">
        <w:rPr>
          <w:b/>
        </w:rPr>
        <w:t xml:space="preserve">K bodu </w:t>
      </w:r>
      <w:r w:rsidR="00211EB1">
        <w:rPr>
          <w:b/>
        </w:rPr>
        <w:t>45</w:t>
      </w:r>
      <w:r w:rsidR="00211EB1" w:rsidRPr="00DA7E48">
        <w:rPr>
          <w:b/>
        </w:rPr>
        <w:t xml:space="preserve"> </w:t>
      </w:r>
      <w:r w:rsidRPr="00DA7E48">
        <w:rPr>
          <w:b/>
        </w:rPr>
        <w:t xml:space="preserve">(príloha č. </w:t>
      </w:r>
      <w:r w:rsidR="00250FCD">
        <w:rPr>
          <w:b/>
        </w:rPr>
        <w:t>5</w:t>
      </w:r>
      <w:r w:rsidRPr="00DA7E48">
        <w:rPr>
          <w:b/>
        </w:rPr>
        <w:t>)</w:t>
      </w:r>
    </w:p>
    <w:p w14:paraId="7AC7643A" w14:textId="2E0F4465" w:rsidR="004F2571" w:rsidRPr="00DA7E48" w:rsidRDefault="004F2571" w:rsidP="00514FEE">
      <w:pPr>
        <w:jc w:val="both"/>
      </w:pPr>
      <w:r w:rsidRPr="00DA7E48">
        <w:t>Ide o úpravu názvu smernice.</w:t>
      </w:r>
    </w:p>
    <w:p w14:paraId="1ABFAA2A" w14:textId="45EFCE12" w:rsidR="006A066B" w:rsidRPr="00DA7E48" w:rsidRDefault="006A066B" w:rsidP="00514FEE">
      <w:pPr>
        <w:jc w:val="both"/>
      </w:pPr>
    </w:p>
    <w:p w14:paraId="1BC166F4" w14:textId="15E0DF51" w:rsidR="006A066B" w:rsidRPr="00DA7E48" w:rsidRDefault="006A066B" w:rsidP="00514FEE">
      <w:pPr>
        <w:jc w:val="both"/>
        <w:rPr>
          <w:b/>
        </w:rPr>
      </w:pPr>
      <w:r w:rsidRPr="00DA7E48">
        <w:rPr>
          <w:b/>
        </w:rPr>
        <w:t xml:space="preserve">K bodu č. </w:t>
      </w:r>
      <w:r w:rsidR="00211EB1">
        <w:rPr>
          <w:b/>
        </w:rPr>
        <w:t>46</w:t>
      </w:r>
      <w:r w:rsidR="00211EB1" w:rsidRPr="00DA7E48">
        <w:rPr>
          <w:b/>
        </w:rPr>
        <w:t xml:space="preserve"> </w:t>
      </w:r>
      <w:r w:rsidR="007A7550" w:rsidRPr="00DA7E48">
        <w:rPr>
          <w:b/>
        </w:rPr>
        <w:t xml:space="preserve">(príloha č. </w:t>
      </w:r>
      <w:r w:rsidR="00250FCD">
        <w:rPr>
          <w:b/>
        </w:rPr>
        <w:t>5</w:t>
      </w:r>
      <w:r w:rsidR="007A7550" w:rsidRPr="00DA7E48">
        <w:rPr>
          <w:b/>
        </w:rPr>
        <w:t>)</w:t>
      </w:r>
    </w:p>
    <w:p w14:paraId="46E2CE3B" w14:textId="143D5AB1" w:rsidR="007A7550" w:rsidRPr="00DA7E48" w:rsidRDefault="00FF6F1E" w:rsidP="00514FEE">
      <w:pPr>
        <w:jc w:val="both"/>
      </w:pPr>
      <w:r w:rsidRPr="00DA7E48">
        <w:t>Ide o doplnenie smernice do zoznamu právne záväzných aktov Európskej únie.</w:t>
      </w:r>
    </w:p>
    <w:p w14:paraId="10CD069B" w14:textId="589D828F" w:rsidR="00993BB6" w:rsidRDefault="00993BB6" w:rsidP="0072154A"/>
    <w:p w14:paraId="2DA680AA" w14:textId="10A7DE15" w:rsidR="008A3647" w:rsidRDefault="008A3647" w:rsidP="0072154A"/>
    <w:p w14:paraId="12FF7CC9" w14:textId="77777777" w:rsidR="008A3647" w:rsidRPr="00DA7E48" w:rsidRDefault="008A3647" w:rsidP="0072154A"/>
    <w:p w14:paraId="1F5AAE2F" w14:textId="77777777" w:rsidR="001B1B69" w:rsidRPr="00DA7E48" w:rsidRDefault="001B1B69" w:rsidP="001B1B69">
      <w:pPr>
        <w:rPr>
          <w:b/>
        </w:rPr>
      </w:pPr>
      <w:r w:rsidRPr="00DA7E48">
        <w:rPr>
          <w:b/>
        </w:rPr>
        <w:lastRenderedPageBreak/>
        <w:t>K čl. II (zákon č. 311/2001 Z. z. Zákonník práce)</w:t>
      </w:r>
    </w:p>
    <w:p w14:paraId="74D909D4" w14:textId="77777777" w:rsidR="001B1B69" w:rsidRPr="00DA7E48" w:rsidRDefault="001B1B69" w:rsidP="001B1B69">
      <w:pPr>
        <w:rPr>
          <w:u w:val="single"/>
        </w:rPr>
      </w:pPr>
    </w:p>
    <w:p w14:paraId="455AF22A" w14:textId="77777777" w:rsidR="001B1B69" w:rsidRPr="00DA7E48" w:rsidRDefault="001B1B69" w:rsidP="001B1B69">
      <w:pPr>
        <w:jc w:val="both"/>
      </w:pPr>
      <w:r w:rsidRPr="00DA7E48">
        <w:t>Vo väzbe na povinnosť Slovenskej republiky transponovať smernicu Európskeho parlamentu a Rady (EÚ) 2020/1057 z 15. júla 2020, ktorou sa stanovujú špecifické pravidlá vo vzťahu k smernici 96/71/ES a smernici 2014/67/EÚ pre vysielanie vodičov v odvetví cestnej dopravy a ktorou sa mení smernica 2006/22/ES, pokiaľ ide o požiadavky týkajúce sa dodržiavania predpisov, a nariadenie (EÚ) č. 1024/2012 sa v § 5a upravujú osobitné pravidlá v oblasti vysielania zamestnancov – vodičov.</w:t>
      </w:r>
    </w:p>
    <w:p w14:paraId="4D0921AE" w14:textId="77777777" w:rsidR="001B1B69" w:rsidRPr="00DA7E48" w:rsidRDefault="001B1B69" w:rsidP="001B1B69">
      <w:pPr>
        <w:ind w:firstLine="720"/>
        <w:jc w:val="both"/>
      </w:pPr>
    </w:p>
    <w:p w14:paraId="725DE3AE" w14:textId="77777777" w:rsidR="001B1B69" w:rsidRPr="00DA7E48" w:rsidRDefault="001B1B69" w:rsidP="001B1B69">
      <w:pPr>
        <w:jc w:val="both"/>
      </w:pPr>
      <w:r w:rsidRPr="00DA7E48">
        <w:t>Zo smernice vyplýva niekoľko skutočností (zásad):</w:t>
      </w:r>
    </w:p>
    <w:p w14:paraId="16F47164" w14:textId="77777777" w:rsidR="001B1B69" w:rsidRPr="00DA7E48" w:rsidRDefault="001B1B69" w:rsidP="001B1B69">
      <w:pPr>
        <w:pStyle w:val="Odsekzoznamu"/>
        <w:numPr>
          <w:ilvl w:val="0"/>
          <w:numId w:val="21"/>
        </w:numPr>
        <w:jc w:val="both"/>
        <w:rPr>
          <w:szCs w:val="24"/>
        </w:rPr>
      </w:pPr>
      <w:r w:rsidRPr="00DA7E48">
        <w:rPr>
          <w:szCs w:val="24"/>
        </w:rPr>
        <w:t xml:space="preserve">S cieľom zabezpečiť účinné a primerané vykonávanie smernice 96/71/ES v odvetví cestnej dopravy je potrebné stanoviť pravidlá špecifické pre dané odvetvie. </w:t>
      </w:r>
    </w:p>
    <w:p w14:paraId="3AAEC173" w14:textId="77777777" w:rsidR="001B1B69" w:rsidRPr="00DA7E48" w:rsidRDefault="001B1B69" w:rsidP="001B1B69">
      <w:pPr>
        <w:pStyle w:val="Odsekzoznamu"/>
        <w:numPr>
          <w:ilvl w:val="0"/>
          <w:numId w:val="21"/>
        </w:numPr>
        <w:jc w:val="both"/>
        <w:rPr>
          <w:szCs w:val="24"/>
        </w:rPr>
      </w:pPr>
      <w:r w:rsidRPr="00DA7E48">
        <w:rPr>
          <w:szCs w:val="24"/>
        </w:rPr>
        <w:t>Vzhľadom na vysoko mobilný charakter odvetvia dopravy sa vodiči vo všeobecnosti nevysielajú do iného členského štátu na základe zmlúv o poskytovaní služieb na dlhé obdobia ako v iných odvetviach. Preto by sa malo objasniť, za akých okolností sa pravidlá týkajúce sa dlhodobého vysielania pracovníkov uvedené v smernici 96/71/ES na takýchto vodičov neuplatňujú.</w:t>
      </w:r>
    </w:p>
    <w:p w14:paraId="5D40347D" w14:textId="77777777" w:rsidR="001B1B69" w:rsidRPr="00DA7E48" w:rsidRDefault="001B1B69" w:rsidP="001B1B69">
      <w:pPr>
        <w:pStyle w:val="Odsekzoznamu"/>
        <w:numPr>
          <w:ilvl w:val="0"/>
          <w:numId w:val="21"/>
        </w:numPr>
        <w:jc w:val="both"/>
        <w:rPr>
          <w:szCs w:val="24"/>
        </w:rPr>
      </w:pPr>
      <w:r w:rsidRPr="00DA7E48">
        <w:rPr>
          <w:szCs w:val="24"/>
        </w:rPr>
        <w:t>Pravidlá vysielania špecifické pre dané odvetvie by mali byť založené na existencii dostatočného prepojenia medzi vodičom a poskytovanou službou a územím hostiteľského členského štátu. S cieľom uľahčiť presadzovanie uvedených pravidiel by sa malo rozlišovať medzi rôznymi druhmi dopravných operácií v závislosti od stupňa spojenia s územím hostiteľského členského štátu.</w:t>
      </w:r>
    </w:p>
    <w:p w14:paraId="032A85D7" w14:textId="77777777" w:rsidR="001B1B69" w:rsidRPr="00DA7E48" w:rsidRDefault="001B1B69" w:rsidP="001B1B69">
      <w:pPr>
        <w:pStyle w:val="Odsekzoznamu"/>
        <w:numPr>
          <w:ilvl w:val="0"/>
          <w:numId w:val="21"/>
        </w:numPr>
        <w:jc w:val="both"/>
        <w:rPr>
          <w:szCs w:val="24"/>
        </w:rPr>
      </w:pPr>
      <w:r w:rsidRPr="00DA7E48">
        <w:rPr>
          <w:szCs w:val="24"/>
        </w:rPr>
        <w:t>Keď vodič vykonáva bilaterálne dopravné operácie, a to z členského štátu, kde je podnik usadený („členský štát usadenia“), na územie iného členského štátu alebo tretej krajiny alebo späť do členského štátu usadenia, povaha služieb je úzko prepojená s členským štátom usadenia. Počas jednej cesty môže vodič vykonať niekoľko bilaterálnych dopravných operácií. Ak by sa na takéto bilaterálne operácie uplatňovali pravidlá vysielania, a teda aj podmienky zamestnávania garantované v hostiteľskom členskom štáte, predstavovalo by to neprimerané obmedzenie slobody poskytovať cezhraničné služby cestnej dopravy.</w:t>
      </w:r>
    </w:p>
    <w:p w14:paraId="115D4833" w14:textId="77777777" w:rsidR="001B1B69" w:rsidRPr="00DA7E48" w:rsidRDefault="001B1B69" w:rsidP="001B1B69">
      <w:pPr>
        <w:pStyle w:val="Odsekzoznamu"/>
        <w:numPr>
          <w:ilvl w:val="0"/>
          <w:numId w:val="21"/>
        </w:numPr>
        <w:jc w:val="both"/>
        <w:rPr>
          <w:szCs w:val="24"/>
        </w:rPr>
      </w:pPr>
      <w:r w:rsidRPr="00DA7E48">
        <w:rPr>
          <w:szCs w:val="24"/>
        </w:rPr>
        <w:t>Malo by sa spresniť, že medzinárodná doprava v tranzite cez územie členského štátu nepredstavuje vyslanie. Takáto doprava sa vyznačuje tým, že vodič prejde cez členský štát bez naloženia alebo vyloženia nákladu a bez pristúpenia či vystúpenia cestujúcich, a preto neexistuje význačné prepojenie medzi činnosťami vodiča a členským štátom, ktorým prechádza. Zastávky, napríklad z hygienických dôvodov, preto nemajú vplyv na kvalifikáciu prítomnosti vodiča v členskom štáte ako tranzit.</w:t>
      </w:r>
    </w:p>
    <w:p w14:paraId="42A77DC2" w14:textId="77777777" w:rsidR="001B1B69" w:rsidRPr="00DA7E48" w:rsidRDefault="001B1B69" w:rsidP="001B1B69">
      <w:pPr>
        <w:pStyle w:val="Odsekzoznamu"/>
        <w:numPr>
          <w:ilvl w:val="0"/>
          <w:numId w:val="21"/>
        </w:numPr>
        <w:jc w:val="both"/>
        <w:rPr>
          <w:szCs w:val="24"/>
        </w:rPr>
      </w:pPr>
      <w:r w:rsidRPr="00DA7E48">
        <w:rPr>
          <w:szCs w:val="24"/>
        </w:rPr>
        <w:t>Ak vodič vykonáva kombinovanú dopravu, je povaha poskytovaných služieb na počiatočnom alebo konečnom cestnom úseku úzko prepojená s členským štátom usadenia, ak daný cestný úsek samostatne predstavuje bilaterálnu dopravnú operáciu. Na opačnej strane, keď sa dopravná operácia na danom cestnom úseku vykonáva v hostiteľskom členskom štáte alebo ako nebilaterálna medzinárodná dopravná operácia, existuje dostatočné prepojenie s územím hostiteľského členského štátu, a preto by sa mali uplatňovať pravidlá vysielania.</w:t>
      </w:r>
    </w:p>
    <w:p w14:paraId="2E9052EB" w14:textId="77777777" w:rsidR="001B1B69" w:rsidRPr="00DA7E48" w:rsidRDefault="001B1B69" w:rsidP="001B1B69">
      <w:pPr>
        <w:pStyle w:val="Odsekzoznamu"/>
        <w:numPr>
          <w:ilvl w:val="0"/>
          <w:numId w:val="21"/>
        </w:numPr>
        <w:jc w:val="both"/>
        <w:rPr>
          <w:szCs w:val="24"/>
        </w:rPr>
      </w:pPr>
      <w:r w:rsidRPr="00DA7E48">
        <w:rPr>
          <w:szCs w:val="24"/>
        </w:rPr>
        <w:t xml:space="preserve">Keď vodič vykonáva iné druhy operácií, najmä </w:t>
      </w:r>
      <w:proofErr w:type="spellStart"/>
      <w:r w:rsidRPr="00DA7E48">
        <w:rPr>
          <w:szCs w:val="24"/>
        </w:rPr>
        <w:t>kabotážnu</w:t>
      </w:r>
      <w:proofErr w:type="spellEnd"/>
      <w:r w:rsidRPr="00DA7E48">
        <w:rPr>
          <w:szCs w:val="24"/>
        </w:rPr>
        <w:t xml:space="preserve"> prepravu alebo nebilaterálne medzinárodné dopravné operácie, existuje dostatočné prepojenie s územím hostiteľského členského štátu. Toto prepojenie existuje v prípade </w:t>
      </w:r>
      <w:proofErr w:type="spellStart"/>
      <w:r w:rsidRPr="00DA7E48">
        <w:rPr>
          <w:szCs w:val="24"/>
        </w:rPr>
        <w:t>kabotážnej</w:t>
      </w:r>
      <w:proofErr w:type="spellEnd"/>
      <w:r w:rsidRPr="00DA7E48">
        <w:rPr>
          <w:szCs w:val="24"/>
        </w:rPr>
        <w:t xml:space="preserve"> prepravy v zmysle vymedzenia v nariadeniach Európskeho parlamentu a Rady (ES) č. 1072/2009 a (ES) č. 1073/2009, pretože celá dopravná operácia sa odohráva v hostiteľskom členskom štáte, a teda je úzko prepojená s územím hostiteľského členského štátu. Nebilaterálna medzinárodná dopravná operácia sa vyznačuje tým, že vodič vykonáva medzinárodnú prepravu mimo členského štátu usadenia vysielajúceho podniku. Poskytované služby sú </w:t>
      </w:r>
      <w:r w:rsidRPr="00DA7E48">
        <w:rPr>
          <w:szCs w:val="24"/>
        </w:rPr>
        <w:lastRenderedPageBreak/>
        <w:t>teda prepojené s dotknutým hostiteľským členským štátom, a nie s členským štátom usadenia. V týchto prípadoch sa pravidlá špecifické pre dané odvetvie vyžadujú, len pokiaľ ide o administratívne požiadavky a kontrolné opatrenia.</w:t>
      </w:r>
    </w:p>
    <w:p w14:paraId="71C9DA3C" w14:textId="77777777" w:rsidR="001B1B69" w:rsidRPr="00DA7E48" w:rsidRDefault="001B1B69" w:rsidP="001B1B69">
      <w:pPr>
        <w:jc w:val="both"/>
      </w:pPr>
    </w:p>
    <w:p w14:paraId="67C619F8" w14:textId="77777777" w:rsidR="001B1B69" w:rsidRPr="00DA7E48" w:rsidRDefault="001B1B69" w:rsidP="001B1B69">
      <w:pPr>
        <w:jc w:val="both"/>
        <w:rPr>
          <w:b/>
        </w:rPr>
      </w:pPr>
      <w:r w:rsidRPr="00DA7E48">
        <w:rPr>
          <w:b/>
        </w:rPr>
        <w:t>K bodu 1</w:t>
      </w:r>
    </w:p>
    <w:p w14:paraId="2E236982" w14:textId="3E844B91" w:rsidR="00CD1CC8" w:rsidRPr="00DA7E48" w:rsidRDefault="001B1B69" w:rsidP="00CD1CC8">
      <w:pPr>
        <w:pStyle w:val="Odsekzoznamu"/>
        <w:numPr>
          <w:ilvl w:val="0"/>
          <w:numId w:val="21"/>
        </w:numPr>
        <w:jc w:val="both"/>
        <w:rPr>
          <w:szCs w:val="24"/>
        </w:rPr>
      </w:pPr>
      <w:r w:rsidRPr="00DA7E48">
        <w:t xml:space="preserve">Na základe čl. 1 ods. 7 smernice (EÚ) 2020/1057 sa navrhuje v § 5a ods. 1 výslovne ustanoviť, že vodič, ktorý vykonáva </w:t>
      </w:r>
      <w:proofErr w:type="spellStart"/>
      <w:r w:rsidRPr="00DA7E48">
        <w:t>kabotážnu</w:t>
      </w:r>
      <w:proofErr w:type="spellEnd"/>
      <w:r w:rsidRPr="00DA7E48">
        <w:t xml:space="preserve"> prepravu, sa považuje za vyslaného zamestnanca v rámci cezhraničného poskytovania služieb.</w:t>
      </w:r>
      <w:r w:rsidR="00CD1CC8">
        <w:t xml:space="preserve"> Podmienky </w:t>
      </w:r>
      <w:proofErr w:type="spellStart"/>
      <w:r w:rsidR="00CD1CC8">
        <w:t>kabotážnej</w:t>
      </w:r>
      <w:proofErr w:type="spellEnd"/>
      <w:r w:rsidR="00CD1CC8">
        <w:t xml:space="preserve"> prepravy sú ustanovené </w:t>
      </w:r>
      <w:r w:rsidR="00CD1CC8" w:rsidRPr="00DA7E48">
        <w:rPr>
          <w:szCs w:val="24"/>
        </w:rPr>
        <w:t>v</w:t>
      </w:r>
      <w:r w:rsidR="00CD1CC8">
        <w:rPr>
          <w:szCs w:val="24"/>
        </w:rPr>
        <w:t> kapitole III</w:t>
      </w:r>
      <w:r w:rsidR="00CD1CC8" w:rsidRPr="00DA7E48">
        <w:rPr>
          <w:szCs w:val="24"/>
        </w:rPr>
        <w:t xml:space="preserve"> nariadenia Európskeho parlamentu a Rady (ES) č. 1072/2009 a (ES)</w:t>
      </w:r>
      <w:r w:rsidR="00CD1CC8">
        <w:rPr>
          <w:szCs w:val="24"/>
        </w:rPr>
        <w:t>. V</w:t>
      </w:r>
      <w:r w:rsidR="00FE06A8">
        <w:rPr>
          <w:szCs w:val="24"/>
        </w:rPr>
        <w:t> </w:t>
      </w:r>
      <w:r w:rsidR="00CD1CC8">
        <w:rPr>
          <w:szCs w:val="24"/>
        </w:rPr>
        <w:t>prípade</w:t>
      </w:r>
      <w:r w:rsidR="00FE06A8">
        <w:rPr>
          <w:szCs w:val="24"/>
        </w:rPr>
        <w:t xml:space="preserve"> </w:t>
      </w:r>
      <w:proofErr w:type="spellStart"/>
      <w:r w:rsidR="00FE06A8">
        <w:rPr>
          <w:szCs w:val="24"/>
        </w:rPr>
        <w:t>kabotážnej</w:t>
      </w:r>
      <w:proofErr w:type="spellEnd"/>
      <w:r w:rsidR="00FE06A8">
        <w:rPr>
          <w:szCs w:val="24"/>
        </w:rPr>
        <w:t xml:space="preserve"> prepravy sa </w:t>
      </w:r>
      <w:r w:rsidR="00CD1CC8" w:rsidRPr="00DA7E48">
        <w:rPr>
          <w:szCs w:val="24"/>
        </w:rPr>
        <w:t xml:space="preserve">celá dopravná operácia odohráva v hostiteľskom členskom štáte, a teda je úzko prepojená s územím hostiteľského členského štátu. </w:t>
      </w:r>
    </w:p>
    <w:p w14:paraId="35DF27C5" w14:textId="31A1B604" w:rsidR="001B1B69" w:rsidRPr="00DA7E48" w:rsidRDefault="001B1B69" w:rsidP="001B1B69">
      <w:pPr>
        <w:jc w:val="both"/>
      </w:pPr>
    </w:p>
    <w:p w14:paraId="4D0580E4" w14:textId="77777777" w:rsidR="001B1B69" w:rsidRPr="00DA7E48" w:rsidRDefault="001B1B69" w:rsidP="001B1B69">
      <w:pPr>
        <w:ind w:firstLine="720"/>
        <w:jc w:val="both"/>
      </w:pPr>
    </w:p>
    <w:p w14:paraId="672E79E0" w14:textId="77777777" w:rsidR="001B1B69" w:rsidRPr="00DA7E48" w:rsidRDefault="001B1B69" w:rsidP="001B1B69">
      <w:pPr>
        <w:jc w:val="both"/>
      </w:pPr>
      <w:r w:rsidRPr="00DA7E48">
        <w:t>Na základe čl. 1 ods. 3 až 6 smernice (EÚ) 2020/1057 sa navrhuje v § 5a ods. 2 ustanoviť, že vyslaním nie je:</w:t>
      </w:r>
    </w:p>
    <w:p w14:paraId="7D06786A" w14:textId="77777777" w:rsidR="001B1B69" w:rsidRPr="00DA7E48" w:rsidRDefault="001B1B69" w:rsidP="001B1B69">
      <w:pPr>
        <w:pStyle w:val="Odsekzoznamu"/>
        <w:numPr>
          <w:ilvl w:val="0"/>
          <w:numId w:val="20"/>
        </w:numPr>
        <w:jc w:val="both"/>
        <w:rPr>
          <w:szCs w:val="24"/>
        </w:rPr>
      </w:pPr>
      <w:r w:rsidRPr="00DA7E48">
        <w:rPr>
          <w:szCs w:val="24"/>
        </w:rPr>
        <w:t>prejazd územím bez naloženia alebo vyloženia tovaru [odsek 2 písm. a) vo väzbe na čl. 1 ods. 5 smernice],</w:t>
      </w:r>
    </w:p>
    <w:p w14:paraId="7C4665E0" w14:textId="77777777" w:rsidR="001B1B69" w:rsidRPr="00DA7E48" w:rsidRDefault="001B1B69" w:rsidP="001B1B69">
      <w:pPr>
        <w:pStyle w:val="Odsekzoznamu"/>
        <w:numPr>
          <w:ilvl w:val="0"/>
          <w:numId w:val="20"/>
        </w:numPr>
        <w:jc w:val="both"/>
        <w:rPr>
          <w:szCs w:val="24"/>
        </w:rPr>
      </w:pPr>
      <w:r w:rsidRPr="00DA7E48">
        <w:rPr>
          <w:szCs w:val="24"/>
        </w:rPr>
        <w:t xml:space="preserve">vykonanie bilaterálnej dopravnej operácie pri preprave tovaru (definícia sa navrhuje vymedziť v odseku 4 na základe čl. 1 ods. 3 druhý </w:t>
      </w:r>
      <w:proofErr w:type="spellStart"/>
      <w:r w:rsidRPr="00DA7E48">
        <w:rPr>
          <w:szCs w:val="24"/>
        </w:rPr>
        <w:t>pododsek</w:t>
      </w:r>
      <w:proofErr w:type="spellEnd"/>
      <w:r w:rsidRPr="00DA7E48">
        <w:rPr>
          <w:szCs w:val="24"/>
        </w:rPr>
        <w:t xml:space="preserve"> smernice),</w:t>
      </w:r>
    </w:p>
    <w:p w14:paraId="33BF4DD1" w14:textId="77777777" w:rsidR="001B1B69" w:rsidRPr="00DA7E48" w:rsidRDefault="001B1B69" w:rsidP="001B1B69">
      <w:pPr>
        <w:pStyle w:val="Odsekzoznamu"/>
        <w:numPr>
          <w:ilvl w:val="0"/>
          <w:numId w:val="20"/>
        </w:numPr>
        <w:jc w:val="both"/>
        <w:rPr>
          <w:szCs w:val="24"/>
        </w:rPr>
      </w:pPr>
      <w:r w:rsidRPr="00DA7E48">
        <w:rPr>
          <w:szCs w:val="24"/>
        </w:rPr>
        <w:t xml:space="preserve">vykonanie dodatočných činností pri preprave tovaru [odsek 2 písm. c) vo väzbe na čl. 1 ods. 3 tretí </w:t>
      </w:r>
      <w:proofErr w:type="spellStart"/>
      <w:r w:rsidRPr="00DA7E48">
        <w:rPr>
          <w:szCs w:val="24"/>
        </w:rPr>
        <w:t>pododsek</w:t>
      </w:r>
      <w:proofErr w:type="spellEnd"/>
      <w:r w:rsidRPr="00DA7E48">
        <w:rPr>
          <w:szCs w:val="24"/>
        </w:rPr>
        <w:t xml:space="preserve"> smernice], </w:t>
      </w:r>
    </w:p>
    <w:p w14:paraId="4D19261D" w14:textId="77777777" w:rsidR="001B1B69" w:rsidRPr="00DA7E48" w:rsidRDefault="001B1B69" w:rsidP="001B1B69">
      <w:pPr>
        <w:pStyle w:val="Odsekzoznamu"/>
        <w:numPr>
          <w:ilvl w:val="0"/>
          <w:numId w:val="20"/>
        </w:numPr>
        <w:jc w:val="both"/>
        <w:rPr>
          <w:szCs w:val="24"/>
        </w:rPr>
      </w:pPr>
      <w:r w:rsidRPr="00DA7E48">
        <w:rPr>
          <w:szCs w:val="24"/>
        </w:rPr>
        <w:t xml:space="preserve">vykonanie následnej bilaterálnej dopravnej operácie [odsek 2 písm. c) za bodkočiarkou vo väzbe na čl. 1 ods. 3 štvrtý </w:t>
      </w:r>
      <w:proofErr w:type="spellStart"/>
      <w:r w:rsidRPr="00DA7E48">
        <w:rPr>
          <w:szCs w:val="24"/>
        </w:rPr>
        <w:t>pododsek</w:t>
      </w:r>
      <w:proofErr w:type="spellEnd"/>
      <w:r w:rsidRPr="00DA7E48">
        <w:rPr>
          <w:szCs w:val="24"/>
        </w:rPr>
        <w:t xml:space="preserve"> smernice],</w:t>
      </w:r>
    </w:p>
    <w:p w14:paraId="58D8028C" w14:textId="77777777" w:rsidR="001B1B69" w:rsidRPr="00DA7E48" w:rsidRDefault="001B1B69" w:rsidP="001B1B69">
      <w:pPr>
        <w:pStyle w:val="Odsekzoznamu"/>
        <w:numPr>
          <w:ilvl w:val="0"/>
          <w:numId w:val="20"/>
        </w:numPr>
        <w:jc w:val="both"/>
        <w:rPr>
          <w:szCs w:val="24"/>
        </w:rPr>
      </w:pPr>
      <w:r w:rsidRPr="00DA7E48">
        <w:rPr>
          <w:szCs w:val="24"/>
        </w:rPr>
        <w:t xml:space="preserve">vykonanie bilaterálnej dopravnej operácie pri preprave cestujúcich [definícia sa navrhuje vymedziť v odseku 5 na základe čl. 1 ods. 4 druhý </w:t>
      </w:r>
      <w:proofErr w:type="spellStart"/>
      <w:r w:rsidRPr="00DA7E48">
        <w:rPr>
          <w:szCs w:val="24"/>
        </w:rPr>
        <w:t>pododsek</w:t>
      </w:r>
      <w:proofErr w:type="spellEnd"/>
      <w:r w:rsidRPr="00DA7E48">
        <w:rPr>
          <w:szCs w:val="24"/>
        </w:rPr>
        <w:t xml:space="preserve"> smernice],</w:t>
      </w:r>
    </w:p>
    <w:p w14:paraId="71E690CB" w14:textId="77777777" w:rsidR="001B1B69" w:rsidRPr="00DA7E48" w:rsidRDefault="001B1B69" w:rsidP="001B1B69">
      <w:pPr>
        <w:pStyle w:val="Odsekzoznamu"/>
        <w:numPr>
          <w:ilvl w:val="0"/>
          <w:numId w:val="20"/>
        </w:numPr>
        <w:jc w:val="both"/>
        <w:rPr>
          <w:szCs w:val="24"/>
        </w:rPr>
      </w:pPr>
      <w:r w:rsidRPr="00DA7E48">
        <w:rPr>
          <w:szCs w:val="24"/>
        </w:rPr>
        <w:t xml:space="preserve">vykonanie dodatočných činností pri preprave cestujúcich [odsek 2 písm. e) vo väzbe na čl. 1 ods. 4 tretí </w:t>
      </w:r>
      <w:proofErr w:type="spellStart"/>
      <w:r w:rsidRPr="00DA7E48">
        <w:rPr>
          <w:szCs w:val="24"/>
        </w:rPr>
        <w:t>pododsek</w:t>
      </w:r>
      <w:proofErr w:type="spellEnd"/>
      <w:r w:rsidRPr="00DA7E48">
        <w:rPr>
          <w:szCs w:val="24"/>
        </w:rPr>
        <w:t xml:space="preserve"> smernice] a </w:t>
      </w:r>
    </w:p>
    <w:p w14:paraId="354DB714" w14:textId="77777777" w:rsidR="001B1B69" w:rsidRPr="00DA7E48" w:rsidRDefault="001B1B69" w:rsidP="001B1B69">
      <w:pPr>
        <w:pStyle w:val="Odsekzoznamu"/>
        <w:numPr>
          <w:ilvl w:val="0"/>
          <w:numId w:val="20"/>
        </w:numPr>
        <w:jc w:val="both"/>
        <w:rPr>
          <w:szCs w:val="24"/>
        </w:rPr>
      </w:pPr>
      <w:r w:rsidRPr="00DA7E48">
        <w:rPr>
          <w:szCs w:val="24"/>
        </w:rPr>
        <w:t>vykonanie počiatočného alebo záverečného cestného úseku kombinovanej dopravnej operácie [odsek 2 písm. f) vo väzbe na čl. 1 ods. 6  smernice].</w:t>
      </w:r>
    </w:p>
    <w:p w14:paraId="01755382" w14:textId="77777777" w:rsidR="001B1B69" w:rsidRPr="00DA7E48" w:rsidRDefault="001B1B69" w:rsidP="001B1B69">
      <w:pPr>
        <w:pStyle w:val="Odsekzoznamu"/>
        <w:jc w:val="both"/>
        <w:rPr>
          <w:szCs w:val="24"/>
        </w:rPr>
      </w:pPr>
    </w:p>
    <w:p w14:paraId="0D116285" w14:textId="77777777" w:rsidR="001B1B69" w:rsidRPr="00DA7E48" w:rsidRDefault="001B1B69" w:rsidP="001B1B69">
      <w:pPr>
        <w:jc w:val="both"/>
        <w:rPr>
          <w:rFonts w:eastAsia="SimSun"/>
          <w:color w:val="00000A"/>
        </w:rPr>
      </w:pPr>
      <w:r w:rsidRPr="00DA7E48">
        <w:t xml:space="preserve">Zároveň sa navrhuje v odseku 3 ustanoviť, že </w:t>
      </w:r>
      <w:r w:rsidRPr="00DA7E48">
        <w:rPr>
          <w:rFonts w:eastAsia="SimSun"/>
          <w:color w:val="00000A"/>
        </w:rPr>
        <w:t xml:space="preserve">ustanovenia § 5a ods. 2 písm. c) a e) sa uplatňujú len na vodiča, ktorý používa vozidlo vybavené inteligentným tachografom druhej generácie podľa osobitného predpisu [kapitola II nariadenia (EÚ) č. 165/2014] – viď čl. 1 ods. 3 piaty </w:t>
      </w:r>
      <w:proofErr w:type="spellStart"/>
      <w:r w:rsidRPr="00DA7E48">
        <w:rPr>
          <w:rFonts w:eastAsia="SimSun"/>
          <w:color w:val="00000A"/>
        </w:rPr>
        <w:t>pododsek</w:t>
      </w:r>
      <w:proofErr w:type="spellEnd"/>
      <w:r w:rsidRPr="00DA7E48">
        <w:rPr>
          <w:rFonts w:eastAsia="SimSun"/>
          <w:color w:val="00000A"/>
        </w:rPr>
        <w:t xml:space="preserve"> a čl. 1 ods. 4 štvrtý </w:t>
      </w:r>
      <w:proofErr w:type="spellStart"/>
      <w:r w:rsidRPr="00DA7E48">
        <w:rPr>
          <w:rFonts w:eastAsia="SimSun"/>
          <w:color w:val="00000A"/>
        </w:rPr>
        <w:t>pododsek</w:t>
      </w:r>
      <w:proofErr w:type="spellEnd"/>
      <w:r w:rsidRPr="00DA7E48">
        <w:rPr>
          <w:rFonts w:eastAsia="SimSun"/>
          <w:color w:val="00000A"/>
        </w:rPr>
        <w:t xml:space="preserve"> smernice. Zároveň sa z tohto pravidla ustanovuje dočasná výnimka v prechodnom ustanovení § 252q.</w:t>
      </w:r>
    </w:p>
    <w:p w14:paraId="6EFD35F2" w14:textId="77777777" w:rsidR="001B1B69" w:rsidRPr="00DA7E48" w:rsidRDefault="001B1B69" w:rsidP="001B1B69">
      <w:pPr>
        <w:ind w:firstLine="720"/>
        <w:jc w:val="both"/>
        <w:rPr>
          <w:rFonts w:eastAsia="SimSun"/>
          <w:color w:val="00000A"/>
        </w:rPr>
      </w:pPr>
    </w:p>
    <w:p w14:paraId="030B8203" w14:textId="77777777" w:rsidR="001B1B69" w:rsidRPr="00DA7E48" w:rsidRDefault="001B1B69" w:rsidP="001B1B69">
      <w:pPr>
        <w:jc w:val="both"/>
        <w:rPr>
          <w:rFonts w:eastAsia="SimSun"/>
          <w:color w:val="00000A"/>
        </w:rPr>
      </w:pPr>
      <w:r w:rsidRPr="00DA7E48">
        <w:rPr>
          <w:rFonts w:eastAsia="SimSun"/>
          <w:color w:val="00000A"/>
        </w:rPr>
        <w:t xml:space="preserve">Vo väzbe na čl. 1 ods. 8 smernice </w:t>
      </w:r>
      <w:r w:rsidRPr="00DA7E48">
        <w:t xml:space="preserve">(EÚ) </w:t>
      </w:r>
      <w:r w:rsidRPr="00DA7E48">
        <w:rPr>
          <w:rFonts w:eastAsia="SimSun"/>
          <w:color w:val="00000A"/>
        </w:rPr>
        <w:t>2020/1057 sa v § 5a ods. 6 navrhuje osobitne ustanoviť pravidlo, pokiaľ ide o určenie doby trvania vyslania vzhľadom na určenie rozhodného pracovného práva (viď § 5 ods. 3 Zákonníka práce – tzv. krátkodobé vyslanie a dlhodobé vyslanie). Cieľom navrhovaného ustanovenia je nespočítavať doby vyslania vodiča.</w:t>
      </w:r>
    </w:p>
    <w:p w14:paraId="6B8756F9" w14:textId="77777777" w:rsidR="001B1B69" w:rsidRPr="00DA7E48" w:rsidRDefault="001B1B69" w:rsidP="001B1B69">
      <w:pPr>
        <w:ind w:firstLine="720"/>
        <w:jc w:val="both"/>
        <w:rPr>
          <w:rFonts w:eastAsia="SimSun"/>
          <w:color w:val="00000A"/>
        </w:rPr>
      </w:pPr>
    </w:p>
    <w:p w14:paraId="42207CE7" w14:textId="77777777" w:rsidR="001B1B69" w:rsidRPr="00DA7E48" w:rsidRDefault="001B1B69" w:rsidP="001B1B69">
      <w:pPr>
        <w:jc w:val="both"/>
        <w:rPr>
          <w:rFonts w:eastAsia="SimSun"/>
          <w:color w:val="00000A"/>
        </w:rPr>
      </w:pPr>
      <w:r w:rsidRPr="00DA7E48">
        <w:rPr>
          <w:rFonts w:eastAsia="SimSun"/>
          <w:color w:val="00000A"/>
        </w:rPr>
        <w:t xml:space="preserve">Vzhľadom na to, že v smernici </w:t>
      </w:r>
      <w:r w:rsidRPr="00DA7E48">
        <w:t xml:space="preserve">(EÚ) </w:t>
      </w:r>
      <w:r w:rsidRPr="00DA7E48">
        <w:rPr>
          <w:rFonts w:eastAsia="SimSun"/>
          <w:color w:val="00000A"/>
        </w:rPr>
        <w:t>2020/1057 sa používa slovo „vodič“ a v Zákonníku práce sa používa slovo „zamestnanec“ sa v § 5a ods. 7 navrhuje tieto pojmy prepojiť.</w:t>
      </w:r>
    </w:p>
    <w:p w14:paraId="736490CB" w14:textId="77777777" w:rsidR="001B1B69" w:rsidRPr="00DA7E48" w:rsidRDefault="001B1B69" w:rsidP="001B1B69">
      <w:pPr>
        <w:suppressAutoHyphens/>
        <w:jc w:val="both"/>
        <w:rPr>
          <w:rFonts w:eastAsia="SimSun"/>
          <w:color w:val="00000A"/>
        </w:rPr>
      </w:pPr>
    </w:p>
    <w:p w14:paraId="7413A4A5" w14:textId="77777777" w:rsidR="001B1B69" w:rsidRPr="00DA7E48" w:rsidRDefault="001B1B69" w:rsidP="001B1B69">
      <w:pPr>
        <w:suppressAutoHyphens/>
        <w:jc w:val="both"/>
        <w:rPr>
          <w:rFonts w:eastAsia="SimSun"/>
          <w:b/>
          <w:color w:val="00000A"/>
        </w:rPr>
      </w:pPr>
      <w:r w:rsidRPr="00DA7E48">
        <w:rPr>
          <w:rFonts w:eastAsia="SimSun"/>
          <w:b/>
          <w:color w:val="00000A"/>
        </w:rPr>
        <w:t>K bodu 2</w:t>
      </w:r>
    </w:p>
    <w:p w14:paraId="30A0332C" w14:textId="77777777" w:rsidR="001B1B69" w:rsidRPr="00DA7E48" w:rsidRDefault="001B1B69" w:rsidP="001B1B69">
      <w:pPr>
        <w:suppressAutoHyphens/>
        <w:jc w:val="both"/>
        <w:rPr>
          <w:rFonts w:eastAsia="SimSun"/>
          <w:color w:val="00000A"/>
        </w:rPr>
      </w:pPr>
      <w:r w:rsidRPr="00DA7E48">
        <w:rPr>
          <w:rFonts w:eastAsia="SimSun"/>
          <w:color w:val="00000A"/>
        </w:rPr>
        <w:t xml:space="preserve">V prechodnom ustanovení sa navrhuje ustanoviť výnimku z pravidla vymedzeného v čl. 1 ods. 3 piaty </w:t>
      </w:r>
      <w:proofErr w:type="spellStart"/>
      <w:r w:rsidRPr="00DA7E48">
        <w:rPr>
          <w:rFonts w:eastAsia="SimSun"/>
          <w:color w:val="00000A"/>
        </w:rPr>
        <w:t>pododsek</w:t>
      </w:r>
      <w:proofErr w:type="spellEnd"/>
      <w:r w:rsidRPr="00DA7E48">
        <w:rPr>
          <w:rFonts w:eastAsia="SimSun"/>
          <w:color w:val="00000A"/>
        </w:rPr>
        <w:t xml:space="preserve"> a čl. 1 ods. 4 štvrtý </w:t>
      </w:r>
      <w:proofErr w:type="spellStart"/>
      <w:r w:rsidRPr="00DA7E48">
        <w:rPr>
          <w:rFonts w:eastAsia="SimSun"/>
          <w:color w:val="00000A"/>
        </w:rPr>
        <w:t>pododsek</w:t>
      </w:r>
      <w:proofErr w:type="spellEnd"/>
      <w:r w:rsidRPr="00DA7E48">
        <w:rPr>
          <w:rFonts w:eastAsia="SimSun"/>
          <w:color w:val="00000A"/>
        </w:rPr>
        <w:t xml:space="preserve">. To jest, výnimky podľa § 5a ods. 2 písm. b) a c) sa do dátumu, kým sa inteligentné tachografy druhej generácie nezačnú montovať do vozidiel podľa čl. 8 ods. 1 štvrtého </w:t>
      </w:r>
      <w:proofErr w:type="spellStart"/>
      <w:r w:rsidRPr="00DA7E48">
        <w:rPr>
          <w:rFonts w:eastAsia="SimSun"/>
          <w:color w:val="00000A"/>
        </w:rPr>
        <w:t>pododseku</w:t>
      </w:r>
      <w:proofErr w:type="spellEnd"/>
      <w:r w:rsidRPr="00DA7E48">
        <w:rPr>
          <w:rFonts w:eastAsia="SimSun"/>
          <w:color w:val="00000A"/>
        </w:rPr>
        <w:t xml:space="preserve"> nariadenia (EÚ) č. 165/2014 (20. august 2023), vzťahujú aj na vodičov, ktorí ich nemajú namontované.</w:t>
      </w:r>
    </w:p>
    <w:p w14:paraId="0CD7E1C0" w14:textId="77777777" w:rsidR="001B1B69" w:rsidRPr="00DA7E48" w:rsidRDefault="001B1B69" w:rsidP="001B1B69"/>
    <w:p w14:paraId="50FC3028" w14:textId="77777777" w:rsidR="001B1B69" w:rsidRPr="00DA7E48" w:rsidRDefault="001B1B69" w:rsidP="001B1B69">
      <w:pPr>
        <w:rPr>
          <w:b/>
        </w:rPr>
      </w:pPr>
      <w:r w:rsidRPr="00DA7E48">
        <w:rPr>
          <w:b/>
        </w:rPr>
        <w:t>K bodu 3</w:t>
      </w:r>
    </w:p>
    <w:p w14:paraId="75D04B37" w14:textId="77777777" w:rsidR="001B1B69" w:rsidRPr="00DA7E48" w:rsidRDefault="001B1B69" w:rsidP="001B1B69">
      <w:pPr>
        <w:suppressAutoHyphens/>
        <w:jc w:val="both"/>
      </w:pPr>
      <w:r w:rsidRPr="00DA7E48">
        <w:t>Navrhuje sa do transpozičnej prílohy doplniť smernicu (EÚ) 2020/1057, ktorá sa návrhom zákona preberá do právneho poriadku Slovenskej republiky.</w:t>
      </w:r>
    </w:p>
    <w:p w14:paraId="52E27145" w14:textId="77777777" w:rsidR="001B1B69" w:rsidRPr="00DA7E48" w:rsidRDefault="001B1B69" w:rsidP="001B1B69">
      <w:pPr>
        <w:rPr>
          <w:u w:val="single"/>
        </w:rPr>
      </w:pPr>
    </w:p>
    <w:p w14:paraId="7369C528" w14:textId="77777777" w:rsidR="001B1B69" w:rsidRPr="00DA7E48" w:rsidRDefault="001B1B69" w:rsidP="001B1B69">
      <w:pPr>
        <w:rPr>
          <w:b/>
        </w:rPr>
      </w:pPr>
      <w:r w:rsidRPr="00DA7E48">
        <w:rPr>
          <w:b/>
        </w:rPr>
        <w:t>K čl. III (zákon č. 351/2015 Z. z.)</w:t>
      </w:r>
    </w:p>
    <w:p w14:paraId="3BBD9547" w14:textId="06BCE964" w:rsidR="001B1B69" w:rsidRDefault="001B1B69" w:rsidP="001B1B69">
      <w:pPr>
        <w:rPr>
          <w:b/>
        </w:rPr>
      </w:pPr>
    </w:p>
    <w:p w14:paraId="447927E1" w14:textId="3110D045" w:rsidR="004D3982" w:rsidRPr="00DA7E48" w:rsidRDefault="004D3982" w:rsidP="004D3982">
      <w:pPr>
        <w:rPr>
          <w:b/>
        </w:rPr>
      </w:pPr>
      <w:r w:rsidRPr="00DA7E48">
        <w:rPr>
          <w:b/>
        </w:rPr>
        <w:t xml:space="preserve">K bodu </w:t>
      </w:r>
      <w:r>
        <w:rPr>
          <w:b/>
        </w:rPr>
        <w:t>1</w:t>
      </w:r>
      <w:r w:rsidRPr="00DA7E48">
        <w:rPr>
          <w:b/>
        </w:rPr>
        <w:t xml:space="preserve"> </w:t>
      </w:r>
    </w:p>
    <w:p w14:paraId="008F80A9" w14:textId="4A4317C9" w:rsidR="004D3982" w:rsidRDefault="004D3982" w:rsidP="001B1B69">
      <w:pPr>
        <w:rPr>
          <w:b/>
        </w:rPr>
      </w:pPr>
      <w:r w:rsidRPr="00F70D59">
        <w:rPr>
          <w:rFonts w:ascii="Times" w:hAnsi="Times" w:cs="Times"/>
          <w:sz w:val="25"/>
          <w:szCs w:val="25"/>
        </w:rPr>
        <w:t>Doplnenie údajov za účelom rýchlejšej a presnejšie identifikácie vyslaného zamestnanca pri výkone kontroly.</w:t>
      </w:r>
    </w:p>
    <w:p w14:paraId="247F63DA" w14:textId="77777777" w:rsidR="004D3982" w:rsidRPr="00DA7E48" w:rsidRDefault="004D3982" w:rsidP="001B1B69">
      <w:pPr>
        <w:rPr>
          <w:b/>
        </w:rPr>
      </w:pPr>
    </w:p>
    <w:p w14:paraId="7314A779" w14:textId="40D53BB1" w:rsidR="001B1B69" w:rsidRPr="00DA7E48" w:rsidRDefault="001B1B69" w:rsidP="001B1B69">
      <w:pPr>
        <w:rPr>
          <w:b/>
        </w:rPr>
      </w:pPr>
      <w:r w:rsidRPr="00DA7E48">
        <w:rPr>
          <w:b/>
        </w:rPr>
        <w:t xml:space="preserve">K bodu </w:t>
      </w:r>
      <w:r w:rsidR="004D3982">
        <w:rPr>
          <w:b/>
        </w:rPr>
        <w:t>2</w:t>
      </w:r>
      <w:r w:rsidRPr="00DA7E48">
        <w:rPr>
          <w:b/>
        </w:rPr>
        <w:t xml:space="preserve"> </w:t>
      </w:r>
    </w:p>
    <w:p w14:paraId="7A69AF42" w14:textId="77777777" w:rsidR="001B1B69" w:rsidRPr="00DA7E48" w:rsidRDefault="001B1B69" w:rsidP="001B1B69">
      <w:pPr>
        <w:jc w:val="both"/>
        <w:rPr>
          <w:bCs/>
        </w:rPr>
      </w:pPr>
      <w:r w:rsidRPr="00DA7E48">
        <w:rPr>
          <w:bCs/>
        </w:rPr>
        <w:t>Legislatívno-technická zmena vo väzbe na doplnenie právnej úpravy.</w:t>
      </w:r>
    </w:p>
    <w:p w14:paraId="4D77C7FF" w14:textId="77777777" w:rsidR="008A3647" w:rsidRDefault="008A3647" w:rsidP="001B1B69">
      <w:pPr>
        <w:rPr>
          <w:b/>
        </w:rPr>
      </w:pPr>
    </w:p>
    <w:p w14:paraId="19FF597A" w14:textId="77777777" w:rsidR="008A3647" w:rsidRDefault="008A3647" w:rsidP="001B1B69">
      <w:pPr>
        <w:rPr>
          <w:b/>
        </w:rPr>
      </w:pPr>
    </w:p>
    <w:p w14:paraId="0E35DCC5" w14:textId="38045A0C" w:rsidR="001B1B69" w:rsidRPr="00DA7E48" w:rsidRDefault="001B1B69" w:rsidP="001B1B69">
      <w:pPr>
        <w:rPr>
          <w:b/>
        </w:rPr>
      </w:pPr>
      <w:r w:rsidRPr="00DA7E48">
        <w:rPr>
          <w:b/>
        </w:rPr>
        <w:t xml:space="preserve">K bodu </w:t>
      </w:r>
      <w:r w:rsidR="004D3982">
        <w:rPr>
          <w:b/>
        </w:rPr>
        <w:t>3</w:t>
      </w:r>
    </w:p>
    <w:p w14:paraId="4363245E" w14:textId="77777777" w:rsidR="001B1B69" w:rsidRPr="00DA7E48" w:rsidRDefault="001B1B69" w:rsidP="001B1B69">
      <w:pPr>
        <w:jc w:val="both"/>
      </w:pPr>
      <w:r w:rsidRPr="00DA7E48">
        <w:t>Ustanovuje sa výnimka z povinností hosťujúceho zamestnávateľa uvedených v § 4 ods. 1 až 5 zákona č. 351/2015 Z. z. v prípade, že vyslaným zamestnancom je vodič v oblasti cestnej dopravy. V prípade vyslania zamestnanca v oblastí cestnej dopravy sa na hosťujúceho zamestnávateľa budú vzťahovať povinnosti upravené v § 4a zákona č. 351/2015 Z. z.</w:t>
      </w:r>
    </w:p>
    <w:p w14:paraId="4D7709D5" w14:textId="77777777" w:rsidR="001B1B69" w:rsidRPr="00DA7E48" w:rsidRDefault="001B1B69" w:rsidP="001B1B69">
      <w:pPr>
        <w:jc w:val="both"/>
      </w:pPr>
    </w:p>
    <w:p w14:paraId="6AC1087E" w14:textId="2904F07A" w:rsidR="001B1B69" w:rsidRPr="00DA7E48" w:rsidRDefault="001B1B69" w:rsidP="001B1B69">
      <w:pPr>
        <w:rPr>
          <w:b/>
        </w:rPr>
      </w:pPr>
      <w:r w:rsidRPr="00DA7E48">
        <w:rPr>
          <w:b/>
        </w:rPr>
        <w:t xml:space="preserve">K bodu </w:t>
      </w:r>
      <w:r w:rsidR="004D3982">
        <w:rPr>
          <w:b/>
        </w:rPr>
        <w:t>4</w:t>
      </w:r>
    </w:p>
    <w:p w14:paraId="0A6FBAFE" w14:textId="77777777" w:rsidR="001B1B69" w:rsidRPr="00DA7E48" w:rsidRDefault="001B1B69" w:rsidP="001B1B69">
      <w:pPr>
        <w:jc w:val="both"/>
        <w:rPr>
          <w:bCs/>
        </w:rPr>
      </w:pPr>
      <w:r w:rsidRPr="00DA7E48">
        <w:rPr>
          <w:bCs/>
        </w:rPr>
        <w:t xml:space="preserve">Upravujú sa povinnosti hosťujúceho zamestnávateľa v prípade vyslaného zamestnanca v oblasti cestnej dopravy. Navrhovaná zmena vyplýva z čl. 1 bodu 11 smernice </w:t>
      </w:r>
      <w:r w:rsidRPr="00DA7E48">
        <w:t xml:space="preserve">(EÚ) </w:t>
      </w:r>
      <w:r w:rsidRPr="00DA7E48">
        <w:rPr>
          <w:bCs/>
        </w:rPr>
        <w:t xml:space="preserve">2020/1057 vo väzbe na terminológiu používanú v Slovenskej republike, kde smernica uvádza, že členské štáty Európskej únie si môžu odchylne </w:t>
      </w:r>
      <w:r w:rsidRPr="00DA7E48">
        <w:t>od článku 9 ods. 1 a 2 smernice 2014/67/EÚ stanoviť v súvislosti s vysielaním vodičov len administratívne požiadavky a kontrolné opatrenia, ktoré sú uvedené práve v bode 11 čl. 1 smernice (EÚ) 2020/1057.</w:t>
      </w:r>
    </w:p>
    <w:p w14:paraId="7B65675B" w14:textId="77777777" w:rsidR="001B1B69" w:rsidRPr="00DA7E48" w:rsidRDefault="001B1B69" w:rsidP="001B1B69">
      <w:pPr>
        <w:rPr>
          <w:bCs/>
        </w:rPr>
      </w:pPr>
    </w:p>
    <w:p w14:paraId="7C3AFA07" w14:textId="526A8AD3" w:rsidR="001B1B69" w:rsidRPr="00DA7E48" w:rsidRDefault="001B1B69" w:rsidP="001B1B69">
      <w:pPr>
        <w:rPr>
          <w:b/>
        </w:rPr>
      </w:pPr>
      <w:r w:rsidRPr="00DA7E48">
        <w:rPr>
          <w:b/>
        </w:rPr>
        <w:t xml:space="preserve">K bodu </w:t>
      </w:r>
      <w:r w:rsidR="004D3982">
        <w:rPr>
          <w:b/>
        </w:rPr>
        <w:t>5</w:t>
      </w:r>
      <w:r w:rsidRPr="00DA7E48">
        <w:rPr>
          <w:b/>
        </w:rPr>
        <w:t>4</w:t>
      </w:r>
    </w:p>
    <w:p w14:paraId="7D96D500" w14:textId="77777777" w:rsidR="001B1B69" w:rsidRPr="00DA7E48" w:rsidRDefault="001B1B69" w:rsidP="001B1B69">
      <w:pPr>
        <w:jc w:val="both"/>
        <w:rPr>
          <w:bCs/>
        </w:rPr>
      </w:pPr>
      <w:r w:rsidRPr="00DA7E48">
        <w:rPr>
          <w:bCs/>
        </w:rPr>
        <w:t>Legislatívno-technická zmena vo väzbe na doplnenie právnej úpravy.</w:t>
      </w:r>
    </w:p>
    <w:p w14:paraId="1E7667F3" w14:textId="77777777" w:rsidR="001B1B69" w:rsidRPr="00DA7E48" w:rsidRDefault="001B1B69" w:rsidP="001B1B69">
      <w:pPr>
        <w:jc w:val="both"/>
        <w:rPr>
          <w:b/>
        </w:rPr>
      </w:pPr>
    </w:p>
    <w:p w14:paraId="3F7E8E00" w14:textId="3D8A41D3" w:rsidR="001B1B69" w:rsidRPr="00DA7E48" w:rsidRDefault="001B1B69" w:rsidP="001B1B69">
      <w:pPr>
        <w:rPr>
          <w:b/>
        </w:rPr>
      </w:pPr>
      <w:r w:rsidRPr="00DA7E48">
        <w:rPr>
          <w:b/>
        </w:rPr>
        <w:t xml:space="preserve">K bodu </w:t>
      </w:r>
      <w:r w:rsidR="004D3982">
        <w:rPr>
          <w:b/>
        </w:rPr>
        <w:t>6</w:t>
      </w:r>
    </w:p>
    <w:p w14:paraId="751A5CBB" w14:textId="77777777" w:rsidR="001B1B69" w:rsidRPr="00DA7E48" w:rsidRDefault="001B1B69" w:rsidP="001B1B69">
      <w:pPr>
        <w:jc w:val="both"/>
        <w:rPr>
          <w:bCs/>
        </w:rPr>
      </w:pPr>
      <w:r w:rsidRPr="00DA7E48">
        <w:rPr>
          <w:bCs/>
        </w:rPr>
        <w:t xml:space="preserve">V prípadoch, kedy nebolo možné doručiť rozhodnutie o uložení pokuty a s ním súvisiace písomnosti podľa § 6 ods. 1 prvej a druhej vety, sa upravuje ďalšia možnosť doručovania rozhodnutia o uložení pokuty a s ním súvisiacej písomnosti inšpektorátom práce, a to na adresu oznámenú podľa § 4 ods. 1 písm. a) alebo § 4a ods. 1 písm. a), tzn. na adresu sídla spoločnosti, v prípade právnickej osoby alebo na adresu miesta podnikania v prípade fyzickej osoby. Zároveň sa upravuje rovnaký mechanizmus pre doručovanie rozhodnutia o uložení pokuty a s ním súvisiacej písomnosti Národného inšpektorátu práce, tzn. pôjde o rozhodnutia vydané v odvolacom konaní. </w:t>
      </w:r>
    </w:p>
    <w:p w14:paraId="0F645DC2" w14:textId="77777777" w:rsidR="001B1B69" w:rsidRPr="00DA7E48" w:rsidRDefault="001B1B69" w:rsidP="001B1B69">
      <w:pPr>
        <w:rPr>
          <w:b/>
        </w:rPr>
      </w:pPr>
    </w:p>
    <w:p w14:paraId="186D9DA4" w14:textId="7C0C1CC2" w:rsidR="001B1B69" w:rsidRPr="00DA7E48" w:rsidRDefault="001B1B69" w:rsidP="001B1B69">
      <w:pPr>
        <w:rPr>
          <w:b/>
        </w:rPr>
      </w:pPr>
      <w:r w:rsidRPr="00DA7E48">
        <w:rPr>
          <w:b/>
        </w:rPr>
        <w:t xml:space="preserve">K bodu </w:t>
      </w:r>
      <w:r w:rsidR="004D3982">
        <w:rPr>
          <w:b/>
        </w:rPr>
        <w:t>7</w:t>
      </w:r>
    </w:p>
    <w:p w14:paraId="40455EF7" w14:textId="77777777" w:rsidR="001B1B69" w:rsidRPr="00DA7E48" w:rsidRDefault="001B1B69" w:rsidP="001B1B69">
      <w:pPr>
        <w:jc w:val="both"/>
        <w:rPr>
          <w:bCs/>
        </w:rPr>
      </w:pPr>
      <w:r w:rsidRPr="00DA7E48">
        <w:rPr>
          <w:bCs/>
        </w:rPr>
        <w:t>Legislatívno-technická zmena vo väzbe na doplnenie právnej úpravy.</w:t>
      </w:r>
    </w:p>
    <w:p w14:paraId="40590106" w14:textId="77777777" w:rsidR="001B1B69" w:rsidRPr="00DA7E48" w:rsidRDefault="001B1B69" w:rsidP="001B1B69">
      <w:pPr>
        <w:rPr>
          <w:b/>
        </w:rPr>
      </w:pPr>
    </w:p>
    <w:p w14:paraId="31890E1C" w14:textId="77B827E6" w:rsidR="001B1B69" w:rsidRPr="00DA7E48" w:rsidRDefault="001B1B69" w:rsidP="001B1B69">
      <w:pPr>
        <w:rPr>
          <w:b/>
        </w:rPr>
      </w:pPr>
      <w:r w:rsidRPr="00DA7E48">
        <w:rPr>
          <w:b/>
        </w:rPr>
        <w:t xml:space="preserve">K bodu </w:t>
      </w:r>
      <w:r w:rsidR="004D3982">
        <w:rPr>
          <w:b/>
        </w:rPr>
        <w:t>8</w:t>
      </w:r>
    </w:p>
    <w:p w14:paraId="71EF1439" w14:textId="77777777" w:rsidR="001B1B69" w:rsidRPr="00DA7E48" w:rsidRDefault="001B1B69" w:rsidP="001B1B69">
      <w:pPr>
        <w:jc w:val="both"/>
        <w:rPr>
          <w:bCs/>
        </w:rPr>
      </w:pPr>
      <w:r w:rsidRPr="00DA7E48">
        <w:rPr>
          <w:bCs/>
        </w:rPr>
        <w:t xml:space="preserve">Legislatívno-technická zmena. </w:t>
      </w:r>
    </w:p>
    <w:p w14:paraId="7BE7B68E" w14:textId="49E8690B" w:rsidR="001B1B69" w:rsidRDefault="001B1B69" w:rsidP="001B1B69">
      <w:pPr>
        <w:rPr>
          <w:b/>
        </w:rPr>
      </w:pPr>
    </w:p>
    <w:p w14:paraId="7412BA57" w14:textId="5691D186" w:rsidR="008A3647" w:rsidRDefault="008A3647" w:rsidP="001B1B69">
      <w:pPr>
        <w:rPr>
          <w:b/>
        </w:rPr>
      </w:pPr>
    </w:p>
    <w:p w14:paraId="331FD873" w14:textId="77777777" w:rsidR="008A3647" w:rsidRPr="00DA7E48" w:rsidRDefault="008A3647" w:rsidP="001B1B69">
      <w:pPr>
        <w:rPr>
          <w:b/>
        </w:rPr>
      </w:pPr>
      <w:bookmarkStart w:id="1" w:name="_GoBack"/>
      <w:bookmarkEnd w:id="1"/>
    </w:p>
    <w:p w14:paraId="03535C80" w14:textId="6EDF9245" w:rsidR="001B1B69" w:rsidRPr="00DA7E48" w:rsidRDefault="001B1B69" w:rsidP="001B1B69">
      <w:pPr>
        <w:rPr>
          <w:b/>
        </w:rPr>
      </w:pPr>
      <w:r w:rsidRPr="00DA7E48">
        <w:rPr>
          <w:b/>
        </w:rPr>
        <w:lastRenderedPageBreak/>
        <w:t xml:space="preserve">K bodu </w:t>
      </w:r>
      <w:r w:rsidR="004D3982">
        <w:rPr>
          <w:b/>
        </w:rPr>
        <w:t>9</w:t>
      </w:r>
    </w:p>
    <w:p w14:paraId="3010582B" w14:textId="77777777" w:rsidR="001B1B69" w:rsidRPr="00DA7E48" w:rsidRDefault="001B1B69" w:rsidP="001B1B69">
      <w:pPr>
        <w:suppressAutoHyphens/>
        <w:jc w:val="both"/>
      </w:pPr>
      <w:r w:rsidRPr="00DA7E48">
        <w:t>Navrhuje sa do transpozičnej prílohy doplniť smernicu (EÚ) 2020/1057, ktorá sa návrhom zákona preberá do právneho poriadku Slovenskej republiky.</w:t>
      </w:r>
    </w:p>
    <w:p w14:paraId="5D8F66A8" w14:textId="3C51B1EE" w:rsidR="00D3362E" w:rsidRPr="00DA7E48" w:rsidRDefault="00D3362E" w:rsidP="0072154A"/>
    <w:p w14:paraId="32F7BFE5" w14:textId="79EF2B83" w:rsidR="009E7B2D" w:rsidRPr="00DA7E48" w:rsidRDefault="009E7B2D" w:rsidP="00993BB6">
      <w:pPr>
        <w:rPr>
          <w:b/>
          <w:u w:val="single"/>
        </w:rPr>
      </w:pPr>
      <w:r w:rsidRPr="00DA7E48">
        <w:rPr>
          <w:b/>
          <w:u w:val="single"/>
        </w:rPr>
        <w:t>K čl. IV</w:t>
      </w:r>
    </w:p>
    <w:p w14:paraId="66D8A342" w14:textId="49E176FE" w:rsidR="004E6627" w:rsidRPr="00C85950" w:rsidRDefault="00484E27" w:rsidP="00E10F72">
      <w:pPr>
        <w:jc w:val="both"/>
      </w:pPr>
      <w:r w:rsidRPr="00C85950">
        <w:t>Ustanovuje sa dátum nadobudnutia účinnosti návrhu zákona tak,</w:t>
      </w:r>
      <w:r w:rsidR="00CE0C06" w:rsidRPr="00DA7E48">
        <w:t xml:space="preserve"> aby bol v súlade s termínom na transpozíciu smernice Európskeho parlamentu a Rady (EÚ) 2020/1057 členskými štátmi</w:t>
      </w:r>
      <w:r w:rsidR="005706B4" w:rsidRPr="00DA7E48">
        <w:t>.</w:t>
      </w:r>
      <w:r w:rsidR="005706B4" w:rsidRPr="00C85950">
        <w:t xml:space="preserve"> Zároveň je subjektom</w:t>
      </w:r>
      <w:r w:rsidRPr="00C85950">
        <w:t xml:space="preserve">, ktorým sa ukladajú povinnosti podľa tohto zákona, </w:t>
      </w:r>
      <w:r w:rsidR="005706B4" w:rsidRPr="00C85950">
        <w:t>poskytnutá</w:t>
      </w:r>
      <w:r w:rsidRPr="00C85950">
        <w:t xml:space="preserve"> dostatočná </w:t>
      </w:r>
      <w:proofErr w:type="spellStart"/>
      <w:r w:rsidRPr="00C85950">
        <w:t>legisvakančná</w:t>
      </w:r>
      <w:proofErr w:type="spellEnd"/>
      <w:r w:rsidRPr="00C85950">
        <w:t xml:space="preserve"> lehota</w:t>
      </w:r>
      <w:r w:rsidR="00DC4AFF" w:rsidRPr="00C85950">
        <w:t>.</w:t>
      </w:r>
      <w:r w:rsidR="0041674D" w:rsidRPr="00C85950">
        <w:t xml:space="preserve"> </w:t>
      </w:r>
    </w:p>
    <w:p w14:paraId="47873CD5" w14:textId="3B5DEE78" w:rsidR="00DC4AFF" w:rsidRDefault="00DC4AFF" w:rsidP="00E10F72">
      <w:pPr>
        <w:jc w:val="both"/>
      </w:pPr>
    </w:p>
    <w:p w14:paraId="43E0037B" w14:textId="1774AF0F" w:rsidR="00D9602C" w:rsidRDefault="006E400C" w:rsidP="00E10F72">
      <w:pPr>
        <w:jc w:val="both"/>
      </w:pPr>
      <w:r>
        <w:t xml:space="preserve">Bratislava </w:t>
      </w:r>
      <w:r w:rsidR="008C04D4">
        <w:t>31</w:t>
      </w:r>
      <w:r>
        <w:t>. augusta 2021</w:t>
      </w:r>
    </w:p>
    <w:p w14:paraId="2C7ADD20" w14:textId="0F4D4171" w:rsidR="00D9602C" w:rsidRDefault="00D9602C" w:rsidP="00E10F72">
      <w:pPr>
        <w:jc w:val="both"/>
      </w:pPr>
    </w:p>
    <w:p w14:paraId="21D44C6B" w14:textId="482A7CF0" w:rsidR="00D9602C" w:rsidRDefault="00D9602C" w:rsidP="00E10F72">
      <w:pPr>
        <w:jc w:val="both"/>
      </w:pPr>
    </w:p>
    <w:p w14:paraId="2107CD98" w14:textId="25F9EB06" w:rsidR="00D9602C" w:rsidRDefault="00D9602C" w:rsidP="00E10F72">
      <w:pPr>
        <w:jc w:val="both"/>
      </w:pPr>
    </w:p>
    <w:p w14:paraId="7FB9FF78" w14:textId="4680D9EF" w:rsidR="00D9602C" w:rsidRPr="0020795F" w:rsidRDefault="0020795F" w:rsidP="0020795F">
      <w:pPr>
        <w:jc w:val="center"/>
        <w:rPr>
          <w:b/>
        </w:rPr>
      </w:pPr>
      <w:r>
        <w:rPr>
          <w:b/>
        </w:rPr>
        <w:t xml:space="preserve">Eduard </w:t>
      </w:r>
      <w:proofErr w:type="spellStart"/>
      <w:r>
        <w:rPr>
          <w:b/>
        </w:rPr>
        <w:t>Heger</w:t>
      </w:r>
      <w:proofErr w:type="spellEnd"/>
    </w:p>
    <w:p w14:paraId="43D3F4FC" w14:textId="32BF366A" w:rsidR="00D9602C" w:rsidRDefault="0020795F" w:rsidP="0020795F">
      <w:pPr>
        <w:jc w:val="center"/>
      </w:pPr>
      <w:r>
        <w:t>predseda vlády Slovenskej republiky</w:t>
      </w:r>
    </w:p>
    <w:p w14:paraId="096FD350" w14:textId="38BE242A" w:rsidR="00D9602C" w:rsidRDefault="00D9602C" w:rsidP="00E10F72">
      <w:pPr>
        <w:jc w:val="both"/>
      </w:pPr>
    </w:p>
    <w:p w14:paraId="717E1E58" w14:textId="5AE5BCCD" w:rsidR="00D9602C" w:rsidRDefault="00D9602C" w:rsidP="00E10F72">
      <w:pPr>
        <w:jc w:val="both"/>
      </w:pPr>
    </w:p>
    <w:p w14:paraId="3A88E50E" w14:textId="58F30034" w:rsidR="00D9602C" w:rsidRDefault="00D9602C" w:rsidP="00E10F72">
      <w:pPr>
        <w:jc w:val="both"/>
      </w:pPr>
    </w:p>
    <w:p w14:paraId="7D5BB848" w14:textId="621B1BDB" w:rsidR="00D9602C" w:rsidRPr="0020795F" w:rsidRDefault="0020795F" w:rsidP="0020795F">
      <w:pPr>
        <w:jc w:val="center"/>
        <w:rPr>
          <w:b/>
        </w:rPr>
      </w:pPr>
      <w:r>
        <w:rPr>
          <w:b/>
        </w:rPr>
        <w:t>Andrej Doležal</w:t>
      </w:r>
    </w:p>
    <w:p w14:paraId="5C90A305" w14:textId="173D4DFE" w:rsidR="00401C5E" w:rsidRDefault="0020795F" w:rsidP="0020795F">
      <w:pPr>
        <w:jc w:val="center"/>
      </w:pPr>
      <w:r>
        <w:t>minister dopravy a výstavby</w:t>
      </w:r>
    </w:p>
    <w:p w14:paraId="455F93A1" w14:textId="270329B2" w:rsidR="0020795F" w:rsidRDefault="0020795F" w:rsidP="0020795F">
      <w:pPr>
        <w:jc w:val="center"/>
      </w:pPr>
      <w:r>
        <w:t>Slovenskej republiky</w:t>
      </w:r>
    </w:p>
    <w:p w14:paraId="581A41DD" w14:textId="77777777" w:rsidR="0020795F" w:rsidRDefault="0020795F" w:rsidP="00E10F72">
      <w:pPr>
        <w:jc w:val="both"/>
      </w:pPr>
    </w:p>
    <w:sectPr w:rsidR="0020795F" w:rsidSect="00FF0C63">
      <w:pgSz w:w="11906" w:h="16838"/>
      <w:pgMar w:top="1418"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61504" w14:textId="77777777" w:rsidR="00152939" w:rsidRDefault="00152939">
      <w:r>
        <w:separator/>
      </w:r>
    </w:p>
  </w:endnote>
  <w:endnote w:type="continuationSeparator" w:id="0">
    <w:p w14:paraId="573A5920" w14:textId="77777777" w:rsidR="00152939" w:rsidRDefault="0015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swiss"/>
    <w:notTrueType/>
    <w:pitch w:val="default"/>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F1F11" w14:textId="77777777" w:rsidR="00871C14" w:rsidRDefault="00871C1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42A7AF4F" w14:textId="77777777" w:rsidR="00871C14" w:rsidRDefault="00871C14">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994312"/>
      <w:docPartObj>
        <w:docPartGallery w:val="Page Numbers (Bottom of Page)"/>
        <w:docPartUnique/>
      </w:docPartObj>
    </w:sdtPr>
    <w:sdtEndPr/>
    <w:sdtContent>
      <w:p w14:paraId="5056F3D4" w14:textId="7ABF97FA" w:rsidR="00871C14" w:rsidRDefault="00871C14">
        <w:pPr>
          <w:pStyle w:val="Pta"/>
          <w:jc w:val="center"/>
        </w:pPr>
        <w:r>
          <w:fldChar w:fldCharType="begin"/>
        </w:r>
        <w:r>
          <w:instrText>PAGE   \* MERGEFORMAT</w:instrText>
        </w:r>
        <w:r>
          <w:fldChar w:fldCharType="separate"/>
        </w:r>
        <w:r w:rsidR="008A3647">
          <w:rPr>
            <w:noProof/>
          </w:rPr>
          <w:t>10</w:t>
        </w:r>
        <w:r>
          <w:fldChar w:fldCharType="end"/>
        </w:r>
      </w:p>
    </w:sdtContent>
  </w:sdt>
  <w:p w14:paraId="32D4F9B6" w14:textId="77777777" w:rsidR="00871C14" w:rsidRDefault="00871C14">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E0446" w14:textId="1916243B" w:rsidR="00871C14" w:rsidRDefault="00871C14" w:rsidP="00871C14">
    <w:pPr>
      <w:pStyle w:val="Pta"/>
      <w:jc w:val="center"/>
    </w:pPr>
    <w:r>
      <w:fldChar w:fldCharType="begin"/>
    </w:r>
    <w:r>
      <w:instrText>PAGE   \* MERGEFORMAT</w:instrText>
    </w:r>
    <w:r>
      <w:fldChar w:fldCharType="separate"/>
    </w:r>
    <w:r w:rsidR="008A3647">
      <w:rPr>
        <w:noProof/>
      </w:rPr>
      <w:t>20</w:t>
    </w:r>
    <w:r>
      <w:fldChar w:fldCharType="end"/>
    </w:r>
  </w:p>
  <w:p w14:paraId="0CF6D6F6" w14:textId="77777777" w:rsidR="00871C14" w:rsidRDefault="00871C14">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E277D" w14:textId="4E23DE38" w:rsidR="002C4CC2" w:rsidRDefault="00473F13">
    <w:pPr>
      <w:pStyle w:val="Pta"/>
      <w:framePr w:wrap="auto" w:vAnchor="text" w:hAnchor="margin" w:xAlign="center" w:y="1"/>
      <w:rPr>
        <w:rStyle w:val="slostrany"/>
      </w:rPr>
    </w:pPr>
    <w:r>
      <w:rPr>
        <w:rStyle w:val="slostrany"/>
      </w:rPr>
      <w:fldChar w:fldCharType="begin"/>
    </w:r>
    <w:r w:rsidR="002C4CC2">
      <w:rPr>
        <w:rStyle w:val="slostrany"/>
      </w:rPr>
      <w:instrText xml:space="preserve">PAGE  </w:instrText>
    </w:r>
    <w:r>
      <w:rPr>
        <w:rStyle w:val="slostrany"/>
      </w:rPr>
      <w:fldChar w:fldCharType="separate"/>
    </w:r>
    <w:r w:rsidR="008A3647">
      <w:rPr>
        <w:rStyle w:val="slostrany"/>
        <w:noProof/>
      </w:rPr>
      <w:t>28</w:t>
    </w:r>
    <w:r>
      <w:rPr>
        <w:rStyle w:val="slostrany"/>
      </w:rPr>
      <w:fldChar w:fldCharType="end"/>
    </w:r>
  </w:p>
  <w:p w14:paraId="14CDB3E4" w14:textId="77777777" w:rsidR="002C4CC2" w:rsidRDefault="002C4CC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EF9BB" w14:textId="77777777" w:rsidR="00152939" w:rsidRDefault="00152939">
      <w:r>
        <w:separator/>
      </w:r>
    </w:p>
  </w:footnote>
  <w:footnote w:type="continuationSeparator" w:id="0">
    <w:p w14:paraId="1D9EA970" w14:textId="77777777" w:rsidR="00152939" w:rsidRDefault="00152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84442" w14:textId="77777777" w:rsidR="00871C14" w:rsidRDefault="00871C14" w:rsidP="00EA50BD">
    <w:pPr>
      <w:pStyle w:val="Hlavika"/>
      <w:jc w:val="right"/>
    </w:pPr>
    <w:r>
      <w:t>Príloha č. 2</w:t>
    </w:r>
  </w:p>
  <w:p w14:paraId="56DF568B" w14:textId="77777777" w:rsidR="00871C14" w:rsidRPr="00EB59C8" w:rsidRDefault="00871C14" w:rsidP="00EA50BD">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391"/>
    <w:multiLevelType w:val="hybridMultilevel"/>
    <w:tmpl w:val="12DCF104"/>
    <w:lvl w:ilvl="0" w:tplc="08CCE072">
      <w:start w:val="10"/>
      <w:numFmt w:val="lowerRoman"/>
      <w:lvlText w:val="%1)"/>
      <w:lvlJc w:val="left"/>
      <w:pPr>
        <w:tabs>
          <w:tab w:val="num" w:pos="1080"/>
        </w:tabs>
        <w:ind w:left="1080" w:hanging="72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1B2A5343"/>
    <w:multiLevelType w:val="hybridMultilevel"/>
    <w:tmpl w:val="346A2076"/>
    <w:lvl w:ilvl="0" w:tplc="873ECF46">
      <w:start w:val="1"/>
      <w:numFmt w:val="decimal"/>
      <w:lvlText w:val="(%1)"/>
      <w:lvlJc w:val="left"/>
      <w:pPr>
        <w:tabs>
          <w:tab w:val="num" w:pos="750"/>
        </w:tabs>
        <w:ind w:left="750" w:hanging="39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1B4966E6"/>
    <w:multiLevelType w:val="hybridMultilevel"/>
    <w:tmpl w:val="6F5A5568"/>
    <w:lvl w:ilvl="0" w:tplc="0C6A9526">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24631E63"/>
    <w:multiLevelType w:val="hybridMultilevel"/>
    <w:tmpl w:val="C88053DC"/>
    <w:lvl w:ilvl="0" w:tplc="1DE8C97A">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26A26124"/>
    <w:multiLevelType w:val="hybridMultilevel"/>
    <w:tmpl w:val="C0A63D3E"/>
    <w:lvl w:ilvl="0" w:tplc="3E301570">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29BE0D55"/>
    <w:multiLevelType w:val="hybridMultilevel"/>
    <w:tmpl w:val="2F789B22"/>
    <w:lvl w:ilvl="0" w:tplc="84D8BDCE">
      <w:start w:val="2"/>
      <w:numFmt w:val="bullet"/>
      <w:lvlText w:val="-"/>
      <w:lvlJc w:val="left"/>
      <w:pPr>
        <w:tabs>
          <w:tab w:val="num" w:pos="4560"/>
        </w:tabs>
        <w:ind w:left="4560" w:hanging="360"/>
      </w:pPr>
      <w:rPr>
        <w:rFonts w:ascii="Times New Roman" w:eastAsia="Times New Roman" w:hAnsi="Times New Roman" w:hint="default"/>
      </w:rPr>
    </w:lvl>
    <w:lvl w:ilvl="1" w:tplc="04050003">
      <w:start w:val="1"/>
      <w:numFmt w:val="bullet"/>
      <w:lvlText w:val="o"/>
      <w:lvlJc w:val="left"/>
      <w:pPr>
        <w:tabs>
          <w:tab w:val="num" w:pos="5280"/>
        </w:tabs>
        <w:ind w:left="5280" w:hanging="360"/>
      </w:pPr>
      <w:rPr>
        <w:rFonts w:ascii="Courier New" w:hAnsi="Courier New" w:hint="default"/>
      </w:rPr>
    </w:lvl>
    <w:lvl w:ilvl="2" w:tplc="04050005">
      <w:start w:val="1"/>
      <w:numFmt w:val="bullet"/>
      <w:lvlText w:val=""/>
      <w:lvlJc w:val="left"/>
      <w:pPr>
        <w:tabs>
          <w:tab w:val="num" w:pos="6000"/>
        </w:tabs>
        <w:ind w:left="6000" w:hanging="360"/>
      </w:pPr>
      <w:rPr>
        <w:rFonts w:ascii="Wingdings" w:hAnsi="Wingdings" w:hint="default"/>
      </w:rPr>
    </w:lvl>
    <w:lvl w:ilvl="3" w:tplc="04050001">
      <w:start w:val="1"/>
      <w:numFmt w:val="bullet"/>
      <w:lvlText w:val=""/>
      <w:lvlJc w:val="left"/>
      <w:pPr>
        <w:tabs>
          <w:tab w:val="num" w:pos="6720"/>
        </w:tabs>
        <w:ind w:left="6720" w:hanging="360"/>
      </w:pPr>
      <w:rPr>
        <w:rFonts w:ascii="Symbol" w:hAnsi="Symbol" w:hint="default"/>
      </w:rPr>
    </w:lvl>
    <w:lvl w:ilvl="4" w:tplc="04050003">
      <w:start w:val="1"/>
      <w:numFmt w:val="bullet"/>
      <w:lvlText w:val="o"/>
      <w:lvlJc w:val="left"/>
      <w:pPr>
        <w:tabs>
          <w:tab w:val="num" w:pos="7440"/>
        </w:tabs>
        <w:ind w:left="7440" w:hanging="360"/>
      </w:pPr>
      <w:rPr>
        <w:rFonts w:ascii="Courier New" w:hAnsi="Courier New" w:hint="default"/>
      </w:rPr>
    </w:lvl>
    <w:lvl w:ilvl="5" w:tplc="04050005">
      <w:start w:val="1"/>
      <w:numFmt w:val="bullet"/>
      <w:lvlText w:val=""/>
      <w:lvlJc w:val="left"/>
      <w:pPr>
        <w:tabs>
          <w:tab w:val="num" w:pos="8160"/>
        </w:tabs>
        <w:ind w:left="8160" w:hanging="360"/>
      </w:pPr>
      <w:rPr>
        <w:rFonts w:ascii="Wingdings" w:hAnsi="Wingdings" w:hint="default"/>
      </w:rPr>
    </w:lvl>
    <w:lvl w:ilvl="6" w:tplc="04050001">
      <w:start w:val="1"/>
      <w:numFmt w:val="bullet"/>
      <w:lvlText w:val=""/>
      <w:lvlJc w:val="left"/>
      <w:pPr>
        <w:tabs>
          <w:tab w:val="num" w:pos="8880"/>
        </w:tabs>
        <w:ind w:left="8880" w:hanging="360"/>
      </w:pPr>
      <w:rPr>
        <w:rFonts w:ascii="Symbol" w:hAnsi="Symbol" w:hint="default"/>
      </w:rPr>
    </w:lvl>
    <w:lvl w:ilvl="7" w:tplc="04050003">
      <w:start w:val="1"/>
      <w:numFmt w:val="bullet"/>
      <w:lvlText w:val="o"/>
      <w:lvlJc w:val="left"/>
      <w:pPr>
        <w:tabs>
          <w:tab w:val="num" w:pos="9600"/>
        </w:tabs>
        <w:ind w:left="9600" w:hanging="360"/>
      </w:pPr>
      <w:rPr>
        <w:rFonts w:ascii="Courier New" w:hAnsi="Courier New" w:hint="default"/>
      </w:rPr>
    </w:lvl>
    <w:lvl w:ilvl="8" w:tplc="04050005">
      <w:start w:val="1"/>
      <w:numFmt w:val="bullet"/>
      <w:lvlText w:val=""/>
      <w:lvlJc w:val="left"/>
      <w:pPr>
        <w:tabs>
          <w:tab w:val="num" w:pos="10320"/>
        </w:tabs>
        <w:ind w:left="10320" w:hanging="360"/>
      </w:pPr>
      <w:rPr>
        <w:rFonts w:ascii="Wingdings" w:hAnsi="Wingdings" w:hint="default"/>
      </w:rPr>
    </w:lvl>
  </w:abstractNum>
  <w:abstractNum w:abstractNumId="6" w15:restartNumberingAfterBreak="0">
    <w:nsid w:val="34335643"/>
    <w:multiLevelType w:val="hybridMultilevel"/>
    <w:tmpl w:val="145A20E0"/>
    <w:lvl w:ilvl="0" w:tplc="166A4A84">
      <w:numFmt w:val="bullet"/>
      <w:lvlText w:val="-"/>
      <w:lvlJc w:val="left"/>
      <w:pPr>
        <w:tabs>
          <w:tab w:val="num" w:pos="3900"/>
        </w:tabs>
        <w:ind w:left="3900" w:hanging="360"/>
      </w:pPr>
      <w:rPr>
        <w:rFonts w:ascii="Times New Roman" w:eastAsia="Times New Roman" w:hAnsi="Times New Roman" w:hint="default"/>
      </w:rPr>
    </w:lvl>
    <w:lvl w:ilvl="1" w:tplc="04050003">
      <w:start w:val="1"/>
      <w:numFmt w:val="bullet"/>
      <w:lvlText w:val="o"/>
      <w:lvlJc w:val="left"/>
      <w:pPr>
        <w:tabs>
          <w:tab w:val="num" w:pos="4620"/>
        </w:tabs>
        <w:ind w:left="4620" w:hanging="360"/>
      </w:pPr>
      <w:rPr>
        <w:rFonts w:ascii="Courier New" w:hAnsi="Courier New" w:hint="default"/>
      </w:rPr>
    </w:lvl>
    <w:lvl w:ilvl="2" w:tplc="04050005">
      <w:start w:val="1"/>
      <w:numFmt w:val="bullet"/>
      <w:lvlText w:val=""/>
      <w:lvlJc w:val="left"/>
      <w:pPr>
        <w:tabs>
          <w:tab w:val="num" w:pos="5340"/>
        </w:tabs>
        <w:ind w:left="5340" w:hanging="360"/>
      </w:pPr>
      <w:rPr>
        <w:rFonts w:ascii="Wingdings" w:hAnsi="Wingdings" w:hint="default"/>
      </w:rPr>
    </w:lvl>
    <w:lvl w:ilvl="3" w:tplc="04050001">
      <w:start w:val="1"/>
      <w:numFmt w:val="bullet"/>
      <w:lvlText w:val=""/>
      <w:lvlJc w:val="left"/>
      <w:pPr>
        <w:tabs>
          <w:tab w:val="num" w:pos="6060"/>
        </w:tabs>
        <w:ind w:left="6060" w:hanging="360"/>
      </w:pPr>
      <w:rPr>
        <w:rFonts w:ascii="Symbol" w:hAnsi="Symbol" w:hint="default"/>
      </w:rPr>
    </w:lvl>
    <w:lvl w:ilvl="4" w:tplc="04050003">
      <w:start w:val="1"/>
      <w:numFmt w:val="bullet"/>
      <w:lvlText w:val="o"/>
      <w:lvlJc w:val="left"/>
      <w:pPr>
        <w:tabs>
          <w:tab w:val="num" w:pos="6780"/>
        </w:tabs>
        <w:ind w:left="6780" w:hanging="360"/>
      </w:pPr>
      <w:rPr>
        <w:rFonts w:ascii="Courier New" w:hAnsi="Courier New" w:hint="default"/>
      </w:rPr>
    </w:lvl>
    <w:lvl w:ilvl="5" w:tplc="04050005">
      <w:start w:val="1"/>
      <w:numFmt w:val="bullet"/>
      <w:lvlText w:val=""/>
      <w:lvlJc w:val="left"/>
      <w:pPr>
        <w:tabs>
          <w:tab w:val="num" w:pos="7500"/>
        </w:tabs>
        <w:ind w:left="7500" w:hanging="360"/>
      </w:pPr>
      <w:rPr>
        <w:rFonts w:ascii="Wingdings" w:hAnsi="Wingdings" w:hint="default"/>
      </w:rPr>
    </w:lvl>
    <w:lvl w:ilvl="6" w:tplc="04050001">
      <w:start w:val="1"/>
      <w:numFmt w:val="bullet"/>
      <w:lvlText w:val=""/>
      <w:lvlJc w:val="left"/>
      <w:pPr>
        <w:tabs>
          <w:tab w:val="num" w:pos="8220"/>
        </w:tabs>
        <w:ind w:left="8220" w:hanging="360"/>
      </w:pPr>
      <w:rPr>
        <w:rFonts w:ascii="Symbol" w:hAnsi="Symbol" w:hint="default"/>
      </w:rPr>
    </w:lvl>
    <w:lvl w:ilvl="7" w:tplc="04050003">
      <w:start w:val="1"/>
      <w:numFmt w:val="bullet"/>
      <w:lvlText w:val="o"/>
      <w:lvlJc w:val="left"/>
      <w:pPr>
        <w:tabs>
          <w:tab w:val="num" w:pos="8940"/>
        </w:tabs>
        <w:ind w:left="8940" w:hanging="360"/>
      </w:pPr>
      <w:rPr>
        <w:rFonts w:ascii="Courier New" w:hAnsi="Courier New" w:hint="default"/>
      </w:rPr>
    </w:lvl>
    <w:lvl w:ilvl="8" w:tplc="04050005">
      <w:start w:val="1"/>
      <w:numFmt w:val="bullet"/>
      <w:lvlText w:val=""/>
      <w:lvlJc w:val="left"/>
      <w:pPr>
        <w:tabs>
          <w:tab w:val="num" w:pos="9660"/>
        </w:tabs>
        <w:ind w:left="9660" w:hanging="360"/>
      </w:pPr>
      <w:rPr>
        <w:rFonts w:ascii="Wingdings" w:hAnsi="Wingdings" w:hint="default"/>
      </w:rPr>
    </w:lvl>
  </w:abstractNum>
  <w:abstractNum w:abstractNumId="7" w15:restartNumberingAfterBreak="0">
    <w:nsid w:val="35373585"/>
    <w:multiLevelType w:val="hybridMultilevel"/>
    <w:tmpl w:val="2DDA4ED2"/>
    <w:lvl w:ilvl="0" w:tplc="034AA832">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38606DAA"/>
    <w:multiLevelType w:val="hybridMultilevel"/>
    <w:tmpl w:val="137E3F4A"/>
    <w:lvl w:ilvl="0" w:tplc="9488A0A2">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3B625D52"/>
    <w:multiLevelType w:val="hybridMultilevel"/>
    <w:tmpl w:val="1B304BE0"/>
    <w:lvl w:ilvl="0" w:tplc="F104CCB6">
      <w:start w:val="3"/>
      <w:numFmt w:val="decimal"/>
      <w:lvlText w:val="(%1)"/>
      <w:lvlJc w:val="left"/>
      <w:pPr>
        <w:tabs>
          <w:tab w:val="num" w:pos="780"/>
        </w:tabs>
        <w:ind w:left="780" w:hanging="420"/>
      </w:pPr>
      <w:rPr>
        <w:rFonts w:ascii="Times New Roman" w:hAnsi="Times New Roman" w:cs="Times New Roman" w:hint="default"/>
        <w:b w:val="0"/>
        <w:bCs w:val="0"/>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408A3BAE"/>
    <w:multiLevelType w:val="hybridMultilevel"/>
    <w:tmpl w:val="E0FCDF3A"/>
    <w:lvl w:ilvl="0" w:tplc="A39895F2">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1" w15:restartNumberingAfterBreak="0">
    <w:nsid w:val="41052867"/>
    <w:multiLevelType w:val="hybridMultilevel"/>
    <w:tmpl w:val="DFE04854"/>
    <w:lvl w:ilvl="0" w:tplc="B67AE73E">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49F87325"/>
    <w:multiLevelType w:val="hybridMultilevel"/>
    <w:tmpl w:val="4FDAE5C2"/>
    <w:lvl w:ilvl="0" w:tplc="53569F16">
      <w:start w:val="1"/>
      <w:numFmt w:val="decimal"/>
      <w:lvlText w:val="%1."/>
      <w:lvlJc w:val="left"/>
      <w:pPr>
        <w:tabs>
          <w:tab w:val="num" w:pos="0"/>
        </w:tabs>
        <w:ind w:left="357" w:hanging="357"/>
      </w:pPr>
      <w:rPr>
        <w:rFonts w:ascii="Times New Roman" w:hAnsi="Times New Roman" w:cs="Times New Roman"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4B0F30A9"/>
    <w:multiLevelType w:val="hybridMultilevel"/>
    <w:tmpl w:val="EAC8B106"/>
    <w:lvl w:ilvl="0" w:tplc="0F661820">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4DA5719D"/>
    <w:multiLevelType w:val="hybridMultilevel"/>
    <w:tmpl w:val="3E6C1728"/>
    <w:lvl w:ilvl="0" w:tplc="7A70801C">
      <w:start w:val="10"/>
      <w:numFmt w:val="lowerRoman"/>
      <w:lvlText w:val="%1)"/>
      <w:lvlJc w:val="left"/>
      <w:pPr>
        <w:tabs>
          <w:tab w:val="num" w:pos="1080"/>
        </w:tabs>
        <w:ind w:left="1080" w:hanging="72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4E3D4A7E"/>
    <w:multiLevelType w:val="hybridMultilevel"/>
    <w:tmpl w:val="67C6B5C4"/>
    <w:lvl w:ilvl="0" w:tplc="1DCC80CA">
      <w:numFmt w:val="bullet"/>
      <w:lvlText w:val="-"/>
      <w:lvlJc w:val="left"/>
      <w:pPr>
        <w:tabs>
          <w:tab w:val="num" w:pos="1065"/>
        </w:tabs>
        <w:ind w:left="1065" w:hanging="360"/>
      </w:pPr>
      <w:rPr>
        <w:rFonts w:ascii="Times New Roman" w:eastAsia="Times New Roman" w:hAnsi="Times New Roman" w:hint="default"/>
      </w:rPr>
    </w:lvl>
    <w:lvl w:ilvl="1" w:tplc="04050003">
      <w:start w:val="1"/>
      <w:numFmt w:val="bullet"/>
      <w:lvlText w:val="o"/>
      <w:lvlJc w:val="left"/>
      <w:pPr>
        <w:tabs>
          <w:tab w:val="num" w:pos="1785"/>
        </w:tabs>
        <w:ind w:left="1785" w:hanging="360"/>
      </w:pPr>
      <w:rPr>
        <w:rFonts w:ascii="Courier New" w:hAnsi="Courier New"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524F71A4"/>
    <w:multiLevelType w:val="hybridMultilevel"/>
    <w:tmpl w:val="4C247F52"/>
    <w:lvl w:ilvl="0" w:tplc="2738FD12">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5E8C757C"/>
    <w:multiLevelType w:val="hybridMultilevel"/>
    <w:tmpl w:val="191ED4A0"/>
    <w:lvl w:ilvl="0" w:tplc="E67E0D6A">
      <w:start w:val="1"/>
      <w:numFmt w:val="decimal"/>
      <w:lvlText w:val="%1."/>
      <w:lvlJc w:val="left"/>
      <w:pPr>
        <w:tabs>
          <w:tab w:val="num" w:pos="780"/>
        </w:tabs>
        <w:ind w:left="780" w:hanging="360"/>
      </w:pPr>
      <w:rPr>
        <w:rFonts w:ascii="Times New Roman" w:hAnsi="Times New Roman" w:cs="Times New Roman" w:hint="default"/>
      </w:rPr>
    </w:lvl>
    <w:lvl w:ilvl="1" w:tplc="04050019">
      <w:start w:val="1"/>
      <w:numFmt w:val="lowerLetter"/>
      <w:lvlText w:val="%2."/>
      <w:lvlJc w:val="left"/>
      <w:pPr>
        <w:tabs>
          <w:tab w:val="num" w:pos="1500"/>
        </w:tabs>
        <w:ind w:left="1500" w:hanging="360"/>
      </w:pPr>
      <w:rPr>
        <w:rFonts w:ascii="Times New Roman" w:hAnsi="Times New Roman" w:cs="Times New Roman"/>
      </w:rPr>
    </w:lvl>
    <w:lvl w:ilvl="2" w:tplc="0405001B">
      <w:start w:val="1"/>
      <w:numFmt w:val="lowerRoman"/>
      <w:lvlText w:val="%3."/>
      <w:lvlJc w:val="right"/>
      <w:pPr>
        <w:tabs>
          <w:tab w:val="num" w:pos="2220"/>
        </w:tabs>
        <w:ind w:left="2220" w:hanging="180"/>
      </w:pPr>
      <w:rPr>
        <w:rFonts w:ascii="Times New Roman" w:hAnsi="Times New Roman" w:cs="Times New Roman"/>
      </w:rPr>
    </w:lvl>
    <w:lvl w:ilvl="3" w:tplc="0405000F">
      <w:start w:val="1"/>
      <w:numFmt w:val="decimal"/>
      <w:lvlText w:val="%4."/>
      <w:lvlJc w:val="left"/>
      <w:pPr>
        <w:tabs>
          <w:tab w:val="num" w:pos="2940"/>
        </w:tabs>
        <w:ind w:left="2940" w:hanging="360"/>
      </w:pPr>
      <w:rPr>
        <w:rFonts w:ascii="Times New Roman" w:hAnsi="Times New Roman" w:cs="Times New Roman"/>
      </w:rPr>
    </w:lvl>
    <w:lvl w:ilvl="4" w:tplc="04050019">
      <w:start w:val="1"/>
      <w:numFmt w:val="lowerLetter"/>
      <w:lvlText w:val="%5."/>
      <w:lvlJc w:val="left"/>
      <w:pPr>
        <w:tabs>
          <w:tab w:val="num" w:pos="3660"/>
        </w:tabs>
        <w:ind w:left="3660" w:hanging="360"/>
      </w:pPr>
      <w:rPr>
        <w:rFonts w:ascii="Times New Roman" w:hAnsi="Times New Roman" w:cs="Times New Roman"/>
      </w:rPr>
    </w:lvl>
    <w:lvl w:ilvl="5" w:tplc="0405001B">
      <w:start w:val="1"/>
      <w:numFmt w:val="lowerRoman"/>
      <w:lvlText w:val="%6."/>
      <w:lvlJc w:val="right"/>
      <w:pPr>
        <w:tabs>
          <w:tab w:val="num" w:pos="4380"/>
        </w:tabs>
        <w:ind w:left="4380" w:hanging="180"/>
      </w:pPr>
      <w:rPr>
        <w:rFonts w:ascii="Times New Roman" w:hAnsi="Times New Roman" w:cs="Times New Roman"/>
      </w:rPr>
    </w:lvl>
    <w:lvl w:ilvl="6" w:tplc="0405000F">
      <w:start w:val="1"/>
      <w:numFmt w:val="decimal"/>
      <w:lvlText w:val="%7."/>
      <w:lvlJc w:val="left"/>
      <w:pPr>
        <w:tabs>
          <w:tab w:val="num" w:pos="5100"/>
        </w:tabs>
        <w:ind w:left="5100" w:hanging="360"/>
      </w:pPr>
      <w:rPr>
        <w:rFonts w:ascii="Times New Roman" w:hAnsi="Times New Roman" w:cs="Times New Roman"/>
      </w:rPr>
    </w:lvl>
    <w:lvl w:ilvl="7" w:tplc="04050019">
      <w:start w:val="1"/>
      <w:numFmt w:val="lowerLetter"/>
      <w:lvlText w:val="%8."/>
      <w:lvlJc w:val="left"/>
      <w:pPr>
        <w:tabs>
          <w:tab w:val="num" w:pos="5820"/>
        </w:tabs>
        <w:ind w:left="5820" w:hanging="360"/>
      </w:pPr>
      <w:rPr>
        <w:rFonts w:ascii="Times New Roman" w:hAnsi="Times New Roman" w:cs="Times New Roman"/>
      </w:rPr>
    </w:lvl>
    <w:lvl w:ilvl="8" w:tplc="0405001B">
      <w:start w:val="1"/>
      <w:numFmt w:val="lowerRoman"/>
      <w:lvlText w:val="%9."/>
      <w:lvlJc w:val="right"/>
      <w:pPr>
        <w:tabs>
          <w:tab w:val="num" w:pos="6540"/>
        </w:tabs>
        <w:ind w:left="6540" w:hanging="180"/>
      </w:pPr>
      <w:rPr>
        <w:rFonts w:ascii="Times New Roman" w:hAnsi="Times New Roman" w:cs="Times New Roman"/>
      </w:rPr>
    </w:lvl>
  </w:abstractNum>
  <w:abstractNum w:abstractNumId="18" w15:restartNumberingAfterBreak="0">
    <w:nsid w:val="5FA100B3"/>
    <w:multiLevelType w:val="multilevel"/>
    <w:tmpl w:val="F6C0AC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7D106E"/>
    <w:multiLevelType w:val="hybridMultilevel"/>
    <w:tmpl w:val="F32EE370"/>
    <w:lvl w:ilvl="0" w:tplc="E42646F8">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7921460"/>
    <w:multiLevelType w:val="hybridMultilevel"/>
    <w:tmpl w:val="BC743364"/>
    <w:lvl w:ilvl="0" w:tplc="349216F6">
      <w:start w:val="1"/>
      <w:numFmt w:val="decimal"/>
      <w:lvlText w:val="%1."/>
      <w:lvlJc w:val="left"/>
      <w:pPr>
        <w:tabs>
          <w:tab w:val="num" w:pos="720"/>
        </w:tabs>
        <w:ind w:left="720" w:hanging="360"/>
      </w:pPr>
      <w:rPr>
        <w:rFonts w:ascii="Times New Roman" w:hAnsi="Times New Roman" w:cs="Times New Roman" w:hint="default"/>
        <w:b/>
        <w:bCs/>
      </w:rPr>
    </w:lvl>
    <w:lvl w:ilvl="1" w:tplc="D39EE7B6">
      <w:start w:val="1"/>
      <w:numFmt w:val="lowerLetter"/>
      <w:lvlText w:val="%2)"/>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6B6269A6"/>
    <w:multiLevelType w:val="hybridMultilevel"/>
    <w:tmpl w:val="B176992E"/>
    <w:lvl w:ilvl="0" w:tplc="69B6CE5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78F94584"/>
    <w:multiLevelType w:val="hybridMultilevel"/>
    <w:tmpl w:val="55B44BB4"/>
    <w:lvl w:ilvl="0" w:tplc="4F68C88C">
      <w:start w:val="10"/>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6"/>
  </w:num>
  <w:num w:numId="2">
    <w:abstractNumId w:val="17"/>
  </w:num>
  <w:num w:numId="3">
    <w:abstractNumId w:val="13"/>
  </w:num>
  <w:num w:numId="4">
    <w:abstractNumId w:val="20"/>
  </w:num>
  <w:num w:numId="5">
    <w:abstractNumId w:val="16"/>
  </w:num>
  <w:num w:numId="6">
    <w:abstractNumId w:val="11"/>
  </w:num>
  <w:num w:numId="7">
    <w:abstractNumId w:val="3"/>
  </w:num>
  <w:num w:numId="8">
    <w:abstractNumId w:val="9"/>
  </w:num>
  <w:num w:numId="9">
    <w:abstractNumId w:val="0"/>
  </w:num>
  <w:num w:numId="10">
    <w:abstractNumId w:val="14"/>
  </w:num>
  <w:num w:numId="11">
    <w:abstractNumId w:val="2"/>
  </w:num>
  <w:num w:numId="12">
    <w:abstractNumId w:val="8"/>
  </w:num>
  <w:num w:numId="13">
    <w:abstractNumId w:val="7"/>
  </w:num>
  <w:num w:numId="14">
    <w:abstractNumId w:val="4"/>
  </w:num>
  <w:num w:numId="15">
    <w:abstractNumId w:val="1"/>
  </w:num>
  <w:num w:numId="16">
    <w:abstractNumId w:val="5"/>
  </w:num>
  <w:num w:numId="17">
    <w:abstractNumId w:val="15"/>
  </w:num>
  <w:num w:numId="18">
    <w:abstractNumId w:val="12"/>
  </w:num>
  <w:num w:numId="19">
    <w:abstractNumId w:val="19"/>
  </w:num>
  <w:num w:numId="20">
    <w:abstractNumId w:val="22"/>
  </w:num>
  <w:num w:numId="21">
    <w:abstractNumId w:val="2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62C"/>
    <w:rsid w:val="000028E5"/>
    <w:rsid w:val="0000326D"/>
    <w:rsid w:val="0000617A"/>
    <w:rsid w:val="00006D90"/>
    <w:rsid w:val="00022379"/>
    <w:rsid w:val="000231C2"/>
    <w:rsid w:val="00027F00"/>
    <w:rsid w:val="00035324"/>
    <w:rsid w:val="00040246"/>
    <w:rsid w:val="00046B95"/>
    <w:rsid w:val="0005245F"/>
    <w:rsid w:val="000535C5"/>
    <w:rsid w:val="000653D7"/>
    <w:rsid w:val="000665D8"/>
    <w:rsid w:val="00074885"/>
    <w:rsid w:val="00075956"/>
    <w:rsid w:val="0008180B"/>
    <w:rsid w:val="00090904"/>
    <w:rsid w:val="00096729"/>
    <w:rsid w:val="000A220C"/>
    <w:rsid w:val="000A5339"/>
    <w:rsid w:val="000A6B54"/>
    <w:rsid w:val="000B7B0C"/>
    <w:rsid w:val="000D2771"/>
    <w:rsid w:val="000D5263"/>
    <w:rsid w:val="000D7943"/>
    <w:rsid w:val="000D7DAC"/>
    <w:rsid w:val="000E4D4E"/>
    <w:rsid w:val="000E5CF3"/>
    <w:rsid w:val="000F1525"/>
    <w:rsid w:val="000F46C2"/>
    <w:rsid w:val="000F4A33"/>
    <w:rsid w:val="000F686D"/>
    <w:rsid w:val="000F6B88"/>
    <w:rsid w:val="000F6BEB"/>
    <w:rsid w:val="00101E98"/>
    <w:rsid w:val="00103202"/>
    <w:rsid w:val="001110B7"/>
    <w:rsid w:val="0011472F"/>
    <w:rsid w:val="0012580D"/>
    <w:rsid w:val="001308CA"/>
    <w:rsid w:val="001315D1"/>
    <w:rsid w:val="00131CC0"/>
    <w:rsid w:val="00142050"/>
    <w:rsid w:val="00152939"/>
    <w:rsid w:val="00157FCF"/>
    <w:rsid w:val="001601D2"/>
    <w:rsid w:val="00161B07"/>
    <w:rsid w:val="00163AA9"/>
    <w:rsid w:val="00164264"/>
    <w:rsid w:val="001674FA"/>
    <w:rsid w:val="00173F82"/>
    <w:rsid w:val="00183180"/>
    <w:rsid w:val="001864B7"/>
    <w:rsid w:val="00190C1D"/>
    <w:rsid w:val="00192C98"/>
    <w:rsid w:val="00195409"/>
    <w:rsid w:val="00195842"/>
    <w:rsid w:val="001A3B21"/>
    <w:rsid w:val="001A447F"/>
    <w:rsid w:val="001A736F"/>
    <w:rsid w:val="001B1B69"/>
    <w:rsid w:val="001B2765"/>
    <w:rsid w:val="001B33D4"/>
    <w:rsid w:val="001B7738"/>
    <w:rsid w:val="001C7E90"/>
    <w:rsid w:val="001D0912"/>
    <w:rsid w:val="001D2321"/>
    <w:rsid w:val="001D2D81"/>
    <w:rsid w:val="001D49BF"/>
    <w:rsid w:val="001D4F22"/>
    <w:rsid w:val="001D4F6A"/>
    <w:rsid w:val="001E1C5D"/>
    <w:rsid w:val="001F0751"/>
    <w:rsid w:val="001F362B"/>
    <w:rsid w:val="001F5C0E"/>
    <w:rsid w:val="002062B0"/>
    <w:rsid w:val="00206B2B"/>
    <w:rsid w:val="0020795F"/>
    <w:rsid w:val="00211EB1"/>
    <w:rsid w:val="002121C2"/>
    <w:rsid w:val="00224870"/>
    <w:rsid w:val="00225AE4"/>
    <w:rsid w:val="00225F46"/>
    <w:rsid w:val="00233F43"/>
    <w:rsid w:val="00240406"/>
    <w:rsid w:val="00244F1B"/>
    <w:rsid w:val="00250A33"/>
    <w:rsid w:val="00250FCD"/>
    <w:rsid w:val="00252289"/>
    <w:rsid w:val="0025327C"/>
    <w:rsid w:val="00255EE3"/>
    <w:rsid w:val="002631A8"/>
    <w:rsid w:val="00263A98"/>
    <w:rsid w:val="00265985"/>
    <w:rsid w:val="00266381"/>
    <w:rsid w:val="00274B33"/>
    <w:rsid w:val="00275784"/>
    <w:rsid w:val="00293FA2"/>
    <w:rsid w:val="0029799C"/>
    <w:rsid w:val="00297C61"/>
    <w:rsid w:val="00297EEC"/>
    <w:rsid w:val="002A4C17"/>
    <w:rsid w:val="002B2639"/>
    <w:rsid w:val="002B5090"/>
    <w:rsid w:val="002C4516"/>
    <w:rsid w:val="002C49D5"/>
    <w:rsid w:val="002C4CC2"/>
    <w:rsid w:val="002C5CE5"/>
    <w:rsid w:val="002D055D"/>
    <w:rsid w:val="002D0FD7"/>
    <w:rsid w:val="002D1C05"/>
    <w:rsid w:val="002D4E64"/>
    <w:rsid w:val="002D5F76"/>
    <w:rsid w:val="002D5FCD"/>
    <w:rsid w:val="002D751D"/>
    <w:rsid w:val="002E1D44"/>
    <w:rsid w:val="002F267E"/>
    <w:rsid w:val="002F3D1B"/>
    <w:rsid w:val="002F4F3D"/>
    <w:rsid w:val="003033A4"/>
    <w:rsid w:val="003074B0"/>
    <w:rsid w:val="00310791"/>
    <w:rsid w:val="0031164E"/>
    <w:rsid w:val="0032017D"/>
    <w:rsid w:val="003346ED"/>
    <w:rsid w:val="0035051E"/>
    <w:rsid w:val="003518D1"/>
    <w:rsid w:val="00351BC9"/>
    <w:rsid w:val="0035740F"/>
    <w:rsid w:val="00367F46"/>
    <w:rsid w:val="00370FE4"/>
    <w:rsid w:val="003737F7"/>
    <w:rsid w:val="003854E7"/>
    <w:rsid w:val="003867E7"/>
    <w:rsid w:val="00387A4C"/>
    <w:rsid w:val="0039244F"/>
    <w:rsid w:val="00397EDF"/>
    <w:rsid w:val="003A1E00"/>
    <w:rsid w:val="003A4AC1"/>
    <w:rsid w:val="003A6D24"/>
    <w:rsid w:val="003A79FB"/>
    <w:rsid w:val="003B024B"/>
    <w:rsid w:val="003B2509"/>
    <w:rsid w:val="003B574A"/>
    <w:rsid w:val="003C3CD8"/>
    <w:rsid w:val="003C4A8B"/>
    <w:rsid w:val="003D24F6"/>
    <w:rsid w:val="003D5F87"/>
    <w:rsid w:val="003F18A1"/>
    <w:rsid w:val="003F2ACE"/>
    <w:rsid w:val="00401C5E"/>
    <w:rsid w:val="0040481F"/>
    <w:rsid w:val="004055B4"/>
    <w:rsid w:val="0041178B"/>
    <w:rsid w:val="004122B6"/>
    <w:rsid w:val="00413330"/>
    <w:rsid w:val="00413983"/>
    <w:rsid w:val="0041674D"/>
    <w:rsid w:val="004216E2"/>
    <w:rsid w:val="00422601"/>
    <w:rsid w:val="00432B82"/>
    <w:rsid w:val="00432E6F"/>
    <w:rsid w:val="004359F8"/>
    <w:rsid w:val="00437A0D"/>
    <w:rsid w:val="004416BD"/>
    <w:rsid w:val="004463A1"/>
    <w:rsid w:val="0045001E"/>
    <w:rsid w:val="00450247"/>
    <w:rsid w:val="00452EE5"/>
    <w:rsid w:val="00455803"/>
    <w:rsid w:val="00461653"/>
    <w:rsid w:val="00462B16"/>
    <w:rsid w:val="00471EBB"/>
    <w:rsid w:val="00473F13"/>
    <w:rsid w:val="004800C1"/>
    <w:rsid w:val="004845D6"/>
    <w:rsid w:val="00484E27"/>
    <w:rsid w:val="00486775"/>
    <w:rsid w:val="004872E3"/>
    <w:rsid w:val="0048750A"/>
    <w:rsid w:val="0048771C"/>
    <w:rsid w:val="00496488"/>
    <w:rsid w:val="00496D6D"/>
    <w:rsid w:val="004A216F"/>
    <w:rsid w:val="004A373F"/>
    <w:rsid w:val="004A52C7"/>
    <w:rsid w:val="004B4ABD"/>
    <w:rsid w:val="004C46F3"/>
    <w:rsid w:val="004D189C"/>
    <w:rsid w:val="004D3548"/>
    <w:rsid w:val="004D3982"/>
    <w:rsid w:val="004D443C"/>
    <w:rsid w:val="004D6322"/>
    <w:rsid w:val="004D6F58"/>
    <w:rsid w:val="004E6627"/>
    <w:rsid w:val="004F2571"/>
    <w:rsid w:val="004F2F5A"/>
    <w:rsid w:val="004F42A9"/>
    <w:rsid w:val="0050154E"/>
    <w:rsid w:val="00510FDE"/>
    <w:rsid w:val="00514FEE"/>
    <w:rsid w:val="00520760"/>
    <w:rsid w:val="0052249F"/>
    <w:rsid w:val="00525B3C"/>
    <w:rsid w:val="005459C2"/>
    <w:rsid w:val="00552C61"/>
    <w:rsid w:val="0056178A"/>
    <w:rsid w:val="00562E40"/>
    <w:rsid w:val="005667B3"/>
    <w:rsid w:val="005706B4"/>
    <w:rsid w:val="00574151"/>
    <w:rsid w:val="00580D63"/>
    <w:rsid w:val="005819BF"/>
    <w:rsid w:val="00584208"/>
    <w:rsid w:val="00586D84"/>
    <w:rsid w:val="00595AFB"/>
    <w:rsid w:val="005A07DD"/>
    <w:rsid w:val="005A0DCD"/>
    <w:rsid w:val="005A2082"/>
    <w:rsid w:val="005A2C29"/>
    <w:rsid w:val="005B3C08"/>
    <w:rsid w:val="005B3D0E"/>
    <w:rsid w:val="005B3D35"/>
    <w:rsid w:val="005B55BC"/>
    <w:rsid w:val="005C57F7"/>
    <w:rsid w:val="005C6404"/>
    <w:rsid w:val="005C7568"/>
    <w:rsid w:val="005D02CB"/>
    <w:rsid w:val="005D6F2E"/>
    <w:rsid w:val="005E5704"/>
    <w:rsid w:val="005F4371"/>
    <w:rsid w:val="00605EF0"/>
    <w:rsid w:val="00607386"/>
    <w:rsid w:val="00612535"/>
    <w:rsid w:val="00614242"/>
    <w:rsid w:val="0062325A"/>
    <w:rsid w:val="00626820"/>
    <w:rsid w:val="00634618"/>
    <w:rsid w:val="00642470"/>
    <w:rsid w:val="0064358C"/>
    <w:rsid w:val="00644D5E"/>
    <w:rsid w:val="00656EC2"/>
    <w:rsid w:val="006602B6"/>
    <w:rsid w:val="00661EA2"/>
    <w:rsid w:val="00663621"/>
    <w:rsid w:val="00664013"/>
    <w:rsid w:val="006656E6"/>
    <w:rsid w:val="00665F07"/>
    <w:rsid w:val="00670721"/>
    <w:rsid w:val="006738B6"/>
    <w:rsid w:val="00685FCD"/>
    <w:rsid w:val="00687B41"/>
    <w:rsid w:val="006907FB"/>
    <w:rsid w:val="00691B09"/>
    <w:rsid w:val="00696397"/>
    <w:rsid w:val="006A066B"/>
    <w:rsid w:val="006A1FE5"/>
    <w:rsid w:val="006A390A"/>
    <w:rsid w:val="006A5360"/>
    <w:rsid w:val="006B2AEC"/>
    <w:rsid w:val="006B2C91"/>
    <w:rsid w:val="006B2E7D"/>
    <w:rsid w:val="006B3CCF"/>
    <w:rsid w:val="006C011A"/>
    <w:rsid w:val="006D0F11"/>
    <w:rsid w:val="006D12EC"/>
    <w:rsid w:val="006D20C8"/>
    <w:rsid w:val="006E13C0"/>
    <w:rsid w:val="006E15C6"/>
    <w:rsid w:val="006E400C"/>
    <w:rsid w:val="006E4C95"/>
    <w:rsid w:val="006E4EBE"/>
    <w:rsid w:val="006E770B"/>
    <w:rsid w:val="006F26D2"/>
    <w:rsid w:val="00706D2C"/>
    <w:rsid w:val="007152B4"/>
    <w:rsid w:val="0071655A"/>
    <w:rsid w:val="0071727C"/>
    <w:rsid w:val="007207E3"/>
    <w:rsid w:val="0072154A"/>
    <w:rsid w:val="00723266"/>
    <w:rsid w:val="007255E6"/>
    <w:rsid w:val="0072626F"/>
    <w:rsid w:val="0073245D"/>
    <w:rsid w:val="0073262C"/>
    <w:rsid w:val="007339D1"/>
    <w:rsid w:val="007354B9"/>
    <w:rsid w:val="007375C8"/>
    <w:rsid w:val="00754368"/>
    <w:rsid w:val="007556BB"/>
    <w:rsid w:val="007579CD"/>
    <w:rsid w:val="0076430A"/>
    <w:rsid w:val="00775B2F"/>
    <w:rsid w:val="00776C64"/>
    <w:rsid w:val="00776D3A"/>
    <w:rsid w:val="0078093C"/>
    <w:rsid w:val="00781C37"/>
    <w:rsid w:val="007879B6"/>
    <w:rsid w:val="00792491"/>
    <w:rsid w:val="007A7550"/>
    <w:rsid w:val="007B1DC7"/>
    <w:rsid w:val="007B2834"/>
    <w:rsid w:val="007B37C1"/>
    <w:rsid w:val="007D36D9"/>
    <w:rsid w:val="007D6154"/>
    <w:rsid w:val="007E2CD7"/>
    <w:rsid w:val="007E5D50"/>
    <w:rsid w:val="007F2922"/>
    <w:rsid w:val="007F7CE3"/>
    <w:rsid w:val="00803CF4"/>
    <w:rsid w:val="00803D2E"/>
    <w:rsid w:val="008070E6"/>
    <w:rsid w:val="0082121D"/>
    <w:rsid w:val="00824F10"/>
    <w:rsid w:val="008326C6"/>
    <w:rsid w:val="008344A4"/>
    <w:rsid w:val="00834881"/>
    <w:rsid w:val="0083609D"/>
    <w:rsid w:val="00836210"/>
    <w:rsid w:val="008431D5"/>
    <w:rsid w:val="00846C11"/>
    <w:rsid w:val="008476AC"/>
    <w:rsid w:val="00853C7C"/>
    <w:rsid w:val="00864A5D"/>
    <w:rsid w:val="00871591"/>
    <w:rsid w:val="00871C14"/>
    <w:rsid w:val="00875979"/>
    <w:rsid w:val="00876AC5"/>
    <w:rsid w:val="00880EBE"/>
    <w:rsid w:val="0088299D"/>
    <w:rsid w:val="00886FCF"/>
    <w:rsid w:val="008905B8"/>
    <w:rsid w:val="00897518"/>
    <w:rsid w:val="008A1E9F"/>
    <w:rsid w:val="008A3647"/>
    <w:rsid w:val="008B1C66"/>
    <w:rsid w:val="008B1C89"/>
    <w:rsid w:val="008B28D6"/>
    <w:rsid w:val="008B6658"/>
    <w:rsid w:val="008C04D4"/>
    <w:rsid w:val="008C6507"/>
    <w:rsid w:val="008C7CAB"/>
    <w:rsid w:val="008D2FD5"/>
    <w:rsid w:val="008E52BF"/>
    <w:rsid w:val="008E6918"/>
    <w:rsid w:val="008F107C"/>
    <w:rsid w:val="008F43EB"/>
    <w:rsid w:val="00900DF7"/>
    <w:rsid w:val="00903CE0"/>
    <w:rsid w:val="00910DB5"/>
    <w:rsid w:val="00920557"/>
    <w:rsid w:val="00923926"/>
    <w:rsid w:val="009239AF"/>
    <w:rsid w:val="00926824"/>
    <w:rsid w:val="00927C81"/>
    <w:rsid w:val="009348CB"/>
    <w:rsid w:val="00946740"/>
    <w:rsid w:val="00955028"/>
    <w:rsid w:val="00956C6E"/>
    <w:rsid w:val="00957D09"/>
    <w:rsid w:val="00957EF6"/>
    <w:rsid w:val="009614A8"/>
    <w:rsid w:val="009714AA"/>
    <w:rsid w:val="00972D47"/>
    <w:rsid w:val="009803D3"/>
    <w:rsid w:val="00980981"/>
    <w:rsid w:val="009850B9"/>
    <w:rsid w:val="00993BB6"/>
    <w:rsid w:val="00993D7F"/>
    <w:rsid w:val="00997540"/>
    <w:rsid w:val="009A73C8"/>
    <w:rsid w:val="009B66F8"/>
    <w:rsid w:val="009C6C3A"/>
    <w:rsid w:val="009C73F2"/>
    <w:rsid w:val="009C7D49"/>
    <w:rsid w:val="009D61CE"/>
    <w:rsid w:val="009E2858"/>
    <w:rsid w:val="009E3055"/>
    <w:rsid w:val="009E6D66"/>
    <w:rsid w:val="009E6FF9"/>
    <w:rsid w:val="009E7B2D"/>
    <w:rsid w:val="009F1773"/>
    <w:rsid w:val="009F2A00"/>
    <w:rsid w:val="009F571C"/>
    <w:rsid w:val="00A00060"/>
    <w:rsid w:val="00A07451"/>
    <w:rsid w:val="00A11B60"/>
    <w:rsid w:val="00A1314F"/>
    <w:rsid w:val="00A167E8"/>
    <w:rsid w:val="00A27689"/>
    <w:rsid w:val="00A31D4A"/>
    <w:rsid w:val="00A32D77"/>
    <w:rsid w:val="00A37EEA"/>
    <w:rsid w:val="00A41ED2"/>
    <w:rsid w:val="00A462F4"/>
    <w:rsid w:val="00A530AA"/>
    <w:rsid w:val="00A60263"/>
    <w:rsid w:val="00A749C9"/>
    <w:rsid w:val="00A75ACF"/>
    <w:rsid w:val="00A769BA"/>
    <w:rsid w:val="00A81C88"/>
    <w:rsid w:val="00A85C36"/>
    <w:rsid w:val="00A85DD7"/>
    <w:rsid w:val="00A91FB1"/>
    <w:rsid w:val="00A93BD1"/>
    <w:rsid w:val="00A94FE6"/>
    <w:rsid w:val="00A95D64"/>
    <w:rsid w:val="00A9770C"/>
    <w:rsid w:val="00AB4C39"/>
    <w:rsid w:val="00AB6E77"/>
    <w:rsid w:val="00AB74F5"/>
    <w:rsid w:val="00AC2E37"/>
    <w:rsid w:val="00AC6655"/>
    <w:rsid w:val="00AD0715"/>
    <w:rsid w:val="00AD198B"/>
    <w:rsid w:val="00AE1FAB"/>
    <w:rsid w:val="00AE49D3"/>
    <w:rsid w:val="00AE506B"/>
    <w:rsid w:val="00AE6B2A"/>
    <w:rsid w:val="00AF218A"/>
    <w:rsid w:val="00AF478C"/>
    <w:rsid w:val="00AF5E41"/>
    <w:rsid w:val="00B0096D"/>
    <w:rsid w:val="00B011C0"/>
    <w:rsid w:val="00B0208C"/>
    <w:rsid w:val="00B05B33"/>
    <w:rsid w:val="00B05E97"/>
    <w:rsid w:val="00B078A1"/>
    <w:rsid w:val="00B10BB0"/>
    <w:rsid w:val="00B15D4D"/>
    <w:rsid w:val="00B2225F"/>
    <w:rsid w:val="00B2499F"/>
    <w:rsid w:val="00B24E65"/>
    <w:rsid w:val="00B26E23"/>
    <w:rsid w:val="00B3533F"/>
    <w:rsid w:val="00B35DD8"/>
    <w:rsid w:val="00B37B58"/>
    <w:rsid w:val="00B420D4"/>
    <w:rsid w:val="00B42F85"/>
    <w:rsid w:val="00B4794E"/>
    <w:rsid w:val="00B47B03"/>
    <w:rsid w:val="00B52C44"/>
    <w:rsid w:val="00B5608E"/>
    <w:rsid w:val="00B603E5"/>
    <w:rsid w:val="00B6262D"/>
    <w:rsid w:val="00B768AE"/>
    <w:rsid w:val="00B81C3C"/>
    <w:rsid w:val="00B840A7"/>
    <w:rsid w:val="00B852BF"/>
    <w:rsid w:val="00B9209D"/>
    <w:rsid w:val="00B939D3"/>
    <w:rsid w:val="00B95CFF"/>
    <w:rsid w:val="00BB085C"/>
    <w:rsid w:val="00BB6B14"/>
    <w:rsid w:val="00BB73A8"/>
    <w:rsid w:val="00BD4932"/>
    <w:rsid w:val="00BE55AC"/>
    <w:rsid w:val="00BE6159"/>
    <w:rsid w:val="00BF1580"/>
    <w:rsid w:val="00BF48BD"/>
    <w:rsid w:val="00BF6DDA"/>
    <w:rsid w:val="00C023C8"/>
    <w:rsid w:val="00C04252"/>
    <w:rsid w:val="00C05C93"/>
    <w:rsid w:val="00C10871"/>
    <w:rsid w:val="00C12156"/>
    <w:rsid w:val="00C17C8C"/>
    <w:rsid w:val="00C23B4B"/>
    <w:rsid w:val="00C33861"/>
    <w:rsid w:val="00C40D58"/>
    <w:rsid w:val="00C46A95"/>
    <w:rsid w:val="00C53481"/>
    <w:rsid w:val="00C56666"/>
    <w:rsid w:val="00C67560"/>
    <w:rsid w:val="00C70BC5"/>
    <w:rsid w:val="00C71777"/>
    <w:rsid w:val="00C813A7"/>
    <w:rsid w:val="00C82F12"/>
    <w:rsid w:val="00C84518"/>
    <w:rsid w:val="00C85950"/>
    <w:rsid w:val="00C942FA"/>
    <w:rsid w:val="00C97756"/>
    <w:rsid w:val="00C977DC"/>
    <w:rsid w:val="00CA4128"/>
    <w:rsid w:val="00CA446E"/>
    <w:rsid w:val="00CA5066"/>
    <w:rsid w:val="00CB131D"/>
    <w:rsid w:val="00CC0F1D"/>
    <w:rsid w:val="00CC7F63"/>
    <w:rsid w:val="00CD1BB2"/>
    <w:rsid w:val="00CD1CC8"/>
    <w:rsid w:val="00CD304F"/>
    <w:rsid w:val="00CD35D4"/>
    <w:rsid w:val="00CD596E"/>
    <w:rsid w:val="00CE0C06"/>
    <w:rsid w:val="00CE5025"/>
    <w:rsid w:val="00CF40E5"/>
    <w:rsid w:val="00D01E79"/>
    <w:rsid w:val="00D02F1B"/>
    <w:rsid w:val="00D06D54"/>
    <w:rsid w:val="00D100A0"/>
    <w:rsid w:val="00D143A6"/>
    <w:rsid w:val="00D158EB"/>
    <w:rsid w:val="00D20C73"/>
    <w:rsid w:val="00D3028A"/>
    <w:rsid w:val="00D332AE"/>
    <w:rsid w:val="00D3362E"/>
    <w:rsid w:val="00D340B3"/>
    <w:rsid w:val="00D36613"/>
    <w:rsid w:val="00D368ED"/>
    <w:rsid w:val="00D423E4"/>
    <w:rsid w:val="00D51BC6"/>
    <w:rsid w:val="00D53321"/>
    <w:rsid w:val="00D543A5"/>
    <w:rsid w:val="00D55140"/>
    <w:rsid w:val="00D61C9D"/>
    <w:rsid w:val="00D62976"/>
    <w:rsid w:val="00D639E5"/>
    <w:rsid w:val="00D643C9"/>
    <w:rsid w:val="00D67E09"/>
    <w:rsid w:val="00D751D5"/>
    <w:rsid w:val="00D766D7"/>
    <w:rsid w:val="00D80C38"/>
    <w:rsid w:val="00D812BB"/>
    <w:rsid w:val="00D82BE0"/>
    <w:rsid w:val="00D87188"/>
    <w:rsid w:val="00D877DF"/>
    <w:rsid w:val="00D9602C"/>
    <w:rsid w:val="00D97084"/>
    <w:rsid w:val="00DA12FD"/>
    <w:rsid w:val="00DA76B3"/>
    <w:rsid w:val="00DA7E48"/>
    <w:rsid w:val="00DB25C0"/>
    <w:rsid w:val="00DB4411"/>
    <w:rsid w:val="00DB4B94"/>
    <w:rsid w:val="00DC1B59"/>
    <w:rsid w:val="00DC4AFF"/>
    <w:rsid w:val="00DD162A"/>
    <w:rsid w:val="00DE0993"/>
    <w:rsid w:val="00DE1ACE"/>
    <w:rsid w:val="00DF7F19"/>
    <w:rsid w:val="00E01661"/>
    <w:rsid w:val="00E02C82"/>
    <w:rsid w:val="00E04C67"/>
    <w:rsid w:val="00E10F72"/>
    <w:rsid w:val="00E13E49"/>
    <w:rsid w:val="00E15AE9"/>
    <w:rsid w:val="00E20582"/>
    <w:rsid w:val="00E2151C"/>
    <w:rsid w:val="00E22710"/>
    <w:rsid w:val="00E22B76"/>
    <w:rsid w:val="00E26B88"/>
    <w:rsid w:val="00E30C0B"/>
    <w:rsid w:val="00E34D20"/>
    <w:rsid w:val="00E419CF"/>
    <w:rsid w:val="00E4258B"/>
    <w:rsid w:val="00E42F66"/>
    <w:rsid w:val="00E452A5"/>
    <w:rsid w:val="00E4750D"/>
    <w:rsid w:val="00E47747"/>
    <w:rsid w:val="00E55A67"/>
    <w:rsid w:val="00E60633"/>
    <w:rsid w:val="00E6247E"/>
    <w:rsid w:val="00E645DB"/>
    <w:rsid w:val="00E64B7A"/>
    <w:rsid w:val="00E66CDB"/>
    <w:rsid w:val="00E724B7"/>
    <w:rsid w:val="00E73705"/>
    <w:rsid w:val="00E76237"/>
    <w:rsid w:val="00E7649C"/>
    <w:rsid w:val="00E77526"/>
    <w:rsid w:val="00E80594"/>
    <w:rsid w:val="00E81C99"/>
    <w:rsid w:val="00E83DF5"/>
    <w:rsid w:val="00E87C61"/>
    <w:rsid w:val="00E90F82"/>
    <w:rsid w:val="00E91722"/>
    <w:rsid w:val="00E943CC"/>
    <w:rsid w:val="00E94973"/>
    <w:rsid w:val="00EA1C2F"/>
    <w:rsid w:val="00EA72F3"/>
    <w:rsid w:val="00EB467F"/>
    <w:rsid w:val="00EC0605"/>
    <w:rsid w:val="00EC569C"/>
    <w:rsid w:val="00EC76A6"/>
    <w:rsid w:val="00ED24AF"/>
    <w:rsid w:val="00EE1DBA"/>
    <w:rsid w:val="00EE25E0"/>
    <w:rsid w:val="00EE2DF4"/>
    <w:rsid w:val="00EE554F"/>
    <w:rsid w:val="00EF1410"/>
    <w:rsid w:val="00EF1886"/>
    <w:rsid w:val="00EF43F5"/>
    <w:rsid w:val="00F00B57"/>
    <w:rsid w:val="00F02C6D"/>
    <w:rsid w:val="00F03A3D"/>
    <w:rsid w:val="00F04CE8"/>
    <w:rsid w:val="00F0616E"/>
    <w:rsid w:val="00F11930"/>
    <w:rsid w:val="00F20DF4"/>
    <w:rsid w:val="00F2153D"/>
    <w:rsid w:val="00F21699"/>
    <w:rsid w:val="00F2317F"/>
    <w:rsid w:val="00F31867"/>
    <w:rsid w:val="00F32768"/>
    <w:rsid w:val="00F333E6"/>
    <w:rsid w:val="00F362B7"/>
    <w:rsid w:val="00F454A4"/>
    <w:rsid w:val="00F53A53"/>
    <w:rsid w:val="00F57E23"/>
    <w:rsid w:val="00F60DE1"/>
    <w:rsid w:val="00F701DD"/>
    <w:rsid w:val="00F7218F"/>
    <w:rsid w:val="00F7462A"/>
    <w:rsid w:val="00F80398"/>
    <w:rsid w:val="00F80E4E"/>
    <w:rsid w:val="00F84DF0"/>
    <w:rsid w:val="00F86D83"/>
    <w:rsid w:val="00F87C43"/>
    <w:rsid w:val="00F95A05"/>
    <w:rsid w:val="00FA2B2B"/>
    <w:rsid w:val="00FA59B6"/>
    <w:rsid w:val="00FA63DB"/>
    <w:rsid w:val="00FB0432"/>
    <w:rsid w:val="00FB3C30"/>
    <w:rsid w:val="00FC09A6"/>
    <w:rsid w:val="00FC0E05"/>
    <w:rsid w:val="00FC616A"/>
    <w:rsid w:val="00FD707E"/>
    <w:rsid w:val="00FE06A8"/>
    <w:rsid w:val="00FE26FD"/>
    <w:rsid w:val="00FE363B"/>
    <w:rsid w:val="00FE4A48"/>
    <w:rsid w:val="00FE6770"/>
    <w:rsid w:val="00FF0C63"/>
    <w:rsid w:val="00FF6F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6FD3310"/>
  <w15:docId w15:val="{31B13342-CA77-4FA0-92AF-F1B4FB7D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E770B"/>
    <w:rPr>
      <w:sz w:val="24"/>
      <w:szCs w:val="24"/>
      <w:lang w:eastAsia="cs-CZ"/>
    </w:rPr>
  </w:style>
  <w:style w:type="paragraph" w:styleId="Nadpis1">
    <w:name w:val="heading 1"/>
    <w:basedOn w:val="Normlny"/>
    <w:next w:val="Normlny"/>
    <w:link w:val="Nadpis1Char"/>
    <w:uiPriority w:val="99"/>
    <w:qFormat/>
    <w:rsid w:val="006E770B"/>
    <w:pPr>
      <w:keepNext/>
      <w:ind w:left="3540"/>
      <w:outlineLvl w:val="0"/>
    </w:pPr>
    <w:rPr>
      <w:b/>
      <w:bCs/>
    </w:rPr>
  </w:style>
  <w:style w:type="paragraph" w:styleId="Nadpis2">
    <w:name w:val="heading 2"/>
    <w:basedOn w:val="Normlny"/>
    <w:next w:val="Normlny"/>
    <w:link w:val="Nadpis2Char"/>
    <w:uiPriority w:val="99"/>
    <w:qFormat/>
    <w:rsid w:val="006E770B"/>
    <w:pPr>
      <w:keepNext/>
      <w:outlineLvl w:val="1"/>
    </w:pPr>
    <w:rPr>
      <w:b/>
      <w:bCs/>
    </w:rPr>
  </w:style>
  <w:style w:type="paragraph" w:styleId="Nadpis4">
    <w:name w:val="heading 4"/>
    <w:basedOn w:val="Normlny"/>
    <w:next w:val="Normlny"/>
    <w:link w:val="Nadpis4Char"/>
    <w:unhideWhenUsed/>
    <w:qFormat/>
    <w:locked/>
    <w:rsid w:val="00A93B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6E770B"/>
    <w:rPr>
      <w:rFonts w:ascii="Cambria" w:hAnsi="Cambria" w:cs="Times New Roman"/>
      <w:b/>
      <w:bCs/>
      <w:kern w:val="32"/>
      <w:sz w:val="32"/>
      <w:szCs w:val="32"/>
      <w:lang w:eastAsia="cs-CZ"/>
    </w:rPr>
  </w:style>
  <w:style w:type="character" w:customStyle="1" w:styleId="Nadpis2Char">
    <w:name w:val="Nadpis 2 Char"/>
    <w:basedOn w:val="Predvolenpsmoodseku"/>
    <w:link w:val="Nadpis2"/>
    <w:uiPriority w:val="99"/>
    <w:semiHidden/>
    <w:locked/>
    <w:rsid w:val="006E770B"/>
    <w:rPr>
      <w:rFonts w:ascii="Cambria" w:hAnsi="Cambria" w:cs="Times New Roman"/>
      <w:b/>
      <w:bCs/>
      <w:i/>
      <w:iCs/>
      <w:sz w:val="28"/>
      <w:szCs w:val="28"/>
      <w:lang w:eastAsia="cs-CZ"/>
    </w:rPr>
  </w:style>
  <w:style w:type="paragraph" w:styleId="Zarkazkladnhotextu">
    <w:name w:val="Body Text Indent"/>
    <w:basedOn w:val="Normlny"/>
    <w:link w:val="ZarkazkladnhotextuChar"/>
    <w:uiPriority w:val="99"/>
    <w:rsid w:val="006E770B"/>
    <w:pPr>
      <w:ind w:left="720" w:firstLine="696"/>
    </w:pPr>
  </w:style>
  <w:style w:type="character" w:customStyle="1" w:styleId="ZarkazkladnhotextuChar">
    <w:name w:val="Zarážka základného textu Char"/>
    <w:basedOn w:val="Predvolenpsmoodseku"/>
    <w:link w:val="Zarkazkladnhotextu"/>
    <w:uiPriority w:val="99"/>
    <w:semiHidden/>
    <w:locked/>
    <w:rsid w:val="006E770B"/>
    <w:rPr>
      <w:rFonts w:cs="Times New Roman"/>
      <w:sz w:val="24"/>
      <w:szCs w:val="24"/>
      <w:lang w:eastAsia="cs-CZ"/>
    </w:rPr>
  </w:style>
  <w:style w:type="paragraph" w:styleId="Zkladntext">
    <w:name w:val="Body Text"/>
    <w:basedOn w:val="Normlny"/>
    <w:link w:val="ZkladntextChar"/>
    <w:uiPriority w:val="99"/>
    <w:rsid w:val="006E770B"/>
    <w:pPr>
      <w:jc w:val="both"/>
    </w:pPr>
  </w:style>
  <w:style w:type="character" w:customStyle="1" w:styleId="ZkladntextChar">
    <w:name w:val="Základný text Char"/>
    <w:basedOn w:val="Predvolenpsmoodseku"/>
    <w:link w:val="Zkladntext"/>
    <w:uiPriority w:val="99"/>
    <w:semiHidden/>
    <w:locked/>
    <w:rsid w:val="006E770B"/>
    <w:rPr>
      <w:rFonts w:cs="Times New Roman"/>
      <w:sz w:val="24"/>
      <w:szCs w:val="24"/>
      <w:lang w:eastAsia="cs-CZ"/>
    </w:rPr>
  </w:style>
  <w:style w:type="paragraph" w:styleId="Nzov">
    <w:name w:val="Title"/>
    <w:basedOn w:val="Normlny"/>
    <w:link w:val="NzovChar"/>
    <w:uiPriority w:val="99"/>
    <w:qFormat/>
    <w:rsid w:val="006E770B"/>
    <w:pPr>
      <w:jc w:val="center"/>
    </w:pPr>
    <w:rPr>
      <w:rFonts w:ascii="Arial Black" w:hAnsi="Arial Black" w:cs="Arial Black"/>
      <w:b/>
      <w:bCs/>
    </w:rPr>
  </w:style>
  <w:style w:type="character" w:customStyle="1" w:styleId="NzovChar">
    <w:name w:val="Názov Char"/>
    <w:basedOn w:val="Predvolenpsmoodseku"/>
    <w:link w:val="Nzov"/>
    <w:uiPriority w:val="99"/>
    <w:locked/>
    <w:rsid w:val="006E770B"/>
    <w:rPr>
      <w:rFonts w:ascii="Cambria" w:hAnsi="Cambria" w:cs="Times New Roman"/>
      <w:b/>
      <w:bCs/>
      <w:kern w:val="28"/>
      <w:sz w:val="32"/>
      <w:szCs w:val="32"/>
      <w:lang w:eastAsia="cs-CZ"/>
    </w:rPr>
  </w:style>
  <w:style w:type="paragraph" w:styleId="Zarkazkladnhotextu2">
    <w:name w:val="Body Text Indent 2"/>
    <w:basedOn w:val="Normlny"/>
    <w:link w:val="Zarkazkladnhotextu2Char"/>
    <w:uiPriority w:val="99"/>
    <w:rsid w:val="006E770B"/>
    <w:pPr>
      <w:ind w:firstLine="284"/>
      <w:jc w:val="both"/>
    </w:pPr>
  </w:style>
  <w:style w:type="character" w:customStyle="1" w:styleId="Zarkazkladnhotextu2Char">
    <w:name w:val="Zarážka základného textu 2 Char"/>
    <w:basedOn w:val="Predvolenpsmoodseku"/>
    <w:link w:val="Zarkazkladnhotextu2"/>
    <w:uiPriority w:val="99"/>
    <w:semiHidden/>
    <w:locked/>
    <w:rsid w:val="006E770B"/>
    <w:rPr>
      <w:rFonts w:cs="Times New Roman"/>
      <w:sz w:val="24"/>
      <w:szCs w:val="24"/>
      <w:lang w:eastAsia="cs-CZ"/>
    </w:rPr>
  </w:style>
  <w:style w:type="character" w:styleId="Siln">
    <w:name w:val="Strong"/>
    <w:basedOn w:val="Predvolenpsmoodseku"/>
    <w:uiPriority w:val="22"/>
    <w:qFormat/>
    <w:rsid w:val="006E770B"/>
    <w:rPr>
      <w:rFonts w:ascii="Times New Roman" w:hAnsi="Times New Roman" w:cs="Times New Roman"/>
      <w:b/>
      <w:bCs/>
    </w:rPr>
  </w:style>
  <w:style w:type="paragraph" w:styleId="Textbubliny">
    <w:name w:val="Balloon Text"/>
    <w:basedOn w:val="Normlny"/>
    <w:link w:val="TextbublinyChar"/>
    <w:uiPriority w:val="99"/>
    <w:rsid w:val="006E770B"/>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6E770B"/>
    <w:rPr>
      <w:rFonts w:ascii="Tahoma" w:hAnsi="Tahoma" w:cs="Tahoma"/>
      <w:sz w:val="16"/>
      <w:szCs w:val="16"/>
      <w:lang w:eastAsia="cs-CZ"/>
    </w:rPr>
  </w:style>
  <w:style w:type="character" w:styleId="Zstupntext">
    <w:name w:val="Placeholder Text"/>
    <w:basedOn w:val="Predvolenpsmoodseku"/>
    <w:uiPriority w:val="99"/>
    <w:rsid w:val="006E770B"/>
    <w:rPr>
      <w:rFonts w:ascii="Times New Roman" w:hAnsi="Times New Roman" w:cs="Times New Roman"/>
      <w:color w:val="808080"/>
    </w:rPr>
  </w:style>
  <w:style w:type="character" w:styleId="Odkaznakomentr">
    <w:name w:val="annotation reference"/>
    <w:basedOn w:val="Predvolenpsmoodseku"/>
    <w:uiPriority w:val="99"/>
    <w:rsid w:val="006E770B"/>
    <w:rPr>
      <w:rFonts w:ascii="Times New Roman" w:hAnsi="Times New Roman" w:cs="Times New Roman"/>
      <w:sz w:val="16"/>
      <w:szCs w:val="16"/>
    </w:rPr>
  </w:style>
  <w:style w:type="paragraph" w:styleId="Pta">
    <w:name w:val="footer"/>
    <w:basedOn w:val="Normlny"/>
    <w:link w:val="PtaChar"/>
    <w:uiPriority w:val="99"/>
    <w:rsid w:val="006E770B"/>
    <w:pPr>
      <w:tabs>
        <w:tab w:val="center" w:pos="4536"/>
        <w:tab w:val="right" w:pos="9072"/>
      </w:tabs>
    </w:pPr>
  </w:style>
  <w:style w:type="character" w:customStyle="1" w:styleId="PtaChar">
    <w:name w:val="Päta Char"/>
    <w:basedOn w:val="Predvolenpsmoodseku"/>
    <w:link w:val="Pta"/>
    <w:uiPriority w:val="99"/>
    <w:semiHidden/>
    <w:locked/>
    <w:rsid w:val="006E770B"/>
    <w:rPr>
      <w:rFonts w:cs="Times New Roman"/>
      <w:sz w:val="24"/>
      <w:szCs w:val="24"/>
      <w:lang w:eastAsia="cs-CZ"/>
    </w:rPr>
  </w:style>
  <w:style w:type="character" w:styleId="slostrany">
    <w:name w:val="page number"/>
    <w:basedOn w:val="Predvolenpsmoodseku"/>
    <w:uiPriority w:val="99"/>
    <w:rsid w:val="006E770B"/>
    <w:rPr>
      <w:rFonts w:ascii="Times New Roman" w:hAnsi="Times New Roman" w:cs="Times New Roman"/>
    </w:rPr>
  </w:style>
  <w:style w:type="paragraph" w:customStyle="1" w:styleId="Default">
    <w:name w:val="Default"/>
    <w:uiPriority w:val="99"/>
    <w:rsid w:val="000A6B54"/>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0A6B54"/>
    <w:rPr>
      <w:rFonts w:cs="Times New Roman"/>
      <w:color w:val="auto"/>
    </w:rPr>
  </w:style>
  <w:style w:type="paragraph" w:customStyle="1" w:styleId="CM3">
    <w:name w:val="CM3"/>
    <w:basedOn w:val="Default"/>
    <w:next w:val="Default"/>
    <w:uiPriority w:val="99"/>
    <w:rsid w:val="000A6B54"/>
    <w:rPr>
      <w:rFonts w:cs="Times New Roman"/>
      <w:color w:val="auto"/>
    </w:rPr>
  </w:style>
  <w:style w:type="paragraph" w:customStyle="1" w:styleId="CM4">
    <w:name w:val="CM4"/>
    <w:basedOn w:val="Default"/>
    <w:next w:val="Default"/>
    <w:uiPriority w:val="99"/>
    <w:rsid w:val="000A6B54"/>
    <w:rPr>
      <w:rFonts w:cs="Times New Roman"/>
      <w:color w:val="auto"/>
    </w:rPr>
  </w:style>
  <w:style w:type="paragraph" w:styleId="Textkomentra">
    <w:name w:val="annotation text"/>
    <w:basedOn w:val="Normlny"/>
    <w:link w:val="TextkomentraChar"/>
    <w:uiPriority w:val="99"/>
    <w:semiHidden/>
    <w:rsid w:val="003D24F6"/>
    <w:rPr>
      <w:sz w:val="20"/>
      <w:szCs w:val="20"/>
    </w:rPr>
  </w:style>
  <w:style w:type="character" w:customStyle="1" w:styleId="TextkomentraChar">
    <w:name w:val="Text komentára Char"/>
    <w:basedOn w:val="Predvolenpsmoodseku"/>
    <w:link w:val="Textkomentra"/>
    <w:uiPriority w:val="99"/>
    <w:semiHidden/>
    <w:locked/>
    <w:rsid w:val="00473F13"/>
    <w:rPr>
      <w:rFonts w:cs="Times New Roman"/>
      <w:sz w:val="20"/>
      <w:szCs w:val="20"/>
      <w:lang w:eastAsia="cs-CZ"/>
    </w:rPr>
  </w:style>
  <w:style w:type="paragraph" w:styleId="Predmetkomentra">
    <w:name w:val="annotation subject"/>
    <w:basedOn w:val="Textkomentra"/>
    <w:next w:val="Textkomentra"/>
    <w:link w:val="PredmetkomentraChar"/>
    <w:uiPriority w:val="99"/>
    <w:semiHidden/>
    <w:rsid w:val="003D24F6"/>
    <w:rPr>
      <w:b/>
      <w:bCs/>
    </w:rPr>
  </w:style>
  <w:style w:type="character" w:customStyle="1" w:styleId="PredmetkomentraChar">
    <w:name w:val="Predmet komentára Char"/>
    <w:basedOn w:val="TextkomentraChar"/>
    <w:link w:val="Predmetkomentra"/>
    <w:uiPriority w:val="99"/>
    <w:semiHidden/>
    <w:locked/>
    <w:rsid w:val="00473F13"/>
    <w:rPr>
      <w:rFonts w:cs="Times New Roman"/>
      <w:b/>
      <w:bCs/>
      <w:sz w:val="20"/>
      <w:szCs w:val="20"/>
      <w:lang w:eastAsia="cs-CZ"/>
    </w:rPr>
  </w:style>
  <w:style w:type="character" w:customStyle="1" w:styleId="Nadpis4Char">
    <w:name w:val="Nadpis 4 Char"/>
    <w:basedOn w:val="Predvolenpsmoodseku"/>
    <w:link w:val="Nadpis4"/>
    <w:rsid w:val="00A93BD1"/>
    <w:rPr>
      <w:rFonts w:asciiTheme="majorHAnsi" w:eastAsiaTheme="majorEastAsia" w:hAnsiTheme="majorHAnsi" w:cstheme="majorBidi"/>
      <w:b/>
      <w:bCs/>
      <w:i/>
      <w:iCs/>
      <w:color w:val="4F81BD" w:themeColor="accent1"/>
      <w:sz w:val="24"/>
      <w:szCs w:val="24"/>
      <w:lang w:eastAsia="cs-CZ"/>
    </w:rPr>
  </w:style>
  <w:style w:type="character" w:styleId="Hypertextovprepojenie">
    <w:name w:val="Hyperlink"/>
    <w:basedOn w:val="Predvolenpsmoodseku"/>
    <w:uiPriority w:val="99"/>
    <w:unhideWhenUsed/>
    <w:rsid w:val="00B4794E"/>
    <w:rPr>
      <w:color w:val="0000FF"/>
      <w:u w:val="single"/>
    </w:rPr>
  </w:style>
  <w:style w:type="paragraph" w:styleId="Zkladntext2">
    <w:name w:val="Body Text 2"/>
    <w:basedOn w:val="Normlny"/>
    <w:link w:val="Zkladntext2Char"/>
    <w:uiPriority w:val="99"/>
    <w:unhideWhenUsed/>
    <w:rsid w:val="00F04CE8"/>
    <w:pPr>
      <w:spacing w:after="120" w:line="480" w:lineRule="auto"/>
    </w:pPr>
  </w:style>
  <w:style w:type="character" w:customStyle="1" w:styleId="Zkladntext2Char">
    <w:name w:val="Základný text 2 Char"/>
    <w:basedOn w:val="Predvolenpsmoodseku"/>
    <w:link w:val="Zkladntext2"/>
    <w:uiPriority w:val="99"/>
    <w:rsid w:val="00F04CE8"/>
    <w:rPr>
      <w:sz w:val="24"/>
      <w:szCs w:val="24"/>
      <w:lang w:eastAsia="cs-CZ"/>
    </w:rPr>
  </w:style>
  <w:style w:type="character" w:customStyle="1" w:styleId="super">
    <w:name w:val="super"/>
    <w:basedOn w:val="Predvolenpsmoodseku"/>
    <w:rsid w:val="00E645DB"/>
    <w:rPr>
      <w:sz w:val="17"/>
      <w:szCs w:val="17"/>
      <w:vertAlign w:val="superscript"/>
    </w:rPr>
  </w:style>
  <w:style w:type="paragraph" w:customStyle="1" w:styleId="norm3">
    <w:name w:val="norm3"/>
    <w:basedOn w:val="Normlny"/>
    <w:rsid w:val="00584208"/>
    <w:pPr>
      <w:spacing w:before="120" w:line="312" w:lineRule="atLeast"/>
      <w:jc w:val="both"/>
    </w:pPr>
    <w:rPr>
      <w:lang w:eastAsia="sk-SK"/>
    </w:rPr>
  </w:style>
  <w:style w:type="paragraph" w:styleId="Revzia">
    <w:name w:val="Revision"/>
    <w:hidden/>
    <w:uiPriority w:val="99"/>
    <w:semiHidden/>
    <w:rsid w:val="00E64B7A"/>
    <w:rPr>
      <w:sz w:val="24"/>
      <w:szCs w:val="24"/>
      <w:lang w:eastAsia="cs-CZ"/>
    </w:rPr>
  </w:style>
  <w:style w:type="paragraph" w:styleId="Odsekzoznamu">
    <w:name w:val="List Paragraph"/>
    <w:basedOn w:val="Normlny"/>
    <w:uiPriority w:val="99"/>
    <w:qFormat/>
    <w:rsid w:val="00D61C9D"/>
    <w:pPr>
      <w:ind w:left="720"/>
      <w:contextualSpacing/>
    </w:pPr>
    <w:rPr>
      <w:szCs w:val="20"/>
      <w:lang w:eastAsia="sk-SK"/>
    </w:rPr>
  </w:style>
  <w:style w:type="table" w:styleId="Mriekatabuky">
    <w:name w:val="Table Grid"/>
    <w:basedOn w:val="Normlnatabuka"/>
    <w:uiPriority w:val="59"/>
    <w:locked/>
    <w:rsid w:val="00A91FB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00e1lnychar1">
    <w:name w:val="norm_00e1lny__char1"/>
    <w:rsid w:val="00A91FB1"/>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A91FB1"/>
    <w:pPr>
      <w:spacing w:line="200" w:lineRule="atLeast"/>
    </w:pPr>
    <w:rPr>
      <w:sz w:val="20"/>
      <w:szCs w:val="20"/>
      <w:lang w:eastAsia="sk-SK"/>
    </w:rPr>
  </w:style>
  <w:style w:type="table" w:customStyle="1" w:styleId="Mriekatabuky1">
    <w:name w:val="Mriežka tabuľky1"/>
    <w:basedOn w:val="Normlnatabuka"/>
    <w:next w:val="Mriekatabuky"/>
    <w:uiPriority w:val="59"/>
    <w:rsid w:val="00B603E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871C14"/>
    <w:pPr>
      <w:tabs>
        <w:tab w:val="center" w:pos="4536"/>
        <w:tab w:val="right" w:pos="9072"/>
      </w:tabs>
    </w:pPr>
  </w:style>
  <w:style w:type="character" w:customStyle="1" w:styleId="HlavikaChar">
    <w:name w:val="Hlavička Char"/>
    <w:basedOn w:val="Predvolenpsmoodseku"/>
    <w:link w:val="Hlavika"/>
    <w:uiPriority w:val="99"/>
    <w:rsid w:val="00871C14"/>
    <w:rPr>
      <w:sz w:val="24"/>
      <w:szCs w:val="24"/>
      <w:lang w:eastAsia="cs-CZ"/>
    </w:rPr>
  </w:style>
  <w:style w:type="table" w:customStyle="1" w:styleId="Mriekatabuky2">
    <w:name w:val="Mriežka tabuľky2"/>
    <w:basedOn w:val="Normlnatabuka"/>
    <w:next w:val="Mriekatabuky"/>
    <w:uiPriority w:val="59"/>
    <w:rsid w:val="00871C14"/>
    <w:rPr>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semiHidden/>
    <w:unhideWhenUsed/>
    <w:rsid w:val="00FB0432"/>
    <w:rPr>
      <w:rFonts w:ascii="Calibri" w:eastAsiaTheme="minorHAnsi" w:hAnsi="Calibri" w:cs="Calibri"/>
      <w:sz w:val="22"/>
      <w:szCs w:val="22"/>
      <w:lang w:eastAsia="en-US"/>
    </w:rPr>
  </w:style>
  <w:style w:type="character" w:customStyle="1" w:styleId="ObyajntextChar">
    <w:name w:val="Obyčajný text Char"/>
    <w:basedOn w:val="Predvolenpsmoodseku"/>
    <w:link w:val="Obyajntext"/>
    <w:uiPriority w:val="99"/>
    <w:semiHidden/>
    <w:rsid w:val="00FB0432"/>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954154">
      <w:bodyDiv w:val="1"/>
      <w:marLeft w:val="0"/>
      <w:marRight w:val="0"/>
      <w:marTop w:val="0"/>
      <w:marBottom w:val="0"/>
      <w:divBdr>
        <w:top w:val="none" w:sz="0" w:space="0" w:color="auto"/>
        <w:left w:val="none" w:sz="0" w:space="0" w:color="auto"/>
        <w:bottom w:val="none" w:sz="0" w:space="0" w:color="auto"/>
        <w:right w:val="none" w:sz="0" w:space="0" w:color="auto"/>
      </w:divBdr>
    </w:div>
    <w:div w:id="746153891">
      <w:bodyDiv w:val="1"/>
      <w:marLeft w:val="0"/>
      <w:marRight w:val="0"/>
      <w:marTop w:val="0"/>
      <w:marBottom w:val="0"/>
      <w:divBdr>
        <w:top w:val="none" w:sz="0" w:space="0" w:color="auto"/>
        <w:left w:val="none" w:sz="0" w:space="0" w:color="auto"/>
        <w:bottom w:val="none" w:sz="0" w:space="0" w:color="auto"/>
        <w:right w:val="none" w:sz="0" w:space="0" w:color="auto"/>
      </w:divBdr>
    </w:div>
    <w:div w:id="972370501">
      <w:bodyDiv w:val="1"/>
      <w:marLeft w:val="0"/>
      <w:marRight w:val="0"/>
      <w:marTop w:val="0"/>
      <w:marBottom w:val="0"/>
      <w:divBdr>
        <w:top w:val="none" w:sz="0" w:space="0" w:color="auto"/>
        <w:left w:val="none" w:sz="0" w:space="0" w:color="auto"/>
        <w:bottom w:val="none" w:sz="0" w:space="0" w:color="auto"/>
        <w:right w:val="none" w:sz="0" w:space="0" w:color="auto"/>
      </w:divBdr>
    </w:div>
    <w:div w:id="1020624765">
      <w:bodyDiv w:val="1"/>
      <w:marLeft w:val="0"/>
      <w:marRight w:val="0"/>
      <w:marTop w:val="0"/>
      <w:marBottom w:val="0"/>
      <w:divBdr>
        <w:top w:val="none" w:sz="0" w:space="0" w:color="auto"/>
        <w:left w:val="none" w:sz="0" w:space="0" w:color="auto"/>
        <w:bottom w:val="none" w:sz="0" w:space="0" w:color="auto"/>
        <w:right w:val="none" w:sz="0" w:space="0" w:color="auto"/>
      </w:divBdr>
    </w:div>
    <w:div w:id="1043404443">
      <w:bodyDiv w:val="1"/>
      <w:marLeft w:val="0"/>
      <w:marRight w:val="0"/>
      <w:marTop w:val="0"/>
      <w:marBottom w:val="0"/>
      <w:divBdr>
        <w:top w:val="none" w:sz="0" w:space="0" w:color="auto"/>
        <w:left w:val="none" w:sz="0" w:space="0" w:color="auto"/>
        <w:bottom w:val="none" w:sz="0" w:space="0" w:color="auto"/>
        <w:right w:val="none" w:sz="0" w:space="0" w:color="auto"/>
      </w:divBdr>
    </w:div>
    <w:div w:id="2126340638">
      <w:bodyDiv w:val="1"/>
      <w:marLeft w:val="0"/>
      <w:marRight w:val="0"/>
      <w:marTop w:val="0"/>
      <w:marBottom w:val="0"/>
      <w:divBdr>
        <w:top w:val="none" w:sz="0" w:space="0" w:color="auto"/>
        <w:left w:val="none" w:sz="0" w:space="0" w:color="auto"/>
        <w:bottom w:val="none" w:sz="0" w:space="0" w:color="auto"/>
        <w:right w:val="none" w:sz="0" w:space="0" w:color="auto"/>
      </w:divBdr>
      <w:divsChild>
        <w:div w:id="2069722290">
          <w:marLeft w:val="0"/>
          <w:marRight w:val="0"/>
          <w:marTop w:val="0"/>
          <w:marBottom w:val="0"/>
          <w:divBdr>
            <w:top w:val="none" w:sz="0" w:space="0" w:color="auto"/>
            <w:left w:val="none" w:sz="0" w:space="0" w:color="auto"/>
            <w:bottom w:val="none" w:sz="0" w:space="0" w:color="auto"/>
            <w:right w:val="none" w:sz="0" w:space="0" w:color="auto"/>
          </w:divBdr>
          <w:divsChild>
            <w:div w:id="934747038">
              <w:marLeft w:val="0"/>
              <w:marRight w:val="0"/>
              <w:marTop w:val="0"/>
              <w:marBottom w:val="0"/>
              <w:divBdr>
                <w:top w:val="none" w:sz="0" w:space="0" w:color="auto"/>
                <w:left w:val="none" w:sz="0" w:space="0" w:color="auto"/>
                <w:bottom w:val="none" w:sz="0" w:space="0" w:color="auto"/>
                <w:right w:val="none" w:sz="0" w:space="0" w:color="auto"/>
              </w:divBdr>
              <w:divsChild>
                <w:div w:id="125466877">
                  <w:marLeft w:val="0"/>
                  <w:marRight w:val="0"/>
                  <w:marTop w:val="0"/>
                  <w:marBottom w:val="0"/>
                  <w:divBdr>
                    <w:top w:val="none" w:sz="0" w:space="0" w:color="auto"/>
                    <w:left w:val="none" w:sz="0" w:space="0" w:color="auto"/>
                    <w:bottom w:val="none" w:sz="0" w:space="0" w:color="auto"/>
                    <w:right w:val="none" w:sz="0" w:space="0" w:color="auto"/>
                  </w:divBdr>
                  <w:divsChild>
                    <w:div w:id="637956331">
                      <w:marLeft w:val="1"/>
                      <w:marRight w:val="1"/>
                      <w:marTop w:val="0"/>
                      <w:marBottom w:val="0"/>
                      <w:divBdr>
                        <w:top w:val="none" w:sz="0" w:space="0" w:color="auto"/>
                        <w:left w:val="none" w:sz="0" w:space="0" w:color="auto"/>
                        <w:bottom w:val="none" w:sz="0" w:space="0" w:color="auto"/>
                        <w:right w:val="none" w:sz="0" w:space="0" w:color="auto"/>
                      </w:divBdr>
                      <w:divsChild>
                        <w:div w:id="547955986">
                          <w:marLeft w:val="0"/>
                          <w:marRight w:val="0"/>
                          <w:marTop w:val="0"/>
                          <w:marBottom w:val="0"/>
                          <w:divBdr>
                            <w:top w:val="none" w:sz="0" w:space="0" w:color="auto"/>
                            <w:left w:val="none" w:sz="0" w:space="0" w:color="auto"/>
                            <w:bottom w:val="none" w:sz="0" w:space="0" w:color="auto"/>
                            <w:right w:val="none" w:sz="0" w:space="0" w:color="auto"/>
                          </w:divBdr>
                          <w:divsChild>
                            <w:div w:id="441726567">
                              <w:marLeft w:val="0"/>
                              <w:marRight w:val="0"/>
                              <w:marTop w:val="0"/>
                              <w:marBottom w:val="360"/>
                              <w:divBdr>
                                <w:top w:val="none" w:sz="0" w:space="0" w:color="auto"/>
                                <w:left w:val="none" w:sz="0" w:space="0" w:color="auto"/>
                                <w:bottom w:val="none" w:sz="0" w:space="0" w:color="auto"/>
                                <w:right w:val="none" w:sz="0" w:space="0" w:color="auto"/>
                              </w:divBdr>
                              <w:divsChild>
                                <w:div w:id="157116040">
                                  <w:marLeft w:val="0"/>
                                  <w:marRight w:val="0"/>
                                  <w:marTop w:val="0"/>
                                  <w:marBottom w:val="0"/>
                                  <w:divBdr>
                                    <w:top w:val="none" w:sz="0" w:space="0" w:color="auto"/>
                                    <w:left w:val="none" w:sz="0" w:space="0" w:color="auto"/>
                                    <w:bottom w:val="none" w:sz="0" w:space="0" w:color="auto"/>
                                    <w:right w:val="none" w:sz="0" w:space="0" w:color="auto"/>
                                  </w:divBdr>
                                  <w:divsChild>
                                    <w:div w:id="189881387">
                                      <w:marLeft w:val="0"/>
                                      <w:marRight w:val="0"/>
                                      <w:marTop w:val="0"/>
                                      <w:marBottom w:val="0"/>
                                      <w:divBdr>
                                        <w:top w:val="none" w:sz="0" w:space="0" w:color="auto"/>
                                        <w:left w:val="none" w:sz="0" w:space="0" w:color="auto"/>
                                        <w:bottom w:val="none" w:sz="0" w:space="0" w:color="auto"/>
                                        <w:right w:val="none" w:sz="0" w:space="0" w:color="auto"/>
                                      </w:divBdr>
                                      <w:divsChild>
                                        <w:div w:id="1050424831">
                                          <w:marLeft w:val="0"/>
                                          <w:marRight w:val="0"/>
                                          <w:marTop w:val="0"/>
                                          <w:marBottom w:val="0"/>
                                          <w:divBdr>
                                            <w:top w:val="none" w:sz="0" w:space="0" w:color="auto"/>
                                            <w:left w:val="none" w:sz="0" w:space="0" w:color="auto"/>
                                            <w:bottom w:val="none" w:sz="0" w:space="0" w:color="auto"/>
                                            <w:right w:val="none" w:sz="0" w:space="0" w:color="auto"/>
                                          </w:divBdr>
                                          <w:divsChild>
                                            <w:div w:id="171438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25/2006%20Z.z.'&amp;ucin-k-dni='30.12.9999'" TargetMode="External"/><Relationship Id="rId13" Type="http://schemas.openxmlformats.org/officeDocument/2006/relationships/hyperlink" Target="aspi://module='ASPI'&amp;link='309/2007%20Z.z.'&amp;ucin-k-dni='30.12.9999'"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aspi://module='ASPI'&amp;link='82/2005%20Z.z.'&amp;ucin-k-dni='30.12.9999'" TargetMode="External"/><Relationship Id="rId17" Type="http://schemas.openxmlformats.org/officeDocument/2006/relationships/header" Target="header1.xml"/><Relationship Id="rId25" Type="http://schemas.openxmlformats.org/officeDocument/2006/relationships/hyperlink" Target="aspi://module='ASPI'&amp;link='309/2007%20Z.z.'&amp;ucin-k-dni='30.12.9999'" TargetMode="External"/><Relationship Id="rId2" Type="http://schemas.openxmlformats.org/officeDocument/2006/relationships/numbering" Target="numbering.xml"/><Relationship Id="rId16" Type="http://schemas.openxmlformats.org/officeDocument/2006/relationships/hyperlink" Target="aspi://module='ASPI'&amp;link='309/2007%20Z.z.'&amp;ucin-k-dni='30.12.9999'"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25/2006%20Z.z.'&amp;ucin-k-dni='30.12.9999'" TargetMode="External"/><Relationship Id="rId24" Type="http://schemas.openxmlformats.org/officeDocument/2006/relationships/hyperlink" Target="aspi://module='ASPI'&amp;link='82/2005%20Z.z.'&amp;ucin-k-dni='30.12.9999'" TargetMode="External"/><Relationship Id="rId5" Type="http://schemas.openxmlformats.org/officeDocument/2006/relationships/webSettings" Target="webSettings.xml"/><Relationship Id="rId15" Type="http://schemas.openxmlformats.org/officeDocument/2006/relationships/hyperlink" Target="aspi://module='ASPI'&amp;link='82/2005%20Z.z.'&amp;ucin-k-dni='30.12.9999'" TargetMode="External"/><Relationship Id="rId23" Type="http://schemas.openxmlformats.org/officeDocument/2006/relationships/hyperlink" Target="aspi://module='ASPI'&amp;link='125/2006%20Z.z.'&amp;ucin-k-dni='30.12.9999'" TargetMode="External"/><Relationship Id="rId10" Type="http://schemas.openxmlformats.org/officeDocument/2006/relationships/hyperlink" Target="aspi://module='ASPI'&amp;link='309/2007%20Z.z.'&amp;ucin-k-dni='30.12.9999'"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aspi://module='ASPI'&amp;link='82/2005%20Z.z.'&amp;ucin-k-dni='30.12.9999'" TargetMode="External"/><Relationship Id="rId14" Type="http://schemas.openxmlformats.org/officeDocument/2006/relationships/hyperlink" Target="aspi://module='ASPI'&amp;link='125/2006%20Z.z.'&amp;ucin-k-dni='30.12.9999'" TargetMode="External"/><Relationship Id="rId22" Type="http://schemas.openxmlformats.org/officeDocument/2006/relationships/hyperlink" Target="https://www.economy.gov.sk/podnikatelske-prostredie/jednotna-metodika/prebiehajuce-konzultacie-a-predbezne-informaci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9B2D8-3F70-43FD-BCBB-96ED6562A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32</Pages>
  <Words>11015</Words>
  <Characters>62790</Characters>
  <Application>Microsoft Office Word</Application>
  <DocSecurity>0</DocSecurity>
  <Lines>523</Lines>
  <Paragraphs>147</Paragraphs>
  <ScaleCrop>false</ScaleCrop>
  <HeadingPairs>
    <vt:vector size="2" baseType="variant">
      <vt:variant>
        <vt:lpstr>Názov</vt:lpstr>
      </vt:variant>
      <vt:variant>
        <vt:i4>1</vt:i4>
      </vt:variant>
    </vt:vector>
  </HeadingPairs>
  <TitlesOfParts>
    <vt:vector size="1" baseType="lpstr">
      <vt:lpstr>Ministerstvo dopravy, pôšt a telekomunikácií SR</vt:lpstr>
    </vt:vector>
  </TitlesOfParts>
  <Company>MDPT</Company>
  <LinksUpToDate>false</LinksUpToDate>
  <CharactersWithSpaces>73658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dopravy, pôšt a telekomunikácií SR</dc:title>
  <dc:creator>Micka</dc:creator>
  <cp:lastModifiedBy>Dindofferová, Alexandra</cp:lastModifiedBy>
  <cp:revision>41</cp:revision>
  <cp:lastPrinted>2021-05-24T07:24:00Z</cp:lastPrinted>
  <dcterms:created xsi:type="dcterms:W3CDTF">2021-05-21T12:01:00Z</dcterms:created>
  <dcterms:modified xsi:type="dcterms:W3CDTF">2021-09-02T08:21:00Z</dcterms:modified>
</cp:coreProperties>
</file>