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55B61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73DF8661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14:paraId="613337E3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4F3FB07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1EF1DCD0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14:paraId="3FB0E3EA" w14:textId="3260A808" w:rsidR="0089270C" w:rsidRPr="000E6793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</w:t>
      </w:r>
      <w:r w:rsidR="00706211">
        <w:rPr>
          <w:rFonts w:ascii="Book Antiqua" w:hAnsi="Book Antiqua"/>
        </w:rPr>
        <w:t xml:space="preserve"> </w:t>
      </w:r>
      <w:r w:rsidR="00AC7ABD" w:rsidRPr="00AC7ABD">
        <w:rPr>
          <w:rFonts w:ascii="Book Antiqua" w:hAnsi="Book Antiqua"/>
        </w:rPr>
        <w:t>Mari</w:t>
      </w:r>
      <w:r w:rsidR="00124E1C">
        <w:rPr>
          <w:rFonts w:ascii="Book Antiqua" w:hAnsi="Book Antiqua"/>
        </w:rPr>
        <w:t xml:space="preserve">an Kotleba, </w:t>
      </w:r>
      <w:r w:rsidR="009E58AD">
        <w:rPr>
          <w:rFonts w:ascii="Book Antiqua" w:hAnsi="Book Antiqua"/>
        </w:rPr>
        <w:t xml:space="preserve">Martin Beluský, </w:t>
      </w:r>
      <w:r w:rsidR="00DA3F7B">
        <w:rPr>
          <w:rFonts w:ascii="Book Antiqua" w:hAnsi="Book Antiqua"/>
        </w:rPr>
        <w:t>Magdaléna Sulanová, Stanislav Mizík a Marek Kotleba</w:t>
      </w:r>
      <w:r w:rsidR="009B5C91">
        <w:rPr>
          <w:rFonts w:ascii="Book Antiqua" w:hAnsi="Book Antiqua"/>
        </w:rPr>
        <w:t>.</w:t>
      </w:r>
      <w:r w:rsidR="003801D5">
        <w:rPr>
          <w:rFonts w:ascii="Book Antiqua" w:hAnsi="Book Antiqua"/>
        </w:rPr>
        <w:t xml:space="preserve"> </w:t>
      </w:r>
      <w:r w:rsidR="003801D5">
        <w:rPr>
          <w:rFonts w:ascii="Book Antiqua" w:hAnsi="Book Antiqua"/>
        </w:rPr>
        <w:tab/>
      </w:r>
    </w:p>
    <w:p w14:paraId="0024655F" w14:textId="77777777"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14:paraId="0F51AD6E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14:paraId="4B77061D" w14:textId="3B054FCB" w:rsidR="00C5238B" w:rsidRPr="00124E1C" w:rsidRDefault="00C5238B" w:rsidP="00DA3F7B">
      <w:pPr>
        <w:spacing w:after="0" w:line="240" w:lineRule="auto"/>
        <w:ind w:left="360"/>
        <w:jc w:val="both"/>
        <w:rPr>
          <w:rFonts w:ascii="Book Antiqua" w:hAnsi="Book Antiqua"/>
          <w:b/>
          <w:color w:val="000000" w:themeColor="text1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="004E35FD" w:rsidRPr="004E35FD">
        <w:rPr>
          <w:rFonts w:ascii="Book Antiqua" w:hAnsi="Book Antiqua"/>
        </w:rPr>
        <w:t>zákona,</w:t>
      </w:r>
      <w:r w:rsidR="004E35FD" w:rsidRPr="004E35FD">
        <w:rPr>
          <w:rFonts w:ascii="Book Antiqua" w:hAnsi="Book Antiqua"/>
          <w:b/>
        </w:rPr>
        <w:t xml:space="preserve"> </w:t>
      </w:r>
      <w:r w:rsidR="004E35FD" w:rsidRPr="004E35FD">
        <w:rPr>
          <w:rFonts w:ascii="Book Antiqua" w:hAnsi="Book Antiqua"/>
          <w:bCs/>
        </w:rPr>
        <w:t xml:space="preserve">ktorým sa mení a dopĺňa zákon </w:t>
      </w:r>
      <w:r w:rsidR="00DA3F7B" w:rsidRPr="00DA3F7B">
        <w:rPr>
          <w:rFonts w:ascii="Book Antiqua" w:hAnsi="Book Antiqua"/>
          <w:bCs/>
        </w:rPr>
        <w:t>č</w:t>
      </w:r>
      <w:r w:rsidR="008B3D53">
        <w:rPr>
          <w:rFonts w:ascii="Book Antiqua" w:hAnsi="Book Antiqua"/>
          <w:bCs/>
        </w:rPr>
        <w:t>.</w:t>
      </w:r>
      <w:r w:rsidR="00DA3F7B" w:rsidRPr="00DA3F7B">
        <w:rPr>
          <w:rFonts w:ascii="Book Antiqua" w:hAnsi="Book Antiqua"/>
          <w:bCs/>
        </w:rPr>
        <w:t xml:space="preserve"> 595/2003 Z. z.  o dani z príjmov v znení neskorších predpisov</w:t>
      </w:r>
      <w:r w:rsidR="00124E1C" w:rsidRPr="00124E1C">
        <w:rPr>
          <w:rFonts w:ascii="Book Antiqua" w:hAnsi="Book Antiqua"/>
          <w:color w:val="000000" w:themeColor="text1"/>
        </w:rPr>
        <w:t xml:space="preserve">. </w:t>
      </w:r>
    </w:p>
    <w:p w14:paraId="303274BD" w14:textId="77777777"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14:paraId="1AB5396D" w14:textId="77777777" w:rsidR="00C5238B" w:rsidRPr="000C47C6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14:paraId="3568B801" w14:textId="33217110" w:rsidR="00771758" w:rsidRDefault="00771758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4207B"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14:paraId="24FB4AC8" w14:textId="2CBD32B4" w:rsidR="00D4207B" w:rsidRPr="00D4207B" w:rsidRDefault="00D4207B" w:rsidP="00D4207B">
      <w:pPr>
        <w:pStyle w:val="Odsekzoznamu"/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/>
          <w:lang w:eastAsia="sk-SK"/>
        </w:rPr>
      </w:pPr>
      <w:r w:rsidRPr="00D4207B">
        <w:rPr>
          <w:rFonts w:ascii="Book Antiqua" w:hAnsi="Book Antiqua" w:cs="Arial"/>
          <w:lang w:eastAsia="sk-SK"/>
        </w:rPr>
        <w:t>čl.</w:t>
      </w:r>
      <w:r w:rsidRPr="00D4207B">
        <w:rPr>
          <w:rFonts w:ascii="Book Antiqua" w:hAnsi="Book Antiqua" w:cs="Arial"/>
          <w:spacing w:val="-17"/>
          <w:lang w:eastAsia="sk-SK"/>
        </w:rPr>
        <w:t xml:space="preserve"> </w:t>
      </w:r>
      <w:r w:rsidRPr="00D4207B">
        <w:rPr>
          <w:rFonts w:ascii="Book Antiqua" w:hAnsi="Book Antiqua" w:cs="Arial"/>
          <w:lang w:eastAsia="sk-SK"/>
        </w:rPr>
        <w:t>110</w:t>
      </w:r>
      <w:r w:rsidRPr="00D4207B">
        <w:rPr>
          <w:rFonts w:ascii="Book Antiqua" w:hAnsi="Book Antiqua" w:cs="Arial"/>
          <w:spacing w:val="-17"/>
          <w:lang w:eastAsia="sk-SK"/>
        </w:rPr>
        <w:t xml:space="preserve"> </w:t>
      </w:r>
      <w:r w:rsidRPr="00D4207B">
        <w:rPr>
          <w:rFonts w:ascii="Book Antiqua" w:hAnsi="Book Antiqua" w:cs="Arial"/>
          <w:lang w:eastAsia="sk-SK"/>
        </w:rPr>
        <w:t>až</w:t>
      </w:r>
      <w:r w:rsidRPr="00D4207B">
        <w:rPr>
          <w:rFonts w:ascii="Book Antiqua" w:hAnsi="Book Antiqua" w:cs="Arial"/>
          <w:spacing w:val="-17"/>
          <w:lang w:eastAsia="sk-SK"/>
        </w:rPr>
        <w:t xml:space="preserve"> </w:t>
      </w:r>
      <w:r w:rsidRPr="00D4207B">
        <w:rPr>
          <w:rFonts w:ascii="Book Antiqua" w:hAnsi="Book Antiqua" w:cs="Arial"/>
          <w:lang w:eastAsia="sk-SK"/>
        </w:rPr>
        <w:t>112</w:t>
      </w:r>
      <w:r w:rsidRPr="00D4207B">
        <w:rPr>
          <w:rFonts w:ascii="Book Antiqua" w:hAnsi="Book Antiqua" w:cs="Arial"/>
          <w:spacing w:val="-17"/>
          <w:lang w:eastAsia="sk-SK"/>
        </w:rPr>
        <w:t xml:space="preserve"> </w:t>
      </w:r>
      <w:r w:rsidRPr="00D4207B">
        <w:rPr>
          <w:rFonts w:ascii="Book Antiqua" w:hAnsi="Book Antiqua" w:cs="Arial"/>
          <w:lang w:eastAsia="sk-SK"/>
        </w:rPr>
        <w:t>a čl.</w:t>
      </w:r>
      <w:r w:rsidRPr="00D4207B">
        <w:rPr>
          <w:rFonts w:ascii="Book Antiqua" w:hAnsi="Book Antiqua" w:cs="Arial"/>
          <w:spacing w:val="-17"/>
          <w:lang w:eastAsia="sk-SK"/>
        </w:rPr>
        <w:t xml:space="preserve"> </w:t>
      </w:r>
      <w:r w:rsidRPr="00D4207B">
        <w:rPr>
          <w:rFonts w:ascii="Book Antiqua" w:hAnsi="Book Antiqua" w:cs="Arial"/>
          <w:lang w:eastAsia="sk-SK"/>
        </w:rPr>
        <w:t>115</w:t>
      </w:r>
      <w:r w:rsidRPr="00D4207B">
        <w:rPr>
          <w:rFonts w:ascii="Book Antiqua" w:hAnsi="Book Antiqua" w:cs="Arial"/>
          <w:spacing w:val="-17"/>
          <w:lang w:eastAsia="sk-SK"/>
        </w:rPr>
        <w:t xml:space="preserve"> </w:t>
      </w:r>
      <w:r w:rsidRPr="00D4207B">
        <w:rPr>
          <w:rFonts w:ascii="Book Antiqua" w:hAnsi="Book Antiqua" w:cs="Arial"/>
          <w:lang w:eastAsia="sk-SK"/>
        </w:rPr>
        <w:t>Zmluvy</w:t>
      </w:r>
      <w:r w:rsidRPr="00D4207B">
        <w:rPr>
          <w:rFonts w:ascii="Book Antiqua" w:hAnsi="Book Antiqua" w:cs="Arial"/>
          <w:spacing w:val="-17"/>
          <w:lang w:eastAsia="sk-SK"/>
        </w:rPr>
        <w:t xml:space="preserve"> </w:t>
      </w:r>
      <w:r w:rsidRPr="00D4207B">
        <w:rPr>
          <w:rFonts w:ascii="Book Antiqua" w:hAnsi="Book Antiqua" w:cs="Arial"/>
          <w:lang w:eastAsia="sk-SK"/>
        </w:rPr>
        <w:t>o fungovaní</w:t>
      </w:r>
      <w:r w:rsidRPr="00D4207B">
        <w:rPr>
          <w:rFonts w:ascii="Book Antiqua" w:hAnsi="Book Antiqua" w:cs="Arial"/>
          <w:spacing w:val="-17"/>
          <w:lang w:eastAsia="sk-SK"/>
        </w:rPr>
        <w:t xml:space="preserve"> </w:t>
      </w:r>
      <w:r w:rsidRPr="00D4207B">
        <w:rPr>
          <w:rFonts w:ascii="Book Antiqua" w:hAnsi="Book Antiqua" w:cs="Arial"/>
          <w:lang w:eastAsia="sk-SK"/>
        </w:rPr>
        <w:t>Európskej</w:t>
      </w:r>
      <w:r w:rsidRPr="00D4207B">
        <w:rPr>
          <w:rFonts w:ascii="Book Antiqua" w:hAnsi="Book Antiqua" w:cs="Arial"/>
          <w:spacing w:val="-17"/>
          <w:lang w:eastAsia="sk-SK"/>
        </w:rPr>
        <w:t xml:space="preserve"> </w:t>
      </w:r>
      <w:r w:rsidRPr="00D4207B">
        <w:rPr>
          <w:rFonts w:ascii="Book Antiqua" w:hAnsi="Book Antiqua" w:cs="Arial"/>
          <w:lang w:eastAsia="sk-SK"/>
        </w:rPr>
        <w:t>únie</w:t>
      </w:r>
      <w:r w:rsidRPr="00D4207B">
        <w:rPr>
          <w:rFonts w:ascii="Book Antiqua" w:hAnsi="Book Antiqua" w:cs="Arial"/>
          <w:spacing w:val="-17"/>
          <w:lang w:eastAsia="sk-SK"/>
        </w:rPr>
        <w:t xml:space="preserve"> </w:t>
      </w:r>
      <w:r w:rsidRPr="00D4207B">
        <w:rPr>
          <w:rFonts w:ascii="Book Antiqua" w:hAnsi="Book Antiqua" w:cs="Arial"/>
          <w:lang w:eastAsia="sk-SK"/>
        </w:rPr>
        <w:t>(Ú.</w:t>
      </w:r>
      <w:r w:rsidRPr="00D4207B">
        <w:rPr>
          <w:rFonts w:ascii="Book Antiqua" w:hAnsi="Book Antiqua" w:cs="Arial"/>
          <w:spacing w:val="-17"/>
          <w:lang w:eastAsia="sk-SK"/>
        </w:rPr>
        <w:t xml:space="preserve"> </w:t>
      </w:r>
      <w:r w:rsidRPr="00D4207B">
        <w:rPr>
          <w:rFonts w:ascii="Book Antiqua" w:hAnsi="Book Antiqua" w:cs="Arial"/>
          <w:lang w:eastAsia="sk-SK"/>
        </w:rPr>
        <w:t>v.</w:t>
      </w:r>
      <w:r w:rsidRPr="00D4207B">
        <w:rPr>
          <w:rFonts w:ascii="Book Antiqua" w:hAnsi="Book Antiqua" w:cs="Arial"/>
          <w:spacing w:val="-17"/>
          <w:lang w:eastAsia="sk-SK"/>
        </w:rPr>
        <w:t xml:space="preserve"> </w:t>
      </w:r>
      <w:r w:rsidRPr="00D4207B">
        <w:rPr>
          <w:rFonts w:ascii="Book Antiqua" w:hAnsi="Book Antiqua" w:cs="Arial"/>
          <w:lang w:eastAsia="sk-SK"/>
        </w:rPr>
        <w:t>EÚ</w:t>
      </w:r>
      <w:r w:rsidRPr="00D4207B">
        <w:rPr>
          <w:rFonts w:ascii="Book Antiqua" w:hAnsi="Book Antiqua" w:cs="Arial"/>
          <w:spacing w:val="-17"/>
          <w:lang w:eastAsia="sk-SK"/>
        </w:rPr>
        <w:t xml:space="preserve"> </w:t>
      </w:r>
      <w:r w:rsidRPr="00D4207B">
        <w:rPr>
          <w:rFonts w:ascii="Book Antiqua" w:hAnsi="Book Antiqua" w:cs="Arial"/>
          <w:lang w:eastAsia="sk-SK"/>
        </w:rPr>
        <w:t>C</w:t>
      </w:r>
      <w:r w:rsidRPr="00D4207B">
        <w:rPr>
          <w:rFonts w:ascii="Book Antiqua" w:hAnsi="Book Antiqua" w:cs="Arial"/>
          <w:spacing w:val="-17"/>
          <w:lang w:eastAsia="sk-SK"/>
        </w:rPr>
        <w:t xml:space="preserve"> </w:t>
      </w:r>
      <w:r w:rsidRPr="00D4207B">
        <w:rPr>
          <w:rFonts w:ascii="Book Antiqua" w:hAnsi="Book Antiqua" w:cs="Arial"/>
          <w:lang w:eastAsia="sk-SK"/>
        </w:rPr>
        <w:t>202,</w:t>
      </w:r>
      <w:r w:rsidRPr="00D4207B">
        <w:rPr>
          <w:rFonts w:ascii="Book Antiqua" w:hAnsi="Book Antiqua" w:cs="Arial"/>
          <w:spacing w:val="-17"/>
          <w:lang w:eastAsia="sk-SK"/>
        </w:rPr>
        <w:t xml:space="preserve"> </w:t>
      </w:r>
      <w:r w:rsidRPr="00D4207B">
        <w:rPr>
          <w:rFonts w:ascii="Book Antiqua" w:hAnsi="Book Antiqua" w:cs="Arial"/>
          <w:lang w:eastAsia="sk-SK"/>
        </w:rPr>
        <w:t xml:space="preserve">7.6.2016) </w:t>
      </w:r>
      <w:r>
        <w:rPr>
          <w:rFonts w:ascii="Book Antiqua" w:hAnsi="Book Antiqua" w:cs="Arial"/>
          <w:lang w:eastAsia="sk-SK"/>
        </w:rPr>
        <w:br/>
      </w:r>
      <w:r w:rsidRPr="00D4207B">
        <w:rPr>
          <w:rFonts w:ascii="Book Antiqua" w:hAnsi="Book Antiqua" w:cs="Arial"/>
          <w:lang w:eastAsia="sk-SK"/>
        </w:rPr>
        <w:t>v platnom znení.</w:t>
      </w:r>
    </w:p>
    <w:p w14:paraId="0D67DB0E" w14:textId="225D997A" w:rsidR="00C5238B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</w:r>
      <w:r w:rsidR="002D2B5E">
        <w:rPr>
          <w:rFonts w:ascii="Book Antiqua" w:hAnsi="Book Antiqua"/>
          <w:bCs/>
        </w:rPr>
        <w:t xml:space="preserve">b) </w:t>
      </w:r>
      <w:r w:rsidRPr="000C47C6">
        <w:rPr>
          <w:rFonts w:ascii="Book Antiqua" w:hAnsi="Book Antiqua"/>
          <w:bCs/>
        </w:rPr>
        <w:t>je upravený v sekundárnom práve Európskej únie</w:t>
      </w:r>
      <w:r w:rsidR="00CD17F5">
        <w:rPr>
          <w:rFonts w:ascii="Book Antiqua" w:hAnsi="Book Antiqua"/>
          <w:bCs/>
        </w:rPr>
        <w:t>.</w:t>
      </w:r>
    </w:p>
    <w:p w14:paraId="144D4F85" w14:textId="3CFF5B35" w:rsidR="002D2B5E" w:rsidRPr="002D2B5E" w:rsidRDefault="002D2B5E" w:rsidP="00EB0EA6">
      <w:pPr>
        <w:pStyle w:val="Odsekzoznamu"/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/>
          <w:lang w:eastAsia="sk-SK"/>
        </w:rPr>
      </w:pPr>
      <w:r w:rsidRPr="002D2B5E">
        <w:rPr>
          <w:rFonts w:ascii="Book Antiqua" w:hAnsi="Book Antiqua"/>
          <w:lang w:eastAsia="sk-SK"/>
        </w:rPr>
        <w:t>smernica Rady (EÚ) 2017/952 z 29. mája 2017, ktorou sa mení smernica (EÚ) 2016/1164, pokiaľ ide o hybridné nesúlady s tretími krajinami (Ú. v. EÚ L 144, 7.6.20</w:t>
      </w:r>
      <w:r>
        <w:rPr>
          <w:rFonts w:ascii="Book Antiqua" w:hAnsi="Book Antiqua"/>
          <w:lang w:eastAsia="sk-SK"/>
        </w:rPr>
        <w:t>17)</w:t>
      </w:r>
      <w:r w:rsidRPr="002D2B5E">
        <w:rPr>
          <w:rFonts w:ascii="Book Antiqua" w:hAnsi="Book Antiqua"/>
          <w:lang w:eastAsia="sk-SK"/>
        </w:rPr>
        <w:t>,</w:t>
      </w:r>
      <w:r w:rsidR="00EB0EA6">
        <w:rPr>
          <w:rFonts w:ascii="Book Antiqua" w:hAnsi="Book Antiqua"/>
          <w:lang w:eastAsia="sk-SK"/>
        </w:rPr>
        <w:t xml:space="preserve"> </w:t>
      </w:r>
      <w:r w:rsidR="00EB0EA6" w:rsidRPr="00EB0EA6">
        <w:rPr>
          <w:rFonts w:ascii="Book Antiqua" w:hAnsi="Book Antiqua"/>
          <w:lang w:eastAsia="sk-SK"/>
        </w:rPr>
        <w:t>gestor: MF SR,</w:t>
      </w:r>
    </w:p>
    <w:p w14:paraId="43C0B81B" w14:textId="3543DDA1" w:rsidR="002D2B5E" w:rsidRPr="002D2B5E" w:rsidRDefault="002D2B5E" w:rsidP="00F8515F">
      <w:pPr>
        <w:pStyle w:val="Odsekzoznamu"/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/>
          <w:lang w:eastAsia="sk-SK"/>
        </w:rPr>
      </w:pPr>
      <w:r w:rsidRPr="002D2B5E">
        <w:rPr>
          <w:rFonts w:ascii="Book Antiqua" w:hAnsi="Book Antiqua"/>
          <w:lang w:eastAsia="sk-SK"/>
        </w:rPr>
        <w:t xml:space="preserve">smernica Rady (EÚ) 2016/1164 z 12. júla 2016, ktorou sa stanovujú pravidlá proti praktikám vyhýbania sa daňovým povinnostiam, ktoré majú priamy vplyv </w:t>
      </w:r>
      <w:r>
        <w:rPr>
          <w:rFonts w:ascii="Book Antiqua" w:hAnsi="Book Antiqua"/>
          <w:lang w:eastAsia="sk-SK"/>
        </w:rPr>
        <w:br/>
      </w:r>
      <w:r w:rsidRPr="002D2B5E">
        <w:rPr>
          <w:rFonts w:ascii="Book Antiqua" w:hAnsi="Book Antiqua"/>
          <w:lang w:eastAsia="sk-SK"/>
        </w:rPr>
        <w:t>na fungovanie vnútorného trhu (Ú. v. EÚ L 19</w:t>
      </w:r>
      <w:r>
        <w:rPr>
          <w:rFonts w:ascii="Book Antiqua" w:hAnsi="Book Antiqua"/>
          <w:lang w:eastAsia="sk-SK"/>
        </w:rPr>
        <w:t>3, 19.7.2016), v platnom znení,</w:t>
      </w:r>
    </w:p>
    <w:p w14:paraId="35EAC9E8" w14:textId="561A6BA6" w:rsidR="002D2B5E" w:rsidRPr="002D2B5E" w:rsidRDefault="002D2B5E" w:rsidP="00276507">
      <w:pPr>
        <w:pStyle w:val="Odsekzoznamu"/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/>
          <w:lang w:eastAsia="sk-SK"/>
        </w:rPr>
      </w:pPr>
      <w:r w:rsidRPr="002D2B5E">
        <w:rPr>
          <w:rFonts w:ascii="Book Antiqua" w:hAnsi="Book Antiqua"/>
          <w:lang w:eastAsia="sk-SK"/>
        </w:rPr>
        <w:t>smernica Rady (EÚ) 2015/2060 z 10. novembra 2015, ktorou sa zrušuje smernica 2003/48/ES o zdaňovaní príjmu z úspor v podobe výplaty úroko</w:t>
      </w:r>
      <w:r>
        <w:rPr>
          <w:rFonts w:ascii="Book Antiqua" w:hAnsi="Book Antiqua"/>
          <w:lang w:eastAsia="sk-SK"/>
        </w:rPr>
        <w:t>v (Ú. v. EÚ L 301, 18.11.2015),</w:t>
      </w:r>
      <w:r w:rsidR="00EB0EA6">
        <w:rPr>
          <w:rFonts w:ascii="Book Antiqua" w:hAnsi="Book Antiqua"/>
          <w:lang w:eastAsia="sk-SK"/>
        </w:rPr>
        <w:t xml:space="preserve"> </w:t>
      </w:r>
      <w:r w:rsidR="00EB0EA6" w:rsidRPr="00EB0EA6">
        <w:rPr>
          <w:rFonts w:ascii="Book Antiqua" w:hAnsi="Book Antiqua"/>
          <w:lang w:eastAsia="sk-SK"/>
        </w:rPr>
        <w:t>gestor: MF SR,</w:t>
      </w:r>
    </w:p>
    <w:p w14:paraId="2E74FA9C" w14:textId="4EA0B29E" w:rsidR="002D2B5E" w:rsidRPr="002D2B5E" w:rsidRDefault="002D2B5E" w:rsidP="00B96FBF">
      <w:pPr>
        <w:pStyle w:val="Odsekzoznamu"/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/>
          <w:lang w:eastAsia="sk-SK"/>
        </w:rPr>
      </w:pPr>
      <w:r w:rsidRPr="002D2B5E">
        <w:rPr>
          <w:rFonts w:ascii="Book Antiqua" w:hAnsi="Book Antiqua"/>
          <w:lang w:eastAsia="sk-SK"/>
        </w:rPr>
        <w:t xml:space="preserve">smernica Rady 2011/96/EÚ z 30. novembra 2011 o spoločnom systéme zdaňovania uplatňovanom v prípade materských spoločností a dcérskych spoločností </w:t>
      </w:r>
      <w:r>
        <w:rPr>
          <w:rFonts w:ascii="Book Antiqua" w:hAnsi="Book Antiqua"/>
          <w:lang w:eastAsia="sk-SK"/>
        </w:rPr>
        <w:br/>
      </w:r>
      <w:r w:rsidRPr="002D2B5E">
        <w:rPr>
          <w:rFonts w:ascii="Book Antiqua" w:hAnsi="Book Antiqua"/>
          <w:lang w:eastAsia="sk-SK"/>
        </w:rPr>
        <w:t xml:space="preserve">v rozličných členských štátoch (prepracované znenie) (Ú. v. EÚ L 345, 29.12.2011) </w:t>
      </w:r>
      <w:r>
        <w:rPr>
          <w:rFonts w:ascii="Book Antiqua" w:hAnsi="Book Antiqua"/>
          <w:lang w:eastAsia="sk-SK"/>
        </w:rPr>
        <w:br/>
      </w:r>
      <w:r w:rsidRPr="002D2B5E">
        <w:rPr>
          <w:rFonts w:ascii="Book Antiqua" w:hAnsi="Book Antiqua"/>
          <w:lang w:eastAsia="sk-SK"/>
        </w:rPr>
        <w:t>v platnom znení,</w:t>
      </w:r>
      <w:r w:rsidR="00EB0EA6">
        <w:rPr>
          <w:rFonts w:ascii="Book Antiqua" w:hAnsi="Book Antiqua"/>
          <w:lang w:eastAsia="sk-SK"/>
        </w:rPr>
        <w:t xml:space="preserve"> </w:t>
      </w:r>
      <w:r w:rsidR="00EB0EA6" w:rsidRPr="00EB0EA6">
        <w:rPr>
          <w:rFonts w:ascii="Book Antiqua" w:hAnsi="Book Antiqua"/>
          <w:lang w:eastAsia="sk-SK"/>
        </w:rPr>
        <w:t>gestor: MF SR,</w:t>
      </w:r>
    </w:p>
    <w:p w14:paraId="3186EF56" w14:textId="05F14625" w:rsidR="002D2B5E" w:rsidRPr="002D2B5E" w:rsidRDefault="002D2B5E" w:rsidP="006D4719">
      <w:pPr>
        <w:pStyle w:val="Odsekzoznamu"/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/>
          <w:lang w:eastAsia="sk-SK"/>
        </w:rPr>
      </w:pPr>
      <w:r w:rsidRPr="002D2B5E">
        <w:rPr>
          <w:rFonts w:ascii="Book Antiqua" w:hAnsi="Book Antiqua"/>
          <w:lang w:eastAsia="sk-SK"/>
        </w:rPr>
        <w:t xml:space="preserve">smernica Rady 2009/133/ES z 19. októbra 2009 o spoločnom systéme zdaňovania, uplatniteľnom pri zlučovaní, rozdeľovaní, čiastočnom rozdeľovaní, prevode aktív a výmene akcií spoločností rôznych členských štátov a pri premiestnení sídla SE alebo SCE medzi členskými štátmi (kodifikované znenie) (Ú. v. EÚ L 310, 25.11. 2009) </w:t>
      </w:r>
      <w:r>
        <w:rPr>
          <w:rFonts w:ascii="Book Antiqua" w:hAnsi="Book Antiqua"/>
          <w:lang w:eastAsia="sk-SK"/>
        </w:rPr>
        <w:br/>
        <w:t>v platnom znení,</w:t>
      </w:r>
      <w:r w:rsidR="00EB0EA6">
        <w:rPr>
          <w:rFonts w:ascii="Book Antiqua" w:hAnsi="Book Antiqua"/>
          <w:lang w:eastAsia="sk-SK"/>
        </w:rPr>
        <w:t xml:space="preserve"> </w:t>
      </w:r>
      <w:r w:rsidR="00EB0EA6" w:rsidRPr="00EB0EA6">
        <w:rPr>
          <w:rFonts w:ascii="Book Antiqua" w:hAnsi="Book Antiqua"/>
          <w:lang w:eastAsia="sk-SK"/>
        </w:rPr>
        <w:t>gestor: MF SR,</w:t>
      </w:r>
    </w:p>
    <w:p w14:paraId="209881D9" w14:textId="0DEFAC75" w:rsidR="002D2B5E" w:rsidRPr="002D2B5E" w:rsidRDefault="002D2B5E" w:rsidP="002D2B5E">
      <w:pPr>
        <w:pStyle w:val="Odsekzoznamu"/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/>
          <w:lang w:eastAsia="sk-SK"/>
        </w:rPr>
      </w:pPr>
      <w:r w:rsidRPr="002D2B5E">
        <w:rPr>
          <w:rFonts w:ascii="Book Antiqua" w:hAnsi="Book Antiqua"/>
          <w:lang w:eastAsia="sk-SK"/>
        </w:rPr>
        <w:t xml:space="preserve">smernica Rady 2008/7/ES z 12. februára 2008 o nepriamych daniach z navyšovania </w:t>
      </w:r>
    </w:p>
    <w:p w14:paraId="15BA1FE0" w14:textId="4C439890" w:rsidR="002D2B5E" w:rsidRPr="002D2B5E" w:rsidRDefault="002D2B5E" w:rsidP="009B5B1F">
      <w:pPr>
        <w:pStyle w:val="Odsekzoznamu"/>
        <w:suppressAutoHyphens w:val="0"/>
        <w:spacing w:after="0"/>
        <w:ind w:left="1068"/>
        <w:jc w:val="both"/>
        <w:rPr>
          <w:rFonts w:ascii="Book Antiqua" w:hAnsi="Book Antiqua"/>
          <w:lang w:eastAsia="sk-SK"/>
        </w:rPr>
      </w:pPr>
      <w:r w:rsidRPr="002D2B5E">
        <w:rPr>
          <w:rFonts w:ascii="Book Antiqua" w:hAnsi="Book Antiqua"/>
          <w:lang w:eastAsia="sk-SK"/>
        </w:rPr>
        <w:t>kapitálu (Ú. v. EÚ L 4</w:t>
      </w:r>
      <w:r w:rsidR="009B5B1F">
        <w:rPr>
          <w:rFonts w:ascii="Book Antiqua" w:hAnsi="Book Antiqua"/>
          <w:lang w:eastAsia="sk-SK"/>
        </w:rPr>
        <w:t>6, 21.2. 2008) v platnom znení</w:t>
      </w:r>
      <w:r w:rsidRPr="002D2B5E">
        <w:rPr>
          <w:rFonts w:ascii="Book Antiqua" w:hAnsi="Book Antiqua"/>
          <w:lang w:eastAsia="sk-SK"/>
        </w:rPr>
        <w:t>,</w:t>
      </w:r>
    </w:p>
    <w:p w14:paraId="10849BA7" w14:textId="415245CA" w:rsidR="002D2B5E" w:rsidRPr="009B5B1F" w:rsidRDefault="002D2B5E" w:rsidP="00300FA2">
      <w:pPr>
        <w:pStyle w:val="Odsekzoznamu"/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/>
          <w:lang w:eastAsia="sk-SK"/>
        </w:rPr>
      </w:pPr>
      <w:r w:rsidRPr="009B5B1F">
        <w:rPr>
          <w:rFonts w:ascii="Book Antiqua" w:hAnsi="Book Antiqua"/>
          <w:lang w:eastAsia="sk-SK"/>
        </w:rPr>
        <w:t xml:space="preserve">smernica Rady 2003/49/ES z 3. júna 2003 o spoločnom systéme zdaňovania uplatňovanom na výplaty úrokov a licenčných poplatkov medzi združenými spoločnosťami rôznych členských štátov  (Ú. v. EÚ L 157, 26.6.2003; Mimoriadne vydanie Ú. v. EÚ, kap. </w:t>
      </w:r>
      <w:r w:rsidR="009B5B1F">
        <w:rPr>
          <w:rFonts w:ascii="Book Antiqua" w:hAnsi="Book Antiqua"/>
          <w:lang w:eastAsia="sk-SK"/>
        </w:rPr>
        <w:t>9/ zv. 1) v platnom znení</w:t>
      </w:r>
      <w:r w:rsidR="00EB0EA6">
        <w:rPr>
          <w:rFonts w:ascii="Book Antiqua" w:hAnsi="Book Antiqua"/>
          <w:lang w:eastAsia="sk-SK"/>
        </w:rPr>
        <w:t>, gestor: MF SR.</w:t>
      </w:r>
    </w:p>
    <w:p w14:paraId="7BD59404" w14:textId="77777777" w:rsidR="002D2B5E" w:rsidRPr="000C47C6" w:rsidRDefault="002D2B5E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</w:p>
    <w:p w14:paraId="644B4FA5" w14:textId="55C6A340" w:rsidR="00C5238B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="00962D9F">
        <w:rPr>
          <w:rFonts w:ascii="Book Antiqua" w:hAnsi="Book Antiqua"/>
          <w:bCs/>
        </w:rPr>
        <w:t xml:space="preserve">nie </w:t>
      </w:r>
      <w:r w:rsidRPr="00DB5985">
        <w:rPr>
          <w:rFonts w:ascii="Book Antiqua" w:hAnsi="Book Antiqua"/>
          <w:bCs/>
          <w:color w:val="000000" w:themeColor="text1"/>
        </w:rPr>
        <w:t>je obsiahnutý v judikatúre Súdneho dvora Európskej únie</w:t>
      </w:r>
      <w:r w:rsidR="00CD17F5" w:rsidRPr="00DB5985">
        <w:rPr>
          <w:rFonts w:ascii="Book Antiqua" w:hAnsi="Book Antiqua"/>
          <w:bCs/>
          <w:color w:val="000000" w:themeColor="text1"/>
        </w:rPr>
        <w:t>.</w:t>
      </w:r>
    </w:p>
    <w:p w14:paraId="30F1015B" w14:textId="77777777" w:rsidR="009B5B1F" w:rsidRDefault="009B5B1F" w:rsidP="00D4207B">
      <w:pPr>
        <w:suppressAutoHyphens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lang w:eastAsia="sk-SK"/>
        </w:rPr>
      </w:pPr>
    </w:p>
    <w:p w14:paraId="61951A81" w14:textId="53319A15" w:rsidR="00D4207B" w:rsidRPr="00D4207B" w:rsidRDefault="00D4207B" w:rsidP="00D4207B">
      <w:pPr>
        <w:suppressAutoHyphens w:val="0"/>
        <w:spacing w:after="0" w:line="240" w:lineRule="auto"/>
        <w:jc w:val="both"/>
        <w:rPr>
          <w:rFonts w:ascii="Book Antiqua" w:hAnsi="Book Antiqua"/>
          <w:color w:val="000000"/>
          <w:lang w:eastAsia="sk-SK"/>
        </w:rPr>
      </w:pPr>
      <w:r w:rsidRPr="00D4207B">
        <w:rPr>
          <w:rFonts w:ascii="Book Antiqua" w:hAnsi="Book Antiqua" w:cs="Arial"/>
          <w:b/>
          <w:bCs/>
          <w:color w:val="000000"/>
          <w:lang w:eastAsia="sk-SK"/>
        </w:rPr>
        <w:t>4.Záväzky Slovenskej republiky vo vzťahu k Európskej únii:</w:t>
      </w:r>
    </w:p>
    <w:p w14:paraId="565FD37B" w14:textId="77777777" w:rsidR="00F60728" w:rsidRDefault="00F60728" w:rsidP="00D4207B">
      <w:pPr>
        <w:suppressAutoHyphens w:val="0"/>
        <w:spacing w:after="0" w:line="240" w:lineRule="auto"/>
        <w:jc w:val="both"/>
        <w:rPr>
          <w:rFonts w:ascii="Book Antiqua" w:hAnsi="Book Antiqua" w:cs="Arial"/>
          <w:color w:val="000000"/>
          <w:lang w:eastAsia="sk-SK"/>
        </w:rPr>
      </w:pPr>
    </w:p>
    <w:p w14:paraId="31F455A7" w14:textId="4BCB6EA0" w:rsidR="00D4207B" w:rsidRPr="00D4207B" w:rsidRDefault="00EB0EA6" w:rsidP="00D4207B">
      <w:pPr>
        <w:suppressAutoHyphens w:val="0"/>
        <w:spacing w:after="0" w:line="240" w:lineRule="auto"/>
        <w:jc w:val="both"/>
        <w:rPr>
          <w:rFonts w:ascii="Book Antiqua" w:hAnsi="Book Antiqua"/>
          <w:color w:val="000000"/>
          <w:lang w:eastAsia="sk-SK"/>
        </w:rPr>
      </w:pPr>
      <w:r>
        <w:rPr>
          <w:rFonts w:ascii="Book Antiqua" w:hAnsi="Book Antiqua" w:cs="Arial"/>
          <w:color w:val="000000"/>
          <w:lang w:eastAsia="sk-SK"/>
        </w:rPr>
        <w:t>Bezpredmetné.</w:t>
      </w:r>
    </w:p>
    <w:p w14:paraId="165D02ED" w14:textId="77777777" w:rsidR="00F60728" w:rsidRDefault="00F60728" w:rsidP="00D4207B">
      <w:pPr>
        <w:suppressAutoHyphens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lang w:eastAsia="sk-SK"/>
        </w:rPr>
      </w:pPr>
    </w:p>
    <w:p w14:paraId="0586C6C2" w14:textId="3540E9FB" w:rsidR="00D4207B" w:rsidRPr="00D4207B" w:rsidRDefault="00D4207B" w:rsidP="00D4207B">
      <w:pPr>
        <w:suppressAutoHyphens w:val="0"/>
        <w:spacing w:after="0" w:line="240" w:lineRule="auto"/>
        <w:jc w:val="both"/>
        <w:rPr>
          <w:rFonts w:ascii="Book Antiqua" w:hAnsi="Book Antiqua"/>
          <w:color w:val="000000"/>
          <w:lang w:eastAsia="sk-SK"/>
        </w:rPr>
      </w:pPr>
      <w:r w:rsidRPr="00D4207B">
        <w:rPr>
          <w:rFonts w:ascii="Book Antiqua" w:hAnsi="Book Antiqua" w:cs="Arial"/>
          <w:b/>
          <w:bCs/>
          <w:color w:val="000000"/>
          <w:lang w:eastAsia="sk-SK"/>
        </w:rPr>
        <w:t>5.Návrh zákona je zlučiteľný s právom Európskej únie:</w:t>
      </w:r>
    </w:p>
    <w:p w14:paraId="383B698C" w14:textId="13F883CB" w:rsidR="00C5238B" w:rsidRDefault="00D4207B" w:rsidP="00F60728">
      <w:pPr>
        <w:suppressAutoHyphens w:val="0"/>
        <w:spacing w:line="240" w:lineRule="auto"/>
        <w:jc w:val="both"/>
        <w:rPr>
          <w:rFonts w:ascii="Book Antiqua" w:hAnsi="Book Antiqua" w:cs="Arial"/>
        </w:rPr>
      </w:pPr>
      <w:r w:rsidRPr="00D4207B">
        <w:rPr>
          <w:rFonts w:ascii="Book Antiqua" w:hAnsi="Book Antiqua" w:cs="Arial"/>
          <w:color w:val="000000"/>
          <w:lang w:eastAsia="sk-SK"/>
        </w:rPr>
        <w:t>Úplne.</w:t>
      </w:r>
    </w:p>
    <w:p w14:paraId="5678B52C" w14:textId="77777777" w:rsidR="00C5238B" w:rsidRPr="00317A3B" w:rsidRDefault="00C5238B" w:rsidP="00F60728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6FCB3B96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62B9EB31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2AB60AA9" w14:textId="55D2EC39" w:rsidR="00F60728" w:rsidRPr="00124E1C" w:rsidRDefault="00C5238B" w:rsidP="00F60728">
      <w:pPr>
        <w:spacing w:after="0" w:line="240" w:lineRule="auto"/>
        <w:jc w:val="both"/>
        <w:rPr>
          <w:rFonts w:ascii="Book Antiqua" w:hAnsi="Book Antiqua"/>
          <w:b/>
          <w:color w:val="000000" w:themeColor="text1"/>
        </w:rPr>
      </w:pPr>
      <w:r w:rsidRPr="004B2BFE">
        <w:rPr>
          <w:rFonts w:ascii="Book Antiqua" w:hAnsi="Book Antiqua"/>
          <w:b/>
          <w:bCs/>
        </w:rPr>
        <w:t xml:space="preserve">A.1. Názov materiálu: </w:t>
      </w:r>
      <w:r w:rsidRPr="004B2BFE">
        <w:rPr>
          <w:rFonts w:ascii="Book Antiqua" w:hAnsi="Book Antiqua"/>
        </w:rPr>
        <w:t>Návrh</w:t>
      </w:r>
      <w:r w:rsidR="0089270C" w:rsidRPr="004B2BFE">
        <w:rPr>
          <w:rFonts w:ascii="Book Antiqua" w:hAnsi="Book Antiqua"/>
        </w:rPr>
        <w:t xml:space="preserve"> </w:t>
      </w:r>
      <w:r w:rsidR="00AC7ABD" w:rsidRPr="004B2BFE">
        <w:rPr>
          <w:rFonts w:ascii="Book Antiqua" w:hAnsi="Book Antiqua"/>
        </w:rPr>
        <w:t>zákona</w:t>
      </w:r>
      <w:r w:rsidR="00AC7ABD" w:rsidRPr="004B2BFE">
        <w:rPr>
          <w:rFonts w:ascii="Book Antiqua" w:hAnsi="Book Antiqua"/>
          <w:color w:val="000000" w:themeColor="text1"/>
        </w:rPr>
        <w:t xml:space="preserve">, ktorým sa </w:t>
      </w:r>
      <w:r w:rsidR="00AC7ABD" w:rsidRPr="009E58AD">
        <w:rPr>
          <w:rFonts w:ascii="Book Antiqua" w:hAnsi="Book Antiqua"/>
        </w:rPr>
        <w:t xml:space="preserve">mení a </w:t>
      </w:r>
      <w:r w:rsidR="009E58AD" w:rsidRPr="009E58AD">
        <w:rPr>
          <w:rFonts w:ascii="Book Antiqua" w:hAnsi="Book Antiqua"/>
        </w:rPr>
        <w:t xml:space="preserve">zákon </w:t>
      </w:r>
      <w:r w:rsidR="00F60728" w:rsidRPr="00DA3F7B">
        <w:rPr>
          <w:rFonts w:ascii="Book Antiqua" w:hAnsi="Book Antiqua"/>
          <w:bCs/>
        </w:rPr>
        <w:t>č</w:t>
      </w:r>
      <w:r w:rsidR="008B3D53">
        <w:rPr>
          <w:rFonts w:ascii="Book Antiqua" w:hAnsi="Book Antiqua"/>
          <w:bCs/>
        </w:rPr>
        <w:t>.</w:t>
      </w:r>
      <w:r w:rsidR="00F60728" w:rsidRPr="00DA3F7B">
        <w:rPr>
          <w:rFonts w:ascii="Book Antiqua" w:hAnsi="Book Antiqua"/>
          <w:bCs/>
        </w:rPr>
        <w:t xml:space="preserve"> 595/2003 Z. z.  o dani z príjmov v znení neskorších predpisov</w:t>
      </w:r>
      <w:r w:rsidR="00F60728" w:rsidRPr="00124E1C">
        <w:rPr>
          <w:rFonts w:ascii="Book Antiqua" w:hAnsi="Book Antiqua"/>
          <w:color w:val="000000" w:themeColor="text1"/>
        </w:rPr>
        <w:t xml:space="preserve">. </w:t>
      </w:r>
    </w:p>
    <w:p w14:paraId="0EA69952" w14:textId="48A63117" w:rsidR="00AC7ABD" w:rsidRPr="000C47C6" w:rsidRDefault="00AC7ABD" w:rsidP="00F60728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14:paraId="28548A06" w14:textId="77777777" w:rsidR="00AC7ABD" w:rsidRPr="00317A3B" w:rsidRDefault="00AC7ABD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14:paraId="4E3FDA9A" w14:textId="49CEA83E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Termín začatia a ukončenia PPK: </w:t>
      </w:r>
      <w:r w:rsidRPr="004B2BFE">
        <w:rPr>
          <w:rFonts w:ascii="Book Antiqua" w:hAnsi="Book Antiqua"/>
          <w:bCs/>
          <w:sz w:val="22"/>
        </w:rPr>
        <w:t>bezpredmetné</w:t>
      </w:r>
    </w:p>
    <w:p w14:paraId="02B2184C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055AC0A1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059C89A1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A.2. Vplyvy:</w:t>
      </w:r>
    </w:p>
    <w:p w14:paraId="6158A53E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14:paraId="447893F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C81C3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EF0AA6" w14:textId="461535EE" w:rsidR="00C5238B" w:rsidRPr="00317A3B" w:rsidRDefault="00C5238B" w:rsidP="00F60728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 xml:space="preserve">Pozitívne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7863A2" w14:textId="36C2D689" w:rsidR="00C5238B" w:rsidRPr="00317A3B" w:rsidRDefault="00C5238B" w:rsidP="00F60728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933C2E" w14:textId="6BAD0EE6" w:rsidR="00C5238B" w:rsidRPr="00317A3B" w:rsidRDefault="00C5238B" w:rsidP="00F60728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</w:p>
        </w:tc>
      </w:tr>
      <w:tr w:rsidR="00C5238B" w:rsidRPr="00317A3B" w14:paraId="68826AFD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D244AC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A16CAC" w14:textId="169176F0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D2FBCB" w14:textId="3DAEDFB3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127796" w14:textId="658C8E6E" w:rsidR="00C5238B" w:rsidRPr="00317A3B" w:rsidRDefault="00F60728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C5238B" w:rsidRPr="00317A3B" w14:paraId="568930F1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4F604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2D3AA3" w14:textId="62F6CC8E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2F7DEB" w14:textId="3112588D" w:rsidR="00C5238B" w:rsidRPr="00317A3B" w:rsidRDefault="00844968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FE8034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149150ED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82776AC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4D009E9E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2BD1F016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 xml:space="preserve">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14:paraId="2FF449EB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C4929D" w14:textId="3E2BD9F7" w:rsidR="00C5238B" w:rsidRPr="00317A3B" w:rsidRDefault="00615119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  <w:bookmarkStart w:id="0" w:name="_GoBack"/>
            <w:bookmarkEnd w:id="0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396D80" w14:textId="12AE2771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2A808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62C5B616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DA491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32217D" w14:textId="3A18D07E" w:rsidR="00C5238B" w:rsidRPr="00317A3B" w:rsidRDefault="005D3A0D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3B8C1C" w14:textId="6503536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7ABD87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0DEF88F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E76639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4978B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A7EBEE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12C3D4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C0724" w:rsidRPr="00317A3B" w14:paraId="6BD2A78B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663A55" w14:textId="77777777" w:rsidR="007C0724" w:rsidRPr="00317A3B" w:rsidRDefault="007C0724" w:rsidP="007C0724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D8971D" w14:textId="67B7F2C1" w:rsidR="007C0724" w:rsidRPr="00317A3B" w:rsidRDefault="005D3A0D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29EAE9" w14:textId="5BFBD8C5" w:rsidR="007C0724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25A90A" w14:textId="77777777" w:rsidR="007C0724" w:rsidRPr="00317A3B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0B726135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69630F91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18592DA8" w14:textId="434500DB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>A.3. Poznámky</w:t>
      </w:r>
    </w:p>
    <w:p w14:paraId="493E9824" w14:textId="25C333AD" w:rsidR="00990F60" w:rsidRPr="005D3A0D" w:rsidRDefault="005D3A0D" w:rsidP="005D3A0D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Návrh na negatívny vplyv na rozpočet verejnej správy. Predkladatelia predpokladajú zníženie príjmu z dane z príjmov fyzických osôb v roku 2022 o 35 mil. eur a v roku 2023 </w:t>
      </w:r>
      <w:r>
        <w:rPr>
          <w:rFonts w:ascii="Book Antiqua" w:hAnsi="Book Antiqua" w:cs="Arial"/>
          <w:color w:val="000000" w:themeColor="text1"/>
        </w:rPr>
        <w:br/>
        <w:t>o 37 mil</w:t>
      </w:r>
      <w:r w:rsidR="00800200">
        <w:rPr>
          <w:rFonts w:ascii="Book Antiqua" w:hAnsi="Book Antiqua" w:cs="Arial"/>
          <w:color w:val="000000" w:themeColor="text1"/>
        </w:rPr>
        <w:t>.</w:t>
      </w:r>
      <w:r>
        <w:rPr>
          <w:rFonts w:ascii="Book Antiqua" w:hAnsi="Book Antiqua" w:cs="Arial"/>
          <w:color w:val="000000" w:themeColor="text1"/>
        </w:rPr>
        <w:t xml:space="preserve"> eur.</w:t>
      </w:r>
    </w:p>
    <w:p w14:paraId="303942CD" w14:textId="77777777" w:rsidR="008F2E9A" w:rsidRPr="004B2BFE" w:rsidRDefault="008F2E9A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14:paraId="1FC471DD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A.4. Alternatívne riešenia</w:t>
      </w:r>
    </w:p>
    <w:p w14:paraId="4E50F863" w14:textId="77777777" w:rsidR="00C5238B" w:rsidRPr="004B2BFE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sz w:val="20"/>
          <w:szCs w:val="22"/>
        </w:rPr>
        <w:t> </w:t>
      </w:r>
    </w:p>
    <w:p w14:paraId="1355C449" w14:textId="77777777" w:rsidR="00C5238B" w:rsidRPr="004B2BFE" w:rsidRDefault="00C5238B" w:rsidP="005D3A0D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  <w:color w:val="000000" w:themeColor="text1"/>
          <w:sz w:val="22"/>
        </w:rPr>
      </w:pPr>
      <w:r w:rsidRPr="004B2BFE">
        <w:rPr>
          <w:rFonts w:ascii="Book Antiqua" w:hAnsi="Book Antiqua"/>
          <w:color w:val="000000" w:themeColor="text1"/>
          <w:sz w:val="22"/>
        </w:rPr>
        <w:t xml:space="preserve">Na dosiahnutie cieľa </w:t>
      </w:r>
      <w:r w:rsidR="001C35D5" w:rsidRPr="004B2BFE">
        <w:rPr>
          <w:rFonts w:ascii="Book Antiqua" w:hAnsi="Book Antiqua"/>
          <w:color w:val="000000" w:themeColor="text1"/>
          <w:sz w:val="22"/>
        </w:rPr>
        <w:t xml:space="preserve">uvedeného v dôvodovej správe </w:t>
      </w:r>
      <w:r w:rsidRPr="004B2BFE">
        <w:rPr>
          <w:rFonts w:ascii="Book Antiqua" w:hAnsi="Book Antiqua"/>
          <w:color w:val="000000" w:themeColor="text1"/>
          <w:sz w:val="22"/>
        </w:rPr>
        <w:t xml:space="preserve">nie je možné použiť iné riešenie, </w:t>
      </w:r>
      <w:r w:rsidR="004B2BFE">
        <w:rPr>
          <w:rFonts w:ascii="Book Antiqua" w:hAnsi="Book Antiqua"/>
          <w:color w:val="000000" w:themeColor="text1"/>
          <w:sz w:val="22"/>
        </w:rPr>
        <w:br/>
      </w:r>
      <w:r w:rsidRPr="004B2BFE">
        <w:rPr>
          <w:rFonts w:ascii="Book Antiqua" w:hAnsi="Book Antiqua"/>
          <w:color w:val="000000" w:themeColor="text1"/>
          <w:sz w:val="22"/>
        </w:rPr>
        <w:t>než je predložené.</w:t>
      </w:r>
    </w:p>
    <w:p w14:paraId="5C57E196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 </w:t>
      </w:r>
    </w:p>
    <w:p w14:paraId="327612C2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A.5. Stanovisko gestorov </w:t>
      </w:r>
    </w:p>
    <w:p w14:paraId="76BA5917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</w:p>
    <w:p w14:paraId="13BEEE1E" w14:textId="2DA4C917" w:rsidR="004B2BFE" w:rsidRPr="004B2BFE" w:rsidRDefault="00C5238B" w:rsidP="00800200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Cs/>
          <w:sz w:val="22"/>
        </w:rPr>
        <w:t>Návrh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 bol zaslaný na posúdenie Ministerstvu financií SR. Stanovisko ministerstva tvo</w:t>
      </w:r>
      <w:r w:rsidR="00CE2114" w:rsidRPr="004B2BFE">
        <w:rPr>
          <w:rFonts w:ascii="Book Antiqua" w:hAnsi="Book Antiqua"/>
          <w:bCs/>
          <w:sz w:val="22"/>
        </w:rPr>
        <w:t>rí prílohu predkladaného návrhu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zákona.</w:t>
      </w:r>
    </w:p>
    <w:sectPr w:rsidR="004B2BFE" w:rsidRPr="004B2BFE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FF14D1"/>
    <w:multiLevelType w:val="hybridMultilevel"/>
    <w:tmpl w:val="B0C05A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6FB3B25"/>
    <w:multiLevelType w:val="hybridMultilevel"/>
    <w:tmpl w:val="C2AEFED8"/>
    <w:lvl w:ilvl="0" w:tplc="9820A3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4E1C"/>
    <w:rsid w:val="00126CC1"/>
    <w:rsid w:val="00133D4F"/>
    <w:rsid w:val="001632E7"/>
    <w:rsid w:val="00170248"/>
    <w:rsid w:val="001C329B"/>
    <w:rsid w:val="001C35D5"/>
    <w:rsid w:val="00205740"/>
    <w:rsid w:val="00265C56"/>
    <w:rsid w:val="002820C8"/>
    <w:rsid w:val="002D2B5E"/>
    <w:rsid w:val="003059AB"/>
    <w:rsid w:val="00317A3B"/>
    <w:rsid w:val="00334AA1"/>
    <w:rsid w:val="003400DA"/>
    <w:rsid w:val="00361473"/>
    <w:rsid w:val="00377562"/>
    <w:rsid w:val="003801D5"/>
    <w:rsid w:val="003A4FD8"/>
    <w:rsid w:val="003C1391"/>
    <w:rsid w:val="00422E02"/>
    <w:rsid w:val="0042757B"/>
    <w:rsid w:val="00462133"/>
    <w:rsid w:val="00472E03"/>
    <w:rsid w:val="004B2BFE"/>
    <w:rsid w:val="004D2B56"/>
    <w:rsid w:val="004E35FD"/>
    <w:rsid w:val="004F09B2"/>
    <w:rsid w:val="005B4FBA"/>
    <w:rsid w:val="005D3A0D"/>
    <w:rsid w:val="005E2879"/>
    <w:rsid w:val="005E3ACF"/>
    <w:rsid w:val="006061FE"/>
    <w:rsid w:val="00615119"/>
    <w:rsid w:val="00634B93"/>
    <w:rsid w:val="006728FA"/>
    <w:rsid w:val="006974DD"/>
    <w:rsid w:val="006C1AE0"/>
    <w:rsid w:val="00706211"/>
    <w:rsid w:val="0072063B"/>
    <w:rsid w:val="007239B0"/>
    <w:rsid w:val="00771758"/>
    <w:rsid w:val="00786005"/>
    <w:rsid w:val="007A6375"/>
    <w:rsid w:val="007C0724"/>
    <w:rsid w:val="007D1CF6"/>
    <w:rsid w:val="007D5321"/>
    <w:rsid w:val="00800200"/>
    <w:rsid w:val="00812F93"/>
    <w:rsid w:val="00820496"/>
    <w:rsid w:val="00844968"/>
    <w:rsid w:val="00851C88"/>
    <w:rsid w:val="0089270C"/>
    <w:rsid w:val="008977E9"/>
    <w:rsid w:val="008B3D53"/>
    <w:rsid w:val="008B5E0B"/>
    <w:rsid w:val="008C4076"/>
    <w:rsid w:val="008D4FF3"/>
    <w:rsid w:val="008F2E9A"/>
    <w:rsid w:val="008F514D"/>
    <w:rsid w:val="00914DA3"/>
    <w:rsid w:val="00923346"/>
    <w:rsid w:val="00925DC1"/>
    <w:rsid w:val="00940A96"/>
    <w:rsid w:val="009605D9"/>
    <w:rsid w:val="00962D9F"/>
    <w:rsid w:val="009655BA"/>
    <w:rsid w:val="00985CBB"/>
    <w:rsid w:val="00990F60"/>
    <w:rsid w:val="009B5B1F"/>
    <w:rsid w:val="009B5C91"/>
    <w:rsid w:val="009C3924"/>
    <w:rsid w:val="009C7F7A"/>
    <w:rsid w:val="009E58AD"/>
    <w:rsid w:val="00A215B8"/>
    <w:rsid w:val="00AC16F3"/>
    <w:rsid w:val="00AC7ABD"/>
    <w:rsid w:val="00B039F3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048B2"/>
    <w:rsid w:val="00D4207B"/>
    <w:rsid w:val="00D63EA2"/>
    <w:rsid w:val="00D70F0C"/>
    <w:rsid w:val="00D93BED"/>
    <w:rsid w:val="00DA1A51"/>
    <w:rsid w:val="00DA3F7B"/>
    <w:rsid w:val="00DB5985"/>
    <w:rsid w:val="00DC29DE"/>
    <w:rsid w:val="00E45487"/>
    <w:rsid w:val="00E92958"/>
    <w:rsid w:val="00E93C27"/>
    <w:rsid w:val="00EB0EA6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60728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163EC"/>
  <w15:docId w15:val="{0BE321DB-5AFF-4F66-8F0E-9908F792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ny"/>
    <w:rsid w:val="00D4207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D42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304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225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6220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067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415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453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B4FC-0857-45BD-AE03-EA7F6A2A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24</cp:revision>
  <cp:lastPrinted>2021-08-30T09:48:00Z</cp:lastPrinted>
  <dcterms:created xsi:type="dcterms:W3CDTF">2018-12-30T17:49:00Z</dcterms:created>
  <dcterms:modified xsi:type="dcterms:W3CDTF">2021-08-30T09:48:00Z</dcterms:modified>
</cp:coreProperties>
</file>