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89D5E" w14:textId="77777777" w:rsidR="00023051" w:rsidRPr="00380774" w:rsidRDefault="00023051" w:rsidP="00023051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</w:t>
      </w:r>
      <w:r w:rsidRPr="00380774">
        <w:rPr>
          <w:rFonts w:ascii="Book Antiqua" w:hAnsi="Book Antiqua" w:cs="Arial"/>
          <w:b/>
        </w:rPr>
        <w:t>ôvodová správa</w:t>
      </w:r>
    </w:p>
    <w:p w14:paraId="15F9E31C" w14:textId="77777777" w:rsidR="00023051" w:rsidRPr="00430035" w:rsidRDefault="00023051" w:rsidP="00023051">
      <w:pPr>
        <w:numPr>
          <w:ilvl w:val="0"/>
          <w:numId w:val="1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14:paraId="2E8A7959" w14:textId="77777777" w:rsidR="00023051" w:rsidRPr="00AC7C7A" w:rsidRDefault="00A2524E" w:rsidP="00023051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4385EB5" wp14:editId="11961FBF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4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1AA97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EGNKmg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14:paraId="115E0C73" w14:textId="7B934C19" w:rsidR="00D267B2" w:rsidRDefault="00D267B2" w:rsidP="001A584C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</w:t>
      </w:r>
      <w:r w:rsidRPr="00AC7C7A">
        <w:rPr>
          <w:rFonts w:ascii="Book Antiqua" w:hAnsi="Book Antiqua" w:cs="Arial"/>
        </w:rPr>
        <w:t>zákona, ktorým sa mení</w:t>
      </w:r>
      <w:r>
        <w:rPr>
          <w:rFonts w:ascii="Book Antiqua" w:hAnsi="Book Antiqua" w:cs="Arial"/>
        </w:rPr>
        <w:t xml:space="preserve"> a dopĺňa zákon </w:t>
      </w:r>
      <w:r w:rsidR="001A584C" w:rsidRPr="001A584C">
        <w:rPr>
          <w:rFonts w:ascii="Book Antiqua" w:hAnsi="Book Antiqua" w:cs="Arial"/>
          <w:bCs/>
        </w:rPr>
        <w:t>č</w:t>
      </w:r>
      <w:r w:rsidR="006049A1">
        <w:rPr>
          <w:rFonts w:ascii="Book Antiqua" w:hAnsi="Book Antiqua" w:cs="Arial"/>
          <w:bCs/>
        </w:rPr>
        <w:t>.</w:t>
      </w:r>
      <w:bookmarkStart w:id="0" w:name="_GoBack"/>
      <w:bookmarkEnd w:id="0"/>
      <w:r w:rsidR="001A584C" w:rsidRPr="001A584C">
        <w:rPr>
          <w:rFonts w:ascii="Book Antiqua" w:hAnsi="Book Antiqua" w:cs="Arial"/>
          <w:bCs/>
        </w:rPr>
        <w:t xml:space="preserve"> 595/2003 Z. z.  o dani z príjmov </w:t>
      </w:r>
      <w:r w:rsidR="001A584C">
        <w:rPr>
          <w:rFonts w:ascii="Book Antiqua" w:hAnsi="Book Antiqua" w:cs="Arial"/>
          <w:bCs/>
        </w:rPr>
        <w:br/>
      </w:r>
      <w:r w:rsidR="001A584C" w:rsidRPr="001A584C">
        <w:rPr>
          <w:rFonts w:ascii="Book Antiqua" w:hAnsi="Book Antiqua" w:cs="Arial"/>
          <w:bCs/>
        </w:rPr>
        <w:t>v znení neskorších predpisov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 xml:space="preserve">odnej rady Slovenskej republiky </w:t>
      </w:r>
      <w:r w:rsidRPr="00D267B2">
        <w:rPr>
          <w:rFonts w:ascii="Book Antiqua" w:hAnsi="Book Antiqua" w:cs="Arial"/>
          <w:color w:val="000000" w:themeColor="text1"/>
        </w:rPr>
        <w:t xml:space="preserve">poslanci </w:t>
      </w:r>
      <w:r w:rsidR="005301E8">
        <w:rPr>
          <w:rFonts w:ascii="Book Antiqua" w:hAnsi="Book Antiqua" w:cs="Arial"/>
          <w:color w:val="000000" w:themeColor="text1"/>
        </w:rPr>
        <w:br/>
      </w:r>
      <w:r w:rsidRPr="00D267B2">
        <w:rPr>
          <w:rFonts w:ascii="Book Antiqua" w:hAnsi="Book Antiqua" w:cs="Arial"/>
          <w:color w:val="000000" w:themeColor="text1"/>
        </w:rPr>
        <w:t xml:space="preserve">za politickú stranu Kotlebovci – Ľudová strana Naše Slovensko Marian Kotleba, </w:t>
      </w:r>
      <w:r w:rsidR="0025190F">
        <w:rPr>
          <w:rFonts w:ascii="Book Antiqua" w:hAnsi="Book Antiqua" w:cs="Arial"/>
          <w:color w:val="000000" w:themeColor="text1"/>
        </w:rPr>
        <w:t xml:space="preserve">Martin Beluský, </w:t>
      </w:r>
      <w:r w:rsidR="001A584C">
        <w:rPr>
          <w:rFonts w:ascii="Book Antiqua" w:hAnsi="Book Antiqua" w:cs="Arial"/>
          <w:color w:val="000000" w:themeColor="text1"/>
        </w:rPr>
        <w:t>Magdaléna Sulanová, Stanislav Mizík a Marek Kotleba</w:t>
      </w:r>
      <w:r w:rsidRPr="00D267B2">
        <w:rPr>
          <w:rFonts w:ascii="Book Antiqua" w:hAnsi="Book Antiqua" w:cs="Arial"/>
          <w:color w:val="000000" w:themeColor="text1"/>
        </w:rPr>
        <w:t xml:space="preserve">. </w:t>
      </w:r>
    </w:p>
    <w:p w14:paraId="64833B66" w14:textId="69501DCE" w:rsidR="007774A2" w:rsidRDefault="00BD6389" w:rsidP="007774A2">
      <w:pPr>
        <w:ind w:firstLine="708"/>
        <w:jc w:val="both"/>
        <w:rPr>
          <w:rFonts w:ascii="Book Antiqua" w:hAnsi="Book Antiqua" w:cs="Arial"/>
          <w:b/>
          <w:bCs/>
          <w:color w:val="000000" w:themeColor="text1"/>
        </w:rPr>
      </w:pPr>
      <w:r>
        <w:rPr>
          <w:rFonts w:ascii="Book Antiqua" w:hAnsi="Book Antiqua" w:cs="Arial"/>
          <w:b/>
          <w:bCs/>
          <w:color w:val="000000" w:themeColor="text1"/>
        </w:rPr>
        <w:t>Predložený l</w:t>
      </w:r>
      <w:r w:rsidR="00630413">
        <w:rPr>
          <w:rFonts w:ascii="Book Antiqua" w:hAnsi="Book Antiqua" w:cs="Arial"/>
          <w:b/>
          <w:bCs/>
          <w:color w:val="000000" w:themeColor="text1"/>
        </w:rPr>
        <w:t xml:space="preserve">egislatívny návrh </w:t>
      </w:r>
      <w:r>
        <w:rPr>
          <w:rFonts w:ascii="Book Antiqua" w:hAnsi="Book Antiqua" w:cs="Arial"/>
          <w:b/>
          <w:bCs/>
          <w:color w:val="000000" w:themeColor="text1"/>
        </w:rPr>
        <w:t>si kladie</w:t>
      </w:r>
      <w:r w:rsidR="00630413">
        <w:rPr>
          <w:rFonts w:ascii="Book Antiqua" w:hAnsi="Book Antiqua" w:cs="Arial"/>
          <w:b/>
          <w:bCs/>
          <w:color w:val="000000" w:themeColor="text1"/>
        </w:rPr>
        <w:t xml:space="preserve"> 2 ciele. Prvým cieľom je rozšírenie možnosti pre daňovníkov – fyzické osoby poukázať ďalšie 2 % zo zaplatenej dane pre prijímateľov, ktorí poskytujú verejne prospešné aktivity. Druhým cieľom</w:t>
      </w:r>
      <w:r w:rsidR="00630413" w:rsidRPr="00630413">
        <w:t xml:space="preserve"> </w:t>
      </w:r>
      <w:r w:rsidR="00630413" w:rsidRPr="00630413">
        <w:rPr>
          <w:rFonts w:ascii="Book Antiqua" w:hAnsi="Book Antiqua" w:cs="Arial"/>
          <w:b/>
          <w:bCs/>
          <w:color w:val="000000" w:themeColor="text1"/>
        </w:rPr>
        <w:t xml:space="preserve">zákona je zabezpečiť finančnú nezávislosť </w:t>
      </w:r>
      <w:r w:rsidR="00630413">
        <w:rPr>
          <w:rFonts w:ascii="Book Antiqua" w:hAnsi="Book Antiqua" w:cs="Arial"/>
          <w:b/>
          <w:bCs/>
          <w:color w:val="000000" w:themeColor="text1"/>
        </w:rPr>
        <w:t xml:space="preserve">farnostiam a zborom </w:t>
      </w:r>
      <w:r w:rsidR="003F78FD">
        <w:rPr>
          <w:rFonts w:ascii="Book Antiqua" w:hAnsi="Book Antiqua" w:cs="Arial"/>
          <w:b/>
          <w:bCs/>
          <w:color w:val="000000" w:themeColor="text1"/>
        </w:rPr>
        <w:t>registrovaných cirkví a náboženských spoločností</w:t>
      </w:r>
      <w:r w:rsidR="00630413" w:rsidRPr="00630413">
        <w:rPr>
          <w:rFonts w:ascii="Book Antiqua" w:hAnsi="Book Antiqua" w:cs="Arial"/>
          <w:b/>
          <w:bCs/>
          <w:color w:val="000000" w:themeColor="text1"/>
        </w:rPr>
        <w:t>, čo má za úlohu prispieť k ich slobode a odpútaniu sa od politickej moci a závislosti na vládnej garnitúre.</w:t>
      </w:r>
    </w:p>
    <w:p w14:paraId="545B3C5C" w14:textId="37A18E3C" w:rsidR="00957C06" w:rsidRDefault="00957C06" w:rsidP="00847FAC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Počet prijímateľov, ktorí sa každoročne uchádzajú o poukázanie 2 % zo zaplatenej dane každým rokom pribúda. Za posledných 5 rokov ich pribudlo o viac ako 3 tisíc, čo predstavuje nárast </w:t>
      </w:r>
      <w:r w:rsidR="00A97A57">
        <w:rPr>
          <w:rFonts w:ascii="Book Antiqua" w:hAnsi="Book Antiqua" w:cs="Arial"/>
          <w:bCs/>
          <w:color w:val="000000" w:themeColor="text1"/>
        </w:rPr>
        <w:t xml:space="preserve">o </w:t>
      </w:r>
      <w:r>
        <w:rPr>
          <w:rFonts w:ascii="Book Antiqua" w:hAnsi="Book Antiqua" w:cs="Arial"/>
          <w:bCs/>
          <w:color w:val="000000" w:themeColor="text1"/>
        </w:rPr>
        <w:t>24 %.</w:t>
      </w:r>
      <w:r w:rsidR="00A97A57">
        <w:rPr>
          <w:rFonts w:ascii="Book Antiqua" w:hAnsi="Book Antiqua" w:cs="Arial"/>
          <w:bCs/>
          <w:color w:val="000000" w:themeColor="text1"/>
        </w:rPr>
        <w:t xml:space="preserve"> Títo prijímatelia musia spĺňať zákonom stanovené požiadavky, na najmä musia </w:t>
      </w:r>
      <w:r w:rsidR="003B578C">
        <w:rPr>
          <w:rFonts w:ascii="Book Antiqua" w:hAnsi="Book Antiqua" w:cs="Arial"/>
          <w:bCs/>
          <w:color w:val="000000" w:themeColor="text1"/>
        </w:rPr>
        <w:t>spĺňať niektoré</w:t>
      </w:r>
      <w:r w:rsidR="00A97A57">
        <w:rPr>
          <w:rFonts w:ascii="Book Antiqua" w:hAnsi="Book Antiqua" w:cs="Arial"/>
          <w:bCs/>
          <w:color w:val="000000" w:themeColor="text1"/>
        </w:rPr>
        <w:t xml:space="preserve"> z nasledovných predmetov činnosti:</w:t>
      </w:r>
    </w:p>
    <w:p w14:paraId="63789CFC" w14:textId="6B747815" w:rsidR="00A97A57" w:rsidRPr="00A97A57" w:rsidRDefault="00A97A57" w:rsidP="00A97A57">
      <w:pPr>
        <w:pStyle w:val="Odsekzoznamu"/>
        <w:numPr>
          <w:ilvl w:val="0"/>
          <w:numId w:val="5"/>
        </w:numPr>
        <w:jc w:val="both"/>
        <w:rPr>
          <w:rFonts w:ascii="Book Antiqua" w:hAnsi="Book Antiqua" w:cs="Arial"/>
          <w:bCs/>
          <w:color w:val="000000" w:themeColor="text1"/>
        </w:rPr>
      </w:pPr>
      <w:r w:rsidRPr="00A97A57">
        <w:rPr>
          <w:rFonts w:ascii="Book Antiqua" w:hAnsi="Book Antiqua" w:cs="Arial"/>
          <w:bCs/>
          <w:color w:val="000000" w:themeColor="text1"/>
        </w:rPr>
        <w:t xml:space="preserve">ochrana a podpora zdravia; prevencia, liečba, resocializácia drogovo závislých </w:t>
      </w:r>
      <w:r w:rsidR="005301E8">
        <w:rPr>
          <w:rFonts w:ascii="Book Antiqua" w:hAnsi="Book Antiqua" w:cs="Arial"/>
          <w:bCs/>
          <w:color w:val="000000" w:themeColor="text1"/>
        </w:rPr>
        <w:br/>
      </w:r>
      <w:r w:rsidRPr="00A97A57">
        <w:rPr>
          <w:rFonts w:ascii="Book Antiqua" w:hAnsi="Book Antiqua" w:cs="Arial"/>
          <w:bCs/>
          <w:color w:val="000000" w:themeColor="text1"/>
        </w:rPr>
        <w:t>v oblasti zdravotníctva a sociálnych služieb,</w:t>
      </w:r>
    </w:p>
    <w:p w14:paraId="252B6795" w14:textId="4362C160" w:rsidR="00A97A57" w:rsidRPr="00A97A57" w:rsidRDefault="00A97A57" w:rsidP="00A97A57">
      <w:pPr>
        <w:pStyle w:val="Odsekzoznamu"/>
        <w:numPr>
          <w:ilvl w:val="0"/>
          <w:numId w:val="5"/>
        </w:numPr>
        <w:jc w:val="both"/>
        <w:rPr>
          <w:rFonts w:ascii="Book Antiqua" w:hAnsi="Book Antiqua" w:cs="Arial"/>
          <w:bCs/>
          <w:color w:val="000000" w:themeColor="text1"/>
        </w:rPr>
      </w:pPr>
      <w:r w:rsidRPr="00A97A57">
        <w:rPr>
          <w:rFonts w:ascii="Book Antiqua" w:hAnsi="Book Antiqua" w:cs="Arial"/>
          <w:bCs/>
          <w:color w:val="000000" w:themeColor="text1"/>
        </w:rPr>
        <w:t>podpora a rozvoj športu,</w:t>
      </w:r>
    </w:p>
    <w:p w14:paraId="0D319886" w14:textId="45A061BA" w:rsidR="00A97A57" w:rsidRPr="00A97A57" w:rsidRDefault="00A97A57" w:rsidP="00A97A57">
      <w:pPr>
        <w:pStyle w:val="Odsekzoznamu"/>
        <w:numPr>
          <w:ilvl w:val="0"/>
          <w:numId w:val="5"/>
        </w:numPr>
        <w:jc w:val="both"/>
        <w:rPr>
          <w:rFonts w:ascii="Book Antiqua" w:hAnsi="Book Antiqua" w:cs="Arial"/>
          <w:bCs/>
          <w:color w:val="000000" w:themeColor="text1"/>
        </w:rPr>
      </w:pPr>
      <w:r w:rsidRPr="00A97A57">
        <w:rPr>
          <w:rFonts w:ascii="Book Antiqua" w:hAnsi="Book Antiqua" w:cs="Arial"/>
          <w:bCs/>
          <w:color w:val="000000" w:themeColor="text1"/>
        </w:rPr>
        <w:t>poskytovanie sociálnej pomoci,</w:t>
      </w:r>
    </w:p>
    <w:p w14:paraId="42B4F48B" w14:textId="7A911CF7" w:rsidR="00A97A57" w:rsidRPr="00A97A57" w:rsidRDefault="00A97A57" w:rsidP="00A97A57">
      <w:pPr>
        <w:pStyle w:val="Odsekzoznamu"/>
        <w:numPr>
          <w:ilvl w:val="0"/>
          <w:numId w:val="5"/>
        </w:numPr>
        <w:jc w:val="both"/>
        <w:rPr>
          <w:rFonts w:ascii="Book Antiqua" w:hAnsi="Book Antiqua" w:cs="Arial"/>
          <w:bCs/>
          <w:color w:val="000000" w:themeColor="text1"/>
        </w:rPr>
      </w:pPr>
      <w:r w:rsidRPr="00A97A57">
        <w:rPr>
          <w:rFonts w:ascii="Book Antiqua" w:hAnsi="Book Antiqua" w:cs="Arial"/>
          <w:bCs/>
          <w:color w:val="000000" w:themeColor="text1"/>
        </w:rPr>
        <w:t>zachovanie kultúrnych hodnôt,</w:t>
      </w:r>
    </w:p>
    <w:p w14:paraId="33164440" w14:textId="6A56FF1C" w:rsidR="00A97A57" w:rsidRPr="00A97A57" w:rsidRDefault="00A97A57" w:rsidP="00A97A57">
      <w:pPr>
        <w:pStyle w:val="Odsekzoznamu"/>
        <w:numPr>
          <w:ilvl w:val="0"/>
          <w:numId w:val="5"/>
        </w:numPr>
        <w:jc w:val="both"/>
        <w:rPr>
          <w:rFonts w:ascii="Book Antiqua" w:hAnsi="Book Antiqua" w:cs="Arial"/>
          <w:bCs/>
          <w:color w:val="000000" w:themeColor="text1"/>
        </w:rPr>
      </w:pPr>
      <w:r w:rsidRPr="00A97A57">
        <w:rPr>
          <w:rFonts w:ascii="Book Antiqua" w:hAnsi="Book Antiqua" w:cs="Arial"/>
          <w:bCs/>
          <w:color w:val="000000" w:themeColor="text1"/>
        </w:rPr>
        <w:t>podpora vzdelávania,</w:t>
      </w:r>
    </w:p>
    <w:p w14:paraId="78451739" w14:textId="3E018FF0" w:rsidR="00A97A57" w:rsidRPr="00A97A57" w:rsidRDefault="00A97A57" w:rsidP="00A97A57">
      <w:pPr>
        <w:pStyle w:val="Odsekzoznamu"/>
        <w:numPr>
          <w:ilvl w:val="0"/>
          <w:numId w:val="5"/>
        </w:numPr>
        <w:jc w:val="both"/>
        <w:rPr>
          <w:rFonts w:ascii="Book Antiqua" w:hAnsi="Book Antiqua" w:cs="Arial"/>
          <w:bCs/>
          <w:color w:val="000000" w:themeColor="text1"/>
        </w:rPr>
      </w:pPr>
      <w:r w:rsidRPr="00A97A57">
        <w:rPr>
          <w:rFonts w:ascii="Book Antiqua" w:hAnsi="Book Antiqua" w:cs="Arial"/>
          <w:bCs/>
          <w:color w:val="000000" w:themeColor="text1"/>
        </w:rPr>
        <w:t>ochrana ľudských práv,</w:t>
      </w:r>
    </w:p>
    <w:p w14:paraId="0D98ECF5" w14:textId="65EC4B94" w:rsidR="00A97A57" w:rsidRPr="00A97A57" w:rsidRDefault="00A97A57" w:rsidP="00A97A57">
      <w:pPr>
        <w:pStyle w:val="Odsekzoznamu"/>
        <w:numPr>
          <w:ilvl w:val="0"/>
          <w:numId w:val="5"/>
        </w:numPr>
        <w:jc w:val="both"/>
        <w:rPr>
          <w:rFonts w:ascii="Book Antiqua" w:hAnsi="Book Antiqua" w:cs="Arial"/>
          <w:bCs/>
          <w:color w:val="000000" w:themeColor="text1"/>
        </w:rPr>
      </w:pPr>
      <w:r w:rsidRPr="00A97A57">
        <w:rPr>
          <w:rFonts w:ascii="Book Antiqua" w:hAnsi="Book Antiqua" w:cs="Arial"/>
          <w:bCs/>
          <w:color w:val="000000" w:themeColor="text1"/>
        </w:rPr>
        <w:t>ochrana a tvorba životného prostredia,</w:t>
      </w:r>
    </w:p>
    <w:p w14:paraId="3EC7213C" w14:textId="7142F698" w:rsidR="00A97A57" w:rsidRPr="00A97A57" w:rsidRDefault="00A97A57" w:rsidP="00A97A57">
      <w:pPr>
        <w:pStyle w:val="Odsekzoznamu"/>
        <w:numPr>
          <w:ilvl w:val="0"/>
          <w:numId w:val="5"/>
        </w:numPr>
        <w:jc w:val="both"/>
        <w:rPr>
          <w:rFonts w:ascii="Book Antiqua" w:hAnsi="Book Antiqua" w:cs="Arial"/>
          <w:bCs/>
          <w:color w:val="000000" w:themeColor="text1"/>
        </w:rPr>
      </w:pPr>
      <w:r w:rsidRPr="00A97A57">
        <w:rPr>
          <w:rFonts w:ascii="Book Antiqua" w:hAnsi="Book Antiqua" w:cs="Arial"/>
          <w:bCs/>
          <w:color w:val="000000" w:themeColor="text1"/>
        </w:rPr>
        <w:t>veda a výskum,</w:t>
      </w:r>
    </w:p>
    <w:p w14:paraId="7852D768" w14:textId="4BDA55F5" w:rsidR="00A97A57" w:rsidRDefault="00A97A57" w:rsidP="00A97A57">
      <w:pPr>
        <w:pStyle w:val="Odsekzoznamu"/>
        <w:numPr>
          <w:ilvl w:val="0"/>
          <w:numId w:val="5"/>
        </w:numPr>
        <w:jc w:val="both"/>
        <w:rPr>
          <w:rFonts w:ascii="Book Antiqua" w:hAnsi="Book Antiqua" w:cs="Arial"/>
          <w:bCs/>
          <w:color w:val="000000" w:themeColor="text1"/>
        </w:rPr>
      </w:pPr>
      <w:r w:rsidRPr="00A97A57">
        <w:rPr>
          <w:rFonts w:ascii="Book Antiqua" w:hAnsi="Book Antiqua" w:cs="Arial"/>
          <w:bCs/>
          <w:color w:val="000000" w:themeColor="text1"/>
        </w:rPr>
        <w:t>organizovanie a sprostredkovanie dobrovoľníckej činnosti.</w:t>
      </w:r>
    </w:p>
    <w:p w14:paraId="4D8A250A" w14:textId="38DD22C4" w:rsidR="00F148F8" w:rsidRDefault="003B578C" w:rsidP="003B578C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Jedná sa teda o veľmi prospešné aktivity, ktoré by sa nerealizovali, ak by ich daňovníci nevedeli podporiť prostredníctvom poukázania podielu zo svojej zaplatenej dane.</w:t>
      </w:r>
      <w:r w:rsidR="00F148F8">
        <w:rPr>
          <w:rFonts w:ascii="Book Antiqua" w:hAnsi="Book Antiqua" w:cs="Arial"/>
          <w:bCs/>
          <w:color w:val="000000" w:themeColor="text1"/>
        </w:rPr>
        <w:t xml:space="preserve"> Mnohé z týchto organizácií žijú buď z deficitného financovania alebo iba z príspevkov a členských vkladov dobrovoľníkov, a preto sú od tohto financovania </w:t>
      </w:r>
      <w:r w:rsidR="009529AB">
        <w:rPr>
          <w:rFonts w:ascii="Book Antiqua" w:hAnsi="Book Antiqua" w:cs="Arial"/>
          <w:bCs/>
          <w:color w:val="000000" w:themeColor="text1"/>
        </w:rPr>
        <w:t xml:space="preserve">cez dane </w:t>
      </w:r>
      <w:r w:rsidR="00F148F8">
        <w:rPr>
          <w:rFonts w:ascii="Book Antiqua" w:hAnsi="Book Antiqua" w:cs="Arial"/>
          <w:bCs/>
          <w:color w:val="000000" w:themeColor="text1"/>
        </w:rPr>
        <w:t xml:space="preserve">úplne závislí. Mnohé z týchto organizácií by pri nedostatočnom dofinancovávaní z poukázaných podielov </w:t>
      </w:r>
      <w:r w:rsidR="005301E8">
        <w:rPr>
          <w:rFonts w:ascii="Book Antiqua" w:hAnsi="Book Antiqua" w:cs="Arial"/>
          <w:bCs/>
          <w:color w:val="000000" w:themeColor="text1"/>
        </w:rPr>
        <w:br/>
      </w:r>
      <w:r w:rsidR="00F148F8">
        <w:rPr>
          <w:rFonts w:ascii="Book Antiqua" w:hAnsi="Book Antiqua" w:cs="Arial"/>
          <w:bCs/>
          <w:color w:val="000000" w:themeColor="text1"/>
        </w:rPr>
        <w:t>zo zaplatených daní</w:t>
      </w:r>
      <w:r w:rsidR="009529AB">
        <w:rPr>
          <w:rFonts w:ascii="Book Antiqua" w:hAnsi="Book Antiqua" w:cs="Arial"/>
          <w:bCs/>
          <w:color w:val="000000" w:themeColor="text1"/>
        </w:rPr>
        <w:t xml:space="preserve"> boli nútené vybrať sa komerčnou cestou, čo by spôsobilo</w:t>
      </w:r>
      <w:r w:rsidR="00F148F8">
        <w:rPr>
          <w:rFonts w:ascii="Book Antiqua" w:hAnsi="Book Antiqua" w:cs="Arial"/>
          <w:bCs/>
          <w:color w:val="000000" w:themeColor="text1"/>
        </w:rPr>
        <w:t xml:space="preserve"> nedostupnosť týchto služieb pre väčšinu sociálne slabších vrstiev obyvateľstva. </w:t>
      </w:r>
      <w:r w:rsidR="009B76A8">
        <w:rPr>
          <w:rFonts w:ascii="Book Antiqua" w:hAnsi="Book Antiqua" w:cs="Arial"/>
          <w:bCs/>
          <w:color w:val="000000" w:themeColor="text1"/>
        </w:rPr>
        <w:t xml:space="preserve">Vďaka tomuto nástroju </w:t>
      </w:r>
      <w:r w:rsidR="005301E8">
        <w:rPr>
          <w:rFonts w:ascii="Book Antiqua" w:hAnsi="Book Antiqua" w:cs="Arial"/>
          <w:bCs/>
          <w:color w:val="000000" w:themeColor="text1"/>
        </w:rPr>
        <w:br/>
      </w:r>
      <w:r w:rsidR="009B76A8">
        <w:rPr>
          <w:rFonts w:ascii="Book Antiqua" w:hAnsi="Book Antiqua" w:cs="Arial"/>
          <w:bCs/>
          <w:color w:val="000000" w:themeColor="text1"/>
        </w:rPr>
        <w:t xml:space="preserve">sa môžu služby neustále skvalitňovať a ponúkať pre </w:t>
      </w:r>
      <w:r w:rsidR="000F7285">
        <w:rPr>
          <w:rFonts w:ascii="Book Antiqua" w:hAnsi="Book Antiqua" w:cs="Arial"/>
          <w:bCs/>
          <w:color w:val="000000" w:themeColor="text1"/>
        </w:rPr>
        <w:t>širšie vrstvy</w:t>
      </w:r>
      <w:r w:rsidR="009B76A8">
        <w:rPr>
          <w:rFonts w:ascii="Book Antiqua" w:hAnsi="Book Antiqua" w:cs="Arial"/>
          <w:bCs/>
          <w:color w:val="000000" w:themeColor="text1"/>
        </w:rPr>
        <w:t xml:space="preserve"> obyvateľov.</w:t>
      </w:r>
    </w:p>
    <w:p w14:paraId="4A6036D5" w14:textId="0002C7CC" w:rsidR="003B578C" w:rsidRDefault="003B578C" w:rsidP="003B578C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Štátu sa darí každý rok zvyšovať daň z príjmov fyzických osôb. V roku 2023 </w:t>
      </w:r>
      <w:r w:rsidR="005301E8">
        <w:rPr>
          <w:rFonts w:ascii="Book Antiqua" w:hAnsi="Book Antiqua" w:cs="Arial"/>
          <w:bCs/>
          <w:color w:val="000000" w:themeColor="text1"/>
        </w:rPr>
        <w:br/>
      </w:r>
      <w:r>
        <w:rPr>
          <w:rFonts w:ascii="Book Antiqua" w:hAnsi="Book Antiqua" w:cs="Arial"/>
          <w:bCs/>
          <w:color w:val="000000" w:themeColor="text1"/>
        </w:rPr>
        <w:t xml:space="preserve">sa predpokladá navýšenie </w:t>
      </w:r>
      <w:r w:rsidR="001F7EC9">
        <w:rPr>
          <w:rFonts w:ascii="Book Antiqua" w:hAnsi="Book Antiqua" w:cs="Arial"/>
          <w:bCs/>
          <w:color w:val="000000" w:themeColor="text1"/>
        </w:rPr>
        <w:t>výberu tejto</w:t>
      </w:r>
      <w:r>
        <w:rPr>
          <w:rFonts w:ascii="Book Antiqua" w:hAnsi="Book Antiqua" w:cs="Arial"/>
          <w:bCs/>
          <w:color w:val="000000" w:themeColor="text1"/>
        </w:rPr>
        <w:t xml:space="preserve"> dane oproti roku 2018 o viac ako 860 miliónov eur.</w:t>
      </w:r>
      <w:r w:rsidRPr="003B578C">
        <w:rPr>
          <w:rFonts w:ascii="Book Antiqua" w:hAnsi="Book Antiqua" w:cs="Arial"/>
          <w:bCs/>
          <w:color w:val="000000" w:themeColor="text1"/>
        </w:rPr>
        <w:t xml:space="preserve"> </w:t>
      </w:r>
      <w:r>
        <w:rPr>
          <w:rFonts w:ascii="Book Antiqua" w:hAnsi="Book Antiqua" w:cs="Arial"/>
          <w:bCs/>
          <w:color w:val="000000" w:themeColor="text1"/>
        </w:rPr>
        <w:t>Celkovo úspešnejší</w:t>
      </w:r>
      <w:r w:rsidRPr="004D7831">
        <w:rPr>
          <w:rFonts w:ascii="Book Antiqua" w:hAnsi="Book Antiqua" w:cs="Arial"/>
          <w:bCs/>
          <w:color w:val="000000" w:themeColor="text1"/>
        </w:rPr>
        <w:t xml:space="preserve"> výber daní a ciel a</w:t>
      </w:r>
      <w:r>
        <w:rPr>
          <w:rFonts w:ascii="Book Antiqua" w:hAnsi="Book Antiqua" w:cs="Arial"/>
          <w:bCs/>
          <w:color w:val="000000" w:themeColor="text1"/>
        </w:rPr>
        <w:t xml:space="preserve"> zlepšený </w:t>
      </w:r>
      <w:r w:rsidRPr="004D7831">
        <w:rPr>
          <w:rFonts w:ascii="Book Antiqua" w:hAnsi="Book Antiqua" w:cs="Arial"/>
          <w:bCs/>
          <w:color w:val="000000" w:themeColor="text1"/>
        </w:rPr>
        <w:t xml:space="preserve">boj proti daňovými podvodom priniesol </w:t>
      </w:r>
      <w:r w:rsidR="005301E8">
        <w:rPr>
          <w:rFonts w:ascii="Book Antiqua" w:hAnsi="Book Antiqua" w:cs="Arial"/>
          <w:bCs/>
          <w:color w:val="000000" w:themeColor="text1"/>
        </w:rPr>
        <w:br/>
      </w:r>
      <w:r w:rsidRPr="004D7831">
        <w:rPr>
          <w:rFonts w:ascii="Book Antiqua" w:hAnsi="Book Antiqua" w:cs="Arial"/>
          <w:bCs/>
          <w:color w:val="000000" w:themeColor="text1"/>
        </w:rPr>
        <w:t>v uplynulých rokoch do štátnej pokladnice viac o približne 3,7 miliardy eur.</w:t>
      </w:r>
    </w:p>
    <w:p w14:paraId="129040E6" w14:textId="77777777" w:rsidR="00CB57E2" w:rsidRDefault="00CB57E2" w:rsidP="00EA27A2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51DD97FF" w14:textId="3D1CE34F" w:rsidR="00CB57E2" w:rsidRDefault="00CB57E2" w:rsidP="00CB57E2">
      <w:pPr>
        <w:jc w:val="center"/>
        <w:rPr>
          <w:rFonts w:ascii="Book Antiqua" w:hAnsi="Book Antiqua" w:cs="Arial"/>
          <w:bCs/>
          <w:color w:val="000000" w:themeColor="text1"/>
        </w:rPr>
      </w:pPr>
      <w:r>
        <w:rPr>
          <w:noProof/>
          <w:lang w:eastAsia="sk-SK"/>
        </w:rPr>
        <w:lastRenderedPageBreak/>
        <w:drawing>
          <wp:inline distT="0" distB="0" distL="0" distR="0" wp14:anchorId="18492717" wp14:editId="49855666">
            <wp:extent cx="5760720" cy="3449320"/>
            <wp:effectExtent l="0" t="0" r="11430" b="1778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758A23B" w14:textId="05B79649" w:rsidR="00EA27A2" w:rsidRDefault="003B578C" w:rsidP="00EA27A2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Vzhľadom na zlepšujúcu sa situáciu na príjmovej strane štátneho rozpočtu ako aj vzhľadom na narastajúci počet uchádzajúcich sa verejne prospešných organizácií a</w:t>
      </w:r>
      <w:r w:rsidR="00FE51ED">
        <w:rPr>
          <w:rFonts w:ascii="Book Antiqua" w:hAnsi="Book Antiqua" w:cs="Arial"/>
          <w:bCs/>
          <w:color w:val="000000" w:themeColor="text1"/>
        </w:rPr>
        <w:t> </w:t>
      </w:r>
      <w:r>
        <w:rPr>
          <w:rFonts w:ascii="Book Antiqua" w:hAnsi="Book Antiqua" w:cs="Arial"/>
          <w:bCs/>
          <w:color w:val="000000" w:themeColor="text1"/>
        </w:rPr>
        <w:t>spolkov</w:t>
      </w:r>
      <w:r w:rsidR="00FE51ED">
        <w:rPr>
          <w:rFonts w:ascii="Book Antiqua" w:hAnsi="Book Antiqua" w:cs="Arial"/>
          <w:bCs/>
          <w:color w:val="000000" w:themeColor="text1"/>
        </w:rPr>
        <w:t>,</w:t>
      </w:r>
      <w:r>
        <w:rPr>
          <w:rFonts w:ascii="Book Antiqua" w:hAnsi="Book Antiqua" w:cs="Arial"/>
          <w:bCs/>
          <w:color w:val="000000" w:themeColor="text1"/>
        </w:rPr>
        <w:t xml:space="preserve"> navrhujeme dať fyzickým osobám možnosť </w:t>
      </w:r>
      <w:r w:rsidR="00FE51ED">
        <w:rPr>
          <w:rFonts w:ascii="Book Antiqua" w:hAnsi="Book Antiqua" w:cs="Arial"/>
          <w:bCs/>
          <w:color w:val="000000" w:themeColor="text1"/>
        </w:rPr>
        <w:t>poukázať</w:t>
      </w:r>
      <w:r>
        <w:rPr>
          <w:rFonts w:ascii="Book Antiqua" w:hAnsi="Book Antiqua" w:cs="Arial"/>
          <w:bCs/>
          <w:color w:val="000000" w:themeColor="text1"/>
        </w:rPr>
        <w:t xml:space="preserve"> ďalšie 2 % týmto </w:t>
      </w:r>
      <w:r w:rsidR="00FE51ED">
        <w:rPr>
          <w:rFonts w:ascii="Book Antiqua" w:hAnsi="Book Antiqua" w:cs="Arial"/>
          <w:bCs/>
          <w:color w:val="000000" w:themeColor="text1"/>
        </w:rPr>
        <w:t>organizáciám</w:t>
      </w:r>
      <w:r>
        <w:rPr>
          <w:rFonts w:ascii="Book Antiqua" w:hAnsi="Book Antiqua" w:cs="Arial"/>
          <w:bCs/>
          <w:color w:val="000000" w:themeColor="text1"/>
        </w:rPr>
        <w:t>.</w:t>
      </w:r>
      <w:r w:rsidR="001F7EC9">
        <w:rPr>
          <w:rFonts w:ascii="Book Antiqua" w:hAnsi="Book Antiqua" w:cs="Arial"/>
          <w:bCs/>
          <w:color w:val="000000" w:themeColor="text1"/>
        </w:rPr>
        <w:t xml:space="preserve"> </w:t>
      </w:r>
      <w:r w:rsidR="005301E8">
        <w:rPr>
          <w:rFonts w:ascii="Book Antiqua" w:hAnsi="Book Antiqua" w:cs="Arial"/>
          <w:bCs/>
          <w:color w:val="000000" w:themeColor="text1"/>
        </w:rPr>
        <w:br/>
      </w:r>
      <w:r w:rsidR="001F7EC9">
        <w:rPr>
          <w:rFonts w:ascii="Book Antiqua" w:hAnsi="Book Antiqua" w:cs="Arial"/>
          <w:bCs/>
          <w:color w:val="000000" w:themeColor="text1"/>
        </w:rPr>
        <w:t>To znamená, že každá</w:t>
      </w:r>
      <w:r w:rsidR="00EA27A2">
        <w:rPr>
          <w:rFonts w:ascii="Book Antiqua" w:hAnsi="Book Antiqua" w:cs="Arial"/>
          <w:bCs/>
          <w:color w:val="000000" w:themeColor="text1"/>
        </w:rPr>
        <w:t xml:space="preserve"> fyzická osoba si bude môcť vybrať najviac 2 prijímateľov, ktorým každému môže poukázať do 2 % zo zaplatenej dane, spolu teda do 4 %.</w:t>
      </w:r>
    </w:p>
    <w:p w14:paraId="168E05F4" w14:textId="05DBB0EE" w:rsidR="004D7831" w:rsidRDefault="003B578C" w:rsidP="00D13565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Ak by aj všetci daňovníci – fyzické osoby poukázali </w:t>
      </w:r>
      <w:r w:rsidR="009768C7">
        <w:rPr>
          <w:rFonts w:ascii="Book Antiqua" w:hAnsi="Book Antiqua" w:cs="Arial"/>
          <w:bCs/>
          <w:color w:val="000000" w:themeColor="text1"/>
        </w:rPr>
        <w:t>4</w:t>
      </w:r>
      <w:r>
        <w:rPr>
          <w:rFonts w:ascii="Book Antiqua" w:hAnsi="Book Antiqua" w:cs="Arial"/>
          <w:bCs/>
          <w:color w:val="000000" w:themeColor="text1"/>
        </w:rPr>
        <w:t xml:space="preserve"> % z dane, štát</w:t>
      </w:r>
      <w:r w:rsidR="009768C7">
        <w:rPr>
          <w:rFonts w:ascii="Book Antiqua" w:hAnsi="Book Antiqua" w:cs="Arial"/>
          <w:bCs/>
          <w:color w:val="000000" w:themeColor="text1"/>
        </w:rPr>
        <w:t xml:space="preserve"> by bol v porovnávanom období medzi rokmi 2023 a 2018 stále v pluse o viac ako 780 miliónov eur.</w:t>
      </w:r>
      <w:r w:rsidR="001F7EC9">
        <w:rPr>
          <w:rFonts w:ascii="Book Antiqua" w:hAnsi="Book Antiqua" w:cs="Arial"/>
          <w:bCs/>
          <w:color w:val="000000" w:themeColor="text1"/>
        </w:rPr>
        <w:t xml:space="preserve"> V skutočnosti však túto možnosť poukazovania podielu dane využíva menej ako polovica daňovníkov, štátu by teda v skutočnosti zostalo omnoho viac.</w:t>
      </w:r>
    </w:p>
    <w:p w14:paraId="119227C1" w14:textId="6F0F171C" w:rsidR="00F66365" w:rsidRDefault="001467BF" w:rsidP="001467BF">
      <w:pPr>
        <w:jc w:val="center"/>
        <w:rPr>
          <w:rFonts w:ascii="Book Antiqua" w:hAnsi="Book Antiqua" w:cs="Arial"/>
          <w:bCs/>
          <w:color w:val="000000" w:themeColor="text1"/>
        </w:rPr>
      </w:pPr>
      <w:r>
        <w:rPr>
          <w:noProof/>
          <w:lang w:eastAsia="sk-SK"/>
        </w:rPr>
        <w:drawing>
          <wp:inline distT="0" distB="0" distL="0" distR="0" wp14:anchorId="274375EF" wp14:editId="650E11A3">
            <wp:extent cx="5038725" cy="3535458"/>
            <wp:effectExtent l="0" t="0" r="0" b="8255"/>
            <wp:docPr id="2" name="Obrázok 2" descr="Suma poukázaná na 2 % zo zaplatených daní na Sloven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a poukázaná na 2 % zo zaplatených daní na Slovensk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53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6898E" w14:textId="23078A18" w:rsidR="00113515" w:rsidRDefault="00D13565" w:rsidP="00D13565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4D7831">
        <w:rPr>
          <w:rFonts w:ascii="Book Antiqua" w:hAnsi="Book Antiqua" w:cs="Arial"/>
          <w:bCs/>
          <w:color w:val="000000" w:themeColor="text1"/>
        </w:rPr>
        <w:lastRenderedPageBreak/>
        <w:t>V  roku 2019 darovalo podiel zo zaplatenej dane 852.734 fyzických osôb a 52.252 právnických osôb, a to celkovo 15.590 prijímateľom. Celková suma poukázaných podielov zaplatenej dane sa pritom každý rok zvyšuje, v roku 2019 predstavovala viac ako 73 mil. eur</w:t>
      </w:r>
      <w:r w:rsidR="00341A59">
        <w:rPr>
          <w:rFonts w:ascii="Book Antiqua" w:hAnsi="Book Antiqua" w:cs="Arial"/>
          <w:bCs/>
          <w:color w:val="000000" w:themeColor="text1"/>
        </w:rPr>
        <w:t>, z čoho výber od fyzických osôb predstavovala zhruba 32 mil. eur. Po schválení navrhovaného znenia by sa táto suma mala zdv</w:t>
      </w:r>
      <w:r w:rsidR="00152414">
        <w:rPr>
          <w:rFonts w:ascii="Book Antiqua" w:hAnsi="Book Antiqua" w:cs="Arial"/>
          <w:bCs/>
          <w:color w:val="000000" w:themeColor="text1"/>
        </w:rPr>
        <w:t>ojnásobiť na zhruba 64</w:t>
      </w:r>
      <w:r w:rsidR="007F1998">
        <w:rPr>
          <w:rFonts w:ascii="Book Antiqua" w:hAnsi="Book Antiqua" w:cs="Arial"/>
          <w:bCs/>
          <w:color w:val="000000" w:themeColor="text1"/>
        </w:rPr>
        <w:t xml:space="preserve"> mil. eur, čo sa reálne odzrkadlí na zlepšených a rozšírených verejnoprospešných službách.</w:t>
      </w:r>
    </w:p>
    <w:p w14:paraId="6C5984D0" w14:textId="701A2DD6" w:rsidR="00445164" w:rsidRPr="00445164" w:rsidRDefault="00445164" w:rsidP="00445164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445164">
        <w:rPr>
          <w:rFonts w:ascii="Book Antiqua" w:hAnsi="Book Antiqua" w:cs="Arial"/>
          <w:bCs/>
          <w:color w:val="000000" w:themeColor="text1"/>
        </w:rPr>
        <w:t>Druhým cieľom</w:t>
      </w:r>
      <w:r w:rsidRPr="00445164">
        <w:t xml:space="preserve"> </w:t>
      </w:r>
      <w:r w:rsidRPr="00445164">
        <w:rPr>
          <w:rFonts w:ascii="Book Antiqua" w:hAnsi="Book Antiqua" w:cs="Arial"/>
          <w:bCs/>
          <w:color w:val="000000" w:themeColor="text1"/>
        </w:rPr>
        <w:t>zákona je zabezpečiť finančnú nezávislosť farnostiam a zborom registrovaných cirkví a náboženských spoločností, čo má za úlohu prispieť k ich slobode a odpútaniu sa od politickej moci a závislosti na vládnej garnitúre.</w:t>
      </w:r>
      <w:r>
        <w:rPr>
          <w:rFonts w:ascii="Book Antiqua" w:hAnsi="Book Antiqua" w:cs="Arial"/>
          <w:bCs/>
          <w:color w:val="000000" w:themeColor="text1"/>
        </w:rPr>
        <w:t xml:space="preserve"> Navrhujeme preto zaradiť </w:t>
      </w:r>
      <w:r w:rsidRPr="00445164">
        <w:rPr>
          <w:rFonts w:ascii="Book Antiqua" w:hAnsi="Book Antiqua" w:cs="Arial"/>
          <w:bCs/>
          <w:color w:val="000000" w:themeColor="text1"/>
        </w:rPr>
        <w:t>právnick</w:t>
      </w:r>
      <w:r>
        <w:rPr>
          <w:rFonts w:ascii="Book Antiqua" w:hAnsi="Book Antiqua" w:cs="Arial"/>
          <w:bCs/>
          <w:color w:val="000000" w:themeColor="text1"/>
        </w:rPr>
        <w:t>é osoby odvodzujúce</w:t>
      </w:r>
      <w:r w:rsidRPr="00445164">
        <w:rPr>
          <w:rFonts w:ascii="Book Antiqua" w:hAnsi="Book Antiqua" w:cs="Arial"/>
          <w:bCs/>
          <w:color w:val="000000" w:themeColor="text1"/>
        </w:rPr>
        <w:t xml:space="preserve"> svoju právnu subjektivitu od cirkví a náboženských spoločností</w:t>
      </w:r>
      <w:r>
        <w:rPr>
          <w:rFonts w:ascii="Book Antiqua" w:hAnsi="Book Antiqua" w:cs="Arial"/>
          <w:bCs/>
          <w:color w:val="000000" w:themeColor="text1"/>
        </w:rPr>
        <w:t xml:space="preserve">, teda farnosti a zbory, medzi ďalších prijímateľov podielu zo zaplatenej dane. Medzi predmety činnosti, ktoré musia prijímatelia vykonávať dopĺňame aj </w:t>
      </w:r>
      <w:r w:rsidRPr="00445164">
        <w:rPr>
          <w:rFonts w:ascii="Book Antiqua" w:hAnsi="Book Antiqua" w:cs="Arial"/>
          <w:bCs/>
          <w:color w:val="000000" w:themeColor="text1"/>
        </w:rPr>
        <w:t>šírenie náboženskej viery</w:t>
      </w:r>
      <w:r>
        <w:rPr>
          <w:rFonts w:ascii="Book Antiqua" w:hAnsi="Book Antiqua" w:cs="Arial"/>
          <w:bCs/>
          <w:color w:val="000000" w:themeColor="text1"/>
        </w:rPr>
        <w:t>.</w:t>
      </w:r>
    </w:p>
    <w:p w14:paraId="0803A67E" w14:textId="2376979B" w:rsidR="003E369F" w:rsidRPr="003E369F" w:rsidRDefault="00445164" w:rsidP="00445164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Týmto návrhom sa dá</w:t>
      </w:r>
      <w:r w:rsidR="003E369F" w:rsidRPr="003E369F">
        <w:rPr>
          <w:rFonts w:ascii="Book Antiqua" w:hAnsi="Book Antiqua" w:cs="Arial"/>
          <w:bCs/>
          <w:color w:val="000000" w:themeColor="text1"/>
        </w:rPr>
        <w:t xml:space="preserve"> možnosť občanom na báze dobrovoľnosti a slobodného rozhodnutia, prispieť cirkvám časťou z daní, čím sa podporí v značnej miere aj ústavné právo  slobody my</w:t>
      </w:r>
      <w:r>
        <w:rPr>
          <w:rFonts w:ascii="Book Antiqua" w:hAnsi="Book Antiqua" w:cs="Arial"/>
          <w:bCs/>
          <w:color w:val="000000" w:themeColor="text1"/>
        </w:rPr>
        <w:t xml:space="preserve">slenia, svedomia, náboženského </w:t>
      </w:r>
      <w:r w:rsidR="003E369F" w:rsidRPr="003E369F">
        <w:rPr>
          <w:rFonts w:ascii="Book Antiqua" w:hAnsi="Book Antiqua" w:cs="Arial"/>
          <w:bCs/>
          <w:color w:val="000000" w:themeColor="text1"/>
        </w:rPr>
        <w:t>vyznania a viery. Osobitná podpora cirkvi veriacimi touto formou sa javí ako vhodná aj pre neustále pretrvávajúce a silnejúce tlaky liberálneho vládneho krídla na dosiahnutie úplnej odluky cirkví od štátu, pričom ide v blízkej budúcnosti o reálne uskutočniteľnú záležitosť. Prijatím tohto zákona by sa predišlo možnému úplnému odstrihnutiu duchovných osôb od príjmu, v prípade schválenia hroziacej odluky.</w:t>
      </w:r>
    </w:p>
    <w:p w14:paraId="7B2D2A86" w14:textId="3B0E2FE9" w:rsidR="003E369F" w:rsidRPr="003E369F" w:rsidRDefault="003E369F" w:rsidP="00445164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3E369F">
        <w:rPr>
          <w:rFonts w:ascii="Book Antiqua" w:hAnsi="Book Antiqua" w:cs="Arial"/>
          <w:bCs/>
          <w:color w:val="000000" w:themeColor="text1"/>
        </w:rPr>
        <w:t>Súčasná situácia na Slovensku nám jasne ukazuje návrat k totalitným praktikám vládnutia spred r. 1989, za reálnej až servilnej podpory zo strany predstaviteľov cirkvi. Je zjavné, že tomu negatívnemu smerovaniu vládnutia s podporou duchovenstva, prispieva práve ich úzke finančné napojenie na rozpočet štátu.</w:t>
      </w:r>
      <w:r w:rsidR="00445164">
        <w:rPr>
          <w:rFonts w:ascii="Book Antiqua" w:hAnsi="Book Antiqua" w:cs="Arial"/>
          <w:bCs/>
          <w:color w:val="000000" w:themeColor="text1"/>
        </w:rPr>
        <w:t xml:space="preserve"> </w:t>
      </w:r>
      <w:r w:rsidRPr="003E369F">
        <w:rPr>
          <w:rFonts w:ascii="Book Antiqua" w:hAnsi="Book Antiqua" w:cs="Arial"/>
          <w:bCs/>
          <w:color w:val="000000" w:themeColor="text1"/>
        </w:rPr>
        <w:t>Je potrebné sa poučiť z</w:t>
      </w:r>
      <w:r w:rsidR="00445164">
        <w:rPr>
          <w:rFonts w:ascii="Book Antiqua" w:hAnsi="Book Antiqua" w:cs="Arial"/>
          <w:bCs/>
          <w:color w:val="000000" w:themeColor="text1"/>
        </w:rPr>
        <w:t> </w:t>
      </w:r>
      <w:r w:rsidRPr="003E369F">
        <w:rPr>
          <w:rFonts w:ascii="Book Antiqua" w:hAnsi="Book Antiqua" w:cs="Arial"/>
          <w:bCs/>
          <w:color w:val="000000" w:themeColor="text1"/>
        </w:rPr>
        <w:t>histórie</w:t>
      </w:r>
      <w:r w:rsidR="00445164">
        <w:rPr>
          <w:rFonts w:ascii="Book Antiqua" w:hAnsi="Book Antiqua" w:cs="Arial"/>
          <w:bCs/>
          <w:color w:val="000000" w:themeColor="text1"/>
        </w:rPr>
        <w:t>,</w:t>
      </w:r>
      <w:r w:rsidRPr="003E369F">
        <w:rPr>
          <w:rFonts w:ascii="Book Antiqua" w:hAnsi="Book Antiqua" w:cs="Arial"/>
          <w:bCs/>
          <w:color w:val="000000" w:themeColor="text1"/>
        </w:rPr>
        <w:t xml:space="preserve"> a tak v čo najväčšej miere eliminovať negatívne dopady súčasných prudkých zmien v spoločnosti. Keď približne pred sto rokmi dochádzalo k výrazným politickým zmenám rozpadom monarchie a budovaním republiky, spôsobilo to mnoho napätia, neistoty i očakávania. Tento vtedy postupne sa meniaci svet pripravoval obyvateľstvo na novú formu životného štýlu a to nástup vlády zbohatlíkov pred ustupujúcou mocou šľachty. Výsledkom toho bola ekonomicky silná spoločnosť štátov západnej Európy podporovaná rýchlym postupom vedy.</w:t>
      </w:r>
    </w:p>
    <w:p w14:paraId="70D40AC2" w14:textId="77777777" w:rsidR="00C525C6" w:rsidRDefault="003E369F" w:rsidP="00C525C6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3E369F">
        <w:rPr>
          <w:rFonts w:ascii="Book Antiqua" w:hAnsi="Book Antiqua" w:cs="Arial"/>
          <w:bCs/>
          <w:color w:val="000000" w:themeColor="text1"/>
        </w:rPr>
        <w:t>Na Slovensku ale po skončení 2. svetovej vojny sa začal uplatňovať experiment riadený komunistami. Kolektivizácia vidieka a mnohé budovateľské akcie komunistickej vládnej</w:t>
      </w:r>
      <w:r w:rsidR="00C525C6">
        <w:rPr>
          <w:rFonts w:ascii="Book Antiqua" w:hAnsi="Book Antiqua" w:cs="Arial"/>
          <w:bCs/>
          <w:color w:val="000000" w:themeColor="text1"/>
        </w:rPr>
        <w:t xml:space="preserve"> strany</w:t>
      </w:r>
      <w:r w:rsidRPr="003E369F">
        <w:rPr>
          <w:rFonts w:ascii="Book Antiqua" w:hAnsi="Book Antiqua" w:cs="Arial"/>
          <w:bCs/>
          <w:color w:val="000000" w:themeColor="text1"/>
        </w:rPr>
        <w:t xml:space="preserve"> v mnohom pripomínajú súčasnú liberálnu propagandu s využitím tzv. </w:t>
      </w:r>
      <w:proofErr w:type="spellStart"/>
      <w:r w:rsidRPr="003E369F">
        <w:rPr>
          <w:rFonts w:ascii="Book Antiqua" w:hAnsi="Book Antiqua" w:cs="Arial"/>
          <w:bCs/>
          <w:color w:val="000000" w:themeColor="text1"/>
        </w:rPr>
        <w:t>protipandemických</w:t>
      </w:r>
      <w:proofErr w:type="spellEnd"/>
      <w:r w:rsidRPr="003E369F">
        <w:rPr>
          <w:rFonts w:ascii="Book Antiqua" w:hAnsi="Book Antiqua" w:cs="Arial"/>
          <w:bCs/>
          <w:color w:val="000000" w:themeColor="text1"/>
        </w:rPr>
        <w:t xml:space="preserve"> o</w:t>
      </w:r>
      <w:r w:rsidR="00C525C6">
        <w:rPr>
          <w:rFonts w:ascii="Book Antiqua" w:hAnsi="Book Antiqua" w:cs="Arial"/>
          <w:bCs/>
          <w:color w:val="000000" w:themeColor="text1"/>
        </w:rPr>
        <w:t>patrení v súvislosti s vírusom C</w:t>
      </w:r>
      <w:r w:rsidRPr="003E369F">
        <w:rPr>
          <w:rFonts w:ascii="Book Antiqua" w:hAnsi="Book Antiqua" w:cs="Arial"/>
          <w:bCs/>
          <w:color w:val="000000" w:themeColor="text1"/>
        </w:rPr>
        <w:t>ovid-19. Namiesto jednotného národa, ktorý stáročia bojoval o svoju samostatnosť, máme dnes právom garantovanú tzv. samostatnosť rozbitej spoločnosti na všetkých úrovniach – r</w:t>
      </w:r>
      <w:r w:rsidR="00C525C6">
        <w:rPr>
          <w:rFonts w:ascii="Book Antiqua" w:hAnsi="Book Antiqua" w:cs="Arial"/>
          <w:bCs/>
          <w:color w:val="000000" w:themeColor="text1"/>
        </w:rPr>
        <w:t>odina, obec, mesto, okres, kraj</w:t>
      </w:r>
      <w:r w:rsidRPr="003E369F">
        <w:rPr>
          <w:rFonts w:ascii="Book Antiqua" w:hAnsi="Book Antiqua" w:cs="Arial"/>
          <w:bCs/>
          <w:color w:val="000000" w:themeColor="text1"/>
        </w:rPr>
        <w:t>, štát, ktorá sa zmieta v hospodárskej a ekonomickej nestabilite, deštrukcii morálky a rozpadu hodnotového systému. Nebezpečnú, pre jednotlivca i celok, ideológiu komunizmu vystriedala ideológia ešte zákernejšia, ideológia liberalizmu.</w:t>
      </w:r>
    </w:p>
    <w:p w14:paraId="4277FB4C" w14:textId="734A130D" w:rsidR="003E369F" w:rsidRPr="003E369F" w:rsidRDefault="003E369F" w:rsidP="00C525C6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3E369F">
        <w:rPr>
          <w:rFonts w:ascii="Book Antiqua" w:hAnsi="Book Antiqua" w:cs="Arial"/>
          <w:bCs/>
          <w:color w:val="000000" w:themeColor="text1"/>
        </w:rPr>
        <w:t>Pre politickú korektnosť a v snahe vyzerať pekne pred svetom a médiami, znova cirkevní predstavitelia mlčia o tom, čo učí Cirkev a čo hlása Evanjelium Ježiša Krista o manželstve, rodine, homosexualit</w:t>
      </w:r>
      <w:r w:rsidR="00844B5D">
        <w:rPr>
          <w:rFonts w:ascii="Book Antiqua" w:hAnsi="Book Antiqua" w:cs="Arial"/>
          <w:bCs/>
          <w:color w:val="000000" w:themeColor="text1"/>
        </w:rPr>
        <w:t>e a o skutočnej láske v pravde.</w:t>
      </w:r>
    </w:p>
    <w:p w14:paraId="0FF07990" w14:textId="08DCD4E2" w:rsidR="003E369F" w:rsidRPr="003E369F" w:rsidRDefault="003E369F" w:rsidP="00844B5D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3E369F">
        <w:rPr>
          <w:rFonts w:ascii="Book Antiqua" w:hAnsi="Book Antiqua" w:cs="Arial"/>
          <w:bCs/>
          <w:color w:val="000000" w:themeColor="text1"/>
        </w:rPr>
        <w:lastRenderedPageBreak/>
        <w:t>Slovensku reálne hrozí odluka cirkvi od štátu a reálne je viditeľný aj úpadok viery. Vyplýva to zo zmeny myslenia ľudí nárastom sekularizovanej časti obyvateľstva. Nábožensky založená časť obyvateľstva je rozdielna i rozdelená. Či už ide o katolíkov, pravoslávie, reformované cirkvi alebo Židovskú obec.</w:t>
      </w:r>
    </w:p>
    <w:p w14:paraId="028D0556" w14:textId="57B66110" w:rsidR="003E369F" w:rsidRPr="003E369F" w:rsidRDefault="003E369F" w:rsidP="00844B5D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3E369F">
        <w:rPr>
          <w:rFonts w:ascii="Book Antiqua" w:hAnsi="Book Antiqua" w:cs="Arial"/>
          <w:bCs/>
          <w:color w:val="000000" w:themeColor="text1"/>
        </w:rPr>
        <w:t>Historicky najstaršia katolícka Cirkev, má poslanie hlásať pra</w:t>
      </w:r>
      <w:r w:rsidR="00844B5D">
        <w:rPr>
          <w:rFonts w:ascii="Book Antiqua" w:hAnsi="Book Antiqua" w:cs="Arial"/>
          <w:bCs/>
          <w:color w:val="000000" w:themeColor="text1"/>
        </w:rPr>
        <w:t>vdu a v rámci spoločnosti upozor</w:t>
      </w:r>
      <w:r w:rsidRPr="003E369F">
        <w:rPr>
          <w:rFonts w:ascii="Book Antiqua" w:hAnsi="Book Antiqua" w:cs="Arial"/>
          <w:bCs/>
          <w:color w:val="000000" w:themeColor="text1"/>
        </w:rPr>
        <w:t xml:space="preserve">niť na prítomnosť </w:t>
      </w:r>
      <w:r w:rsidR="00844B5D">
        <w:rPr>
          <w:rFonts w:ascii="Book Antiqua" w:hAnsi="Book Antiqua" w:cs="Arial"/>
          <w:bCs/>
          <w:color w:val="000000" w:themeColor="text1"/>
        </w:rPr>
        <w:t xml:space="preserve">náuk škodlivých pre spoločnosť. </w:t>
      </w:r>
      <w:r w:rsidRPr="003E369F">
        <w:rPr>
          <w:rFonts w:ascii="Book Antiqua" w:hAnsi="Book Antiqua" w:cs="Arial"/>
          <w:bCs/>
          <w:color w:val="000000" w:themeColor="text1"/>
        </w:rPr>
        <w:t>Mlčanie zo strany cirkvi nijako nikomu neprospeje, len prehĺbi už vzniknuté rozdiely, zväčší chaos a prispeje k neslobode jedinca i spoločnosti.</w:t>
      </w:r>
      <w:r w:rsidR="00844B5D">
        <w:rPr>
          <w:rFonts w:ascii="Book Antiqua" w:hAnsi="Book Antiqua" w:cs="Arial"/>
          <w:bCs/>
          <w:color w:val="000000" w:themeColor="text1"/>
        </w:rPr>
        <w:t xml:space="preserve"> </w:t>
      </w:r>
      <w:r w:rsidRPr="003E369F">
        <w:rPr>
          <w:rFonts w:ascii="Book Antiqua" w:hAnsi="Book Antiqua" w:cs="Arial"/>
          <w:bCs/>
          <w:color w:val="000000" w:themeColor="text1"/>
        </w:rPr>
        <w:t>Mlčanie kompetentných duchovných osôb je neospravedlniteľné a aj táto zákonná úprava má dopomôcť k tomu, aby prehovorili, aby bránili Božiu česť, dobro človeka, aby ohlasovali pravdu.</w:t>
      </w:r>
    </w:p>
    <w:p w14:paraId="15A68C1A" w14:textId="64F8EACC" w:rsidR="003E369F" w:rsidRPr="003E369F" w:rsidRDefault="003E369F" w:rsidP="00844B5D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3E369F">
        <w:rPr>
          <w:rFonts w:ascii="Book Antiqua" w:hAnsi="Book Antiqua" w:cs="Arial"/>
          <w:bCs/>
          <w:color w:val="000000" w:themeColor="text1"/>
        </w:rPr>
        <w:t>Cirkev ako inštitúcia i ako spoločnosť určená na spásu človeka má vstúpiť do dialógu so svetom, preto je dôležitá zdravá autonómia.</w:t>
      </w:r>
      <w:r w:rsidR="00844B5D">
        <w:rPr>
          <w:rFonts w:ascii="Book Antiqua" w:hAnsi="Book Antiqua" w:cs="Arial"/>
          <w:bCs/>
          <w:color w:val="000000" w:themeColor="text1"/>
        </w:rPr>
        <w:t xml:space="preserve"> </w:t>
      </w:r>
      <w:r w:rsidRPr="003E369F">
        <w:rPr>
          <w:rFonts w:ascii="Book Antiqua" w:hAnsi="Book Antiqua" w:cs="Arial"/>
          <w:bCs/>
          <w:color w:val="000000" w:themeColor="text1"/>
        </w:rPr>
        <w:t>Ak bude záujem cirkvi rovnaký ako svetskej moci, také spojenie v dejinách nikdy nedopadlo ináč ako zotročovaním, rozdeľovaním, vraždením a prenasledovaním. Cirkev musí byť svedomím svetskej moci, vyzývať ku zmiereniu, k odbornej diskusii a nezúčastňovať sa propagandy, ktorú riadi a financuje štát. Cirkev musí byť slobodná, čo v súčasnosti nie je. Je neprípustné, aby si cirkev nechala zasahovať svetskou mocou do liturgických predpisov či iných duchovných záležitostí týkajúcich sa vysluhovania sviatosti, alebo mlčala pri zjavnom porušovaní ústavného i medzinárodného práva, ktoré garantuje slobodu vierovyznania.</w:t>
      </w:r>
    </w:p>
    <w:p w14:paraId="48DD8646" w14:textId="018EF95E" w:rsidR="003E369F" w:rsidRDefault="003E369F" w:rsidP="00844B5D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3E369F">
        <w:rPr>
          <w:rFonts w:ascii="Book Antiqua" w:hAnsi="Book Antiqua" w:cs="Arial"/>
          <w:bCs/>
          <w:color w:val="000000" w:themeColor="text1"/>
        </w:rPr>
        <w:t>Tento zákon má posilniť autoritu biskupov, kňazov a celého duchovenstva. Má dopomôcť pravde a pravej slobode a k reálnemu uplatňovaniu si práva náboženského  vyznania a viery.</w:t>
      </w:r>
      <w:r w:rsidR="00844B5D">
        <w:rPr>
          <w:rFonts w:ascii="Book Antiqua" w:hAnsi="Book Antiqua" w:cs="Arial"/>
          <w:bCs/>
          <w:color w:val="000000" w:themeColor="text1"/>
        </w:rPr>
        <w:t xml:space="preserve"> </w:t>
      </w:r>
    </w:p>
    <w:p w14:paraId="4CE0EF8F" w14:textId="18B703C3" w:rsidR="001A584C" w:rsidRDefault="00844B5D" w:rsidP="007774A2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Predložený materiál </w:t>
      </w:r>
      <w:r w:rsidR="001A584C" w:rsidRPr="001A584C">
        <w:rPr>
          <w:rFonts w:ascii="Book Antiqua" w:hAnsi="Book Antiqua" w:cs="Arial"/>
          <w:color w:val="000000" w:themeColor="text1"/>
        </w:rPr>
        <w:t xml:space="preserve">má </w:t>
      </w:r>
      <w:r>
        <w:rPr>
          <w:rFonts w:ascii="Book Antiqua" w:hAnsi="Book Antiqua" w:cs="Arial"/>
          <w:color w:val="000000" w:themeColor="text1"/>
        </w:rPr>
        <w:t xml:space="preserve">negatívny </w:t>
      </w:r>
      <w:r w:rsidR="001A584C" w:rsidRPr="001A584C">
        <w:rPr>
          <w:rFonts w:ascii="Book Antiqua" w:hAnsi="Book Antiqua" w:cs="Arial"/>
          <w:color w:val="000000" w:themeColor="text1"/>
        </w:rPr>
        <w:t>dopad na štátny rozpočet, je v súlade so zákonmi, ústavnými zákonmi, Ústavou ako aj medzinárodnými zmluvami a dohodami.</w:t>
      </w:r>
    </w:p>
    <w:p w14:paraId="4DEAACCF" w14:textId="77777777" w:rsidR="00012899" w:rsidRPr="00356B93" w:rsidRDefault="00012899" w:rsidP="007774A2">
      <w:pPr>
        <w:ind w:firstLine="708"/>
        <w:jc w:val="both"/>
        <w:rPr>
          <w:rFonts w:ascii="Book Antiqua" w:hAnsi="Book Antiqua" w:cs="Arial"/>
          <w:color w:val="000000" w:themeColor="text1"/>
        </w:rPr>
      </w:pPr>
    </w:p>
    <w:p w14:paraId="38B7213F" w14:textId="77777777" w:rsidR="007774A2" w:rsidRPr="00A07A2E" w:rsidRDefault="007774A2" w:rsidP="00A07A2E">
      <w:pPr>
        <w:ind w:firstLine="708"/>
        <w:jc w:val="both"/>
        <w:rPr>
          <w:rFonts w:ascii="Book Antiqua" w:hAnsi="Book Antiqua" w:cs="Arial"/>
          <w:u w:val="single"/>
        </w:rPr>
      </w:pPr>
    </w:p>
    <w:p w14:paraId="139A1CC7" w14:textId="77777777" w:rsidR="00B3477B" w:rsidRPr="009F6924" w:rsidRDefault="00CF106B" w:rsidP="00B3477B">
      <w:pPr>
        <w:numPr>
          <w:ilvl w:val="0"/>
          <w:numId w:val="1"/>
        </w:numPr>
        <w:ind w:left="270" w:hanging="270"/>
        <w:rPr>
          <w:rFonts w:ascii="Book Antiqua" w:hAnsi="Book Antiqua" w:cs="Arial"/>
          <w:b/>
          <w:i/>
          <w:color w:val="000000"/>
        </w:rPr>
      </w:pPr>
      <w:r>
        <w:rPr>
          <w:rFonts w:ascii="Book Antiqua" w:hAnsi="Book Antiqua" w:cs="Arial"/>
          <w:b/>
          <w:i/>
          <w:color w:val="000000"/>
        </w:rPr>
        <w:br w:type="page"/>
      </w:r>
      <w:r w:rsidR="00B3477B" w:rsidRPr="009F6924">
        <w:rPr>
          <w:rFonts w:ascii="Book Antiqua" w:hAnsi="Book Antiqua" w:cs="Arial"/>
          <w:b/>
          <w:i/>
          <w:color w:val="000000"/>
        </w:rPr>
        <w:lastRenderedPageBreak/>
        <w:t>Osobitná časť</w:t>
      </w:r>
    </w:p>
    <w:p w14:paraId="1A4ECB06" w14:textId="77777777" w:rsidR="00B3477B" w:rsidRPr="009F6924" w:rsidRDefault="00B3477B" w:rsidP="00B3477B">
      <w:pPr>
        <w:ind w:left="360"/>
        <w:jc w:val="both"/>
        <w:rPr>
          <w:rFonts w:ascii="Book Antiqua" w:hAnsi="Book Antiqua" w:cs="Arial"/>
          <w:color w:val="000000"/>
        </w:rPr>
      </w:pPr>
      <w:r>
        <w:rPr>
          <w:noProof/>
          <w:lang w:eastAsia="sk-SK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6A75A8A" wp14:editId="5D491E66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3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ED38F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-.35pt;margin-top:2.75pt;width:45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"/>
            </w:pict>
          </mc:Fallback>
        </mc:AlternateContent>
      </w:r>
    </w:p>
    <w:p w14:paraId="5BCF58A7" w14:textId="77777777" w:rsidR="00B3477B" w:rsidRPr="00B94FBD" w:rsidRDefault="00B3477B" w:rsidP="00B3477B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</w:t>
      </w:r>
    </w:p>
    <w:p w14:paraId="3C88F6B4" w14:textId="77777777" w:rsidR="00B3477B" w:rsidRPr="00B94FBD" w:rsidRDefault="00B3477B" w:rsidP="00B3477B">
      <w:pPr>
        <w:jc w:val="both"/>
        <w:rPr>
          <w:rFonts w:ascii="Book Antiqua" w:hAnsi="Book Antiqua" w:cs="Arial"/>
          <w:color w:val="000000"/>
          <w:u w:val="single"/>
        </w:rPr>
      </w:pPr>
      <w:r w:rsidRPr="00B94FBD">
        <w:rPr>
          <w:rFonts w:ascii="Book Antiqua" w:hAnsi="Book Antiqua" w:cs="Arial"/>
          <w:color w:val="000000"/>
          <w:u w:val="single"/>
        </w:rPr>
        <w:t>K bodu 1</w:t>
      </w:r>
    </w:p>
    <w:p w14:paraId="6D6D30C7" w14:textId="761C68D1" w:rsidR="00B3477B" w:rsidRDefault="00B3477B" w:rsidP="00B3477B">
      <w:pPr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ab/>
      </w:r>
      <w:r w:rsidR="00844B5D">
        <w:rPr>
          <w:rFonts w:ascii="Book Antiqua" w:hAnsi="Book Antiqua" w:cs="Arial"/>
          <w:color w:val="000000"/>
        </w:rPr>
        <w:t>Zavádza sa možnosť pre daňovníkov – fyzické osoby poukázať podiel zo zaplatenej dane ďalšiemu prijímateľovi v rovnakej výške – do 2 %.</w:t>
      </w:r>
    </w:p>
    <w:p w14:paraId="10F536E2" w14:textId="77777777" w:rsidR="00B3477B" w:rsidRPr="00B94FBD" w:rsidRDefault="00B3477B" w:rsidP="00B3477B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B94FBD">
        <w:rPr>
          <w:rFonts w:ascii="Book Antiqua" w:hAnsi="Book Antiqua" w:cs="Arial"/>
          <w:bCs/>
          <w:color w:val="000000"/>
          <w:u w:val="single"/>
        </w:rPr>
        <w:t>K bodu 2</w:t>
      </w:r>
    </w:p>
    <w:p w14:paraId="2A4747DB" w14:textId="38582B2E" w:rsidR="00B3477B" w:rsidRDefault="00844B5D" w:rsidP="00B3477B">
      <w:pPr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Medzi prijímateľov podielu zo zaplatenej dane sa dopĺňa aj </w:t>
      </w:r>
      <w:r w:rsidRPr="00844B5D">
        <w:rPr>
          <w:rFonts w:ascii="Book Antiqua" w:hAnsi="Book Antiqua" w:cs="Arial"/>
          <w:color w:val="000000"/>
        </w:rPr>
        <w:t>právnická osoba odvodzujúca svoju právnu subjektivitu od cirkví a náboženských spoločností</w:t>
      </w:r>
      <w:r>
        <w:rPr>
          <w:rFonts w:ascii="Book Antiqua" w:hAnsi="Book Antiqua" w:cs="Arial"/>
          <w:color w:val="000000"/>
        </w:rPr>
        <w:t>, tzn. farnosti, zbory alebo náboženské obce.</w:t>
      </w:r>
    </w:p>
    <w:p w14:paraId="4A63916B" w14:textId="225047F7" w:rsidR="00844B5D" w:rsidRPr="00B94FBD" w:rsidRDefault="00844B5D" w:rsidP="00844B5D">
      <w:pPr>
        <w:jc w:val="both"/>
        <w:rPr>
          <w:rFonts w:ascii="Book Antiqua" w:hAnsi="Book Antiqua" w:cs="Arial"/>
          <w:bCs/>
          <w:color w:val="000000"/>
          <w:u w:val="single"/>
        </w:rPr>
      </w:pPr>
      <w:r>
        <w:rPr>
          <w:rFonts w:ascii="Book Antiqua" w:hAnsi="Book Antiqua" w:cs="Arial"/>
          <w:bCs/>
          <w:color w:val="000000"/>
          <w:u w:val="single"/>
        </w:rPr>
        <w:t>K bodu 3</w:t>
      </w:r>
    </w:p>
    <w:p w14:paraId="68CE9AB9" w14:textId="3D8D0E19" w:rsidR="00844B5D" w:rsidRPr="007B1E3A" w:rsidRDefault="00844B5D" w:rsidP="00844B5D">
      <w:pPr>
        <w:ind w:firstLine="708"/>
        <w:jc w:val="both"/>
        <w:rPr>
          <w:rFonts w:ascii="Book Antiqua" w:hAnsi="Book Antiqua" w:cs="Arial"/>
          <w:bCs/>
          <w:color w:val="000000"/>
          <w:u w:val="single"/>
        </w:rPr>
      </w:pPr>
      <w:r>
        <w:rPr>
          <w:rFonts w:ascii="Book Antiqua" w:hAnsi="Book Antiqua" w:cs="Arial"/>
          <w:color w:val="000000"/>
        </w:rPr>
        <w:t xml:space="preserve">Medzi </w:t>
      </w:r>
      <w:r w:rsidR="003B4C3D">
        <w:rPr>
          <w:rFonts w:ascii="Book Antiqua" w:hAnsi="Book Antiqua" w:cs="Arial"/>
          <w:color w:val="000000"/>
        </w:rPr>
        <w:t xml:space="preserve">predmety činnosti, ktoré musia mať prijímatelia sa vzhľadom na bod 2 dopĺňa aj </w:t>
      </w:r>
      <w:r w:rsidR="003B4C3D">
        <w:rPr>
          <w:rFonts w:ascii="Book Antiqua" w:hAnsi="Book Antiqua"/>
          <w:bCs/>
        </w:rPr>
        <w:t>šírenie náboženskej viery.</w:t>
      </w:r>
    </w:p>
    <w:p w14:paraId="45A7C892" w14:textId="68660224" w:rsidR="003B4C3D" w:rsidRPr="00B94FBD" w:rsidRDefault="003B4C3D" w:rsidP="003B4C3D">
      <w:pPr>
        <w:jc w:val="both"/>
        <w:rPr>
          <w:rFonts w:ascii="Book Antiqua" w:hAnsi="Book Antiqua" w:cs="Arial"/>
          <w:bCs/>
          <w:color w:val="000000"/>
          <w:u w:val="single"/>
        </w:rPr>
      </w:pPr>
      <w:r>
        <w:rPr>
          <w:rFonts w:ascii="Book Antiqua" w:hAnsi="Book Antiqua" w:cs="Arial"/>
          <w:bCs/>
          <w:color w:val="000000"/>
          <w:u w:val="single"/>
        </w:rPr>
        <w:t>K bodu 4</w:t>
      </w:r>
    </w:p>
    <w:p w14:paraId="50C65132" w14:textId="47616EB2" w:rsidR="003B4C3D" w:rsidRDefault="004C79C5" w:rsidP="003B4C3D">
      <w:pPr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Novelizuje sa ustanovenie, ktoré definuje, čo musí daňovník vo vyhlásení napísať. Zmena spočíva v tom, že fyzická osoba už môže po novele poukázať podiel zo zaplatenej dane najviac dvom prijímateľom, namiesto len jednému.</w:t>
      </w:r>
    </w:p>
    <w:p w14:paraId="6231F13D" w14:textId="504A917F" w:rsidR="00AD1F42" w:rsidRPr="00B94FBD" w:rsidRDefault="00AD1F42" w:rsidP="00AD1F42">
      <w:pPr>
        <w:jc w:val="both"/>
        <w:rPr>
          <w:rFonts w:ascii="Book Antiqua" w:hAnsi="Book Antiqua" w:cs="Arial"/>
          <w:bCs/>
          <w:color w:val="000000"/>
          <w:u w:val="single"/>
        </w:rPr>
      </w:pPr>
      <w:r>
        <w:rPr>
          <w:rFonts w:ascii="Book Antiqua" w:hAnsi="Book Antiqua" w:cs="Arial"/>
          <w:bCs/>
          <w:color w:val="000000"/>
          <w:u w:val="single"/>
        </w:rPr>
        <w:t>K bodu 5</w:t>
      </w:r>
    </w:p>
    <w:p w14:paraId="297D639F" w14:textId="5F9C2728" w:rsidR="00844B5D" w:rsidRPr="007B1E3A" w:rsidRDefault="00AD1F42" w:rsidP="00B3477B">
      <w:pPr>
        <w:ind w:firstLine="708"/>
        <w:jc w:val="both"/>
        <w:rPr>
          <w:rFonts w:ascii="Book Antiqua" w:hAnsi="Book Antiqua" w:cs="Arial"/>
          <w:bCs/>
          <w:color w:val="000000"/>
          <w:u w:val="single"/>
        </w:rPr>
      </w:pPr>
      <w:r>
        <w:rPr>
          <w:rFonts w:ascii="Book Antiqua" w:hAnsi="Book Antiqua" w:cs="Arial"/>
          <w:color w:val="000000"/>
        </w:rPr>
        <w:t xml:space="preserve">Navrhujeme, aby farnosti, zbory a náboženské obce boli ako prijímatelia do zoznamu prijímateľov zapísaní automaticky bez nutnosti každoročného notárskeho osvedčovania. Zároveň sú oslobodení od preukazovania splnenia podmienky, že </w:t>
      </w:r>
      <w:r w:rsidRPr="00AD1F42">
        <w:rPr>
          <w:rFonts w:ascii="Book Antiqua" w:hAnsi="Book Antiqua" w:cs="Arial"/>
          <w:color w:val="000000"/>
        </w:rPr>
        <w:t>nemá evidované nedoplatky na poistnom na sociálne poistenie a zdravotná poisťovňa neeviduje voči nemu pohľadávky po splatnosti podľa osobitných predpisov</w:t>
      </w:r>
      <w:r>
        <w:rPr>
          <w:rFonts w:ascii="Book Antiqua" w:hAnsi="Book Antiqua" w:cs="Arial"/>
          <w:color w:val="000000"/>
        </w:rPr>
        <w:t>.</w:t>
      </w:r>
    </w:p>
    <w:p w14:paraId="0B9C688A" w14:textId="77777777" w:rsidR="00B3477B" w:rsidRDefault="00B3477B" w:rsidP="00B3477B">
      <w:pPr>
        <w:suppressAutoHyphens w:val="0"/>
        <w:rPr>
          <w:rFonts w:ascii="Book Antiqua" w:hAnsi="Book Antiqua" w:cs="Arial"/>
          <w:b/>
          <w:color w:val="000000"/>
        </w:rPr>
      </w:pPr>
    </w:p>
    <w:p w14:paraId="0A6330A8" w14:textId="77777777" w:rsidR="00CF106B" w:rsidRPr="00B94FBD" w:rsidRDefault="00CF106B" w:rsidP="00B3477B">
      <w:pPr>
        <w:suppressAutoHyphens w:val="0"/>
        <w:rPr>
          <w:rFonts w:ascii="Book Antiqua" w:hAnsi="Book Antiqua" w:cs="Arial"/>
          <w:b/>
          <w:color w:val="000000"/>
        </w:rPr>
      </w:pPr>
      <w:r w:rsidRPr="00B94FBD">
        <w:rPr>
          <w:rFonts w:ascii="Book Antiqua" w:hAnsi="Book Antiqua" w:cs="Arial"/>
          <w:b/>
          <w:color w:val="000000"/>
        </w:rPr>
        <w:t>Čl. II</w:t>
      </w:r>
    </w:p>
    <w:p w14:paraId="1A4E4B31" w14:textId="77777777" w:rsidR="00206CD6" w:rsidRPr="008D1CB7" w:rsidRDefault="00206CD6" w:rsidP="00206CD6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p w14:paraId="48A74615" w14:textId="77777777" w:rsidR="00CF106B" w:rsidRPr="001D6141" w:rsidRDefault="00CF106B" w:rsidP="00206CD6">
      <w:pPr>
        <w:ind w:firstLine="708"/>
        <w:jc w:val="both"/>
        <w:rPr>
          <w:rFonts w:ascii="Book Antiqua" w:hAnsi="Book Antiqua" w:cs="Book Antiqua"/>
          <w:color w:val="000000"/>
          <w:kern w:val="1"/>
        </w:rPr>
      </w:pPr>
    </w:p>
    <w:sectPr w:rsidR="00CF106B" w:rsidRPr="001D6141" w:rsidSect="001D61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59D1"/>
    <w:multiLevelType w:val="hybridMultilevel"/>
    <w:tmpl w:val="D480DEE4"/>
    <w:lvl w:ilvl="0" w:tplc="F5B6E7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4E1BCB"/>
    <w:multiLevelType w:val="hybridMultilevel"/>
    <w:tmpl w:val="E52099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168F0"/>
    <w:multiLevelType w:val="hybridMultilevel"/>
    <w:tmpl w:val="30942E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635A2"/>
    <w:multiLevelType w:val="hybridMultilevel"/>
    <w:tmpl w:val="7B3411E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51"/>
    <w:rsid w:val="00012899"/>
    <w:rsid w:val="00017410"/>
    <w:rsid w:val="00023051"/>
    <w:rsid w:val="00041289"/>
    <w:rsid w:val="00060225"/>
    <w:rsid w:val="00075BB4"/>
    <w:rsid w:val="000F7285"/>
    <w:rsid w:val="00106558"/>
    <w:rsid w:val="00113515"/>
    <w:rsid w:val="00141368"/>
    <w:rsid w:val="001467BF"/>
    <w:rsid w:val="00152414"/>
    <w:rsid w:val="00160B4B"/>
    <w:rsid w:val="001757E3"/>
    <w:rsid w:val="0019528D"/>
    <w:rsid w:val="001A584C"/>
    <w:rsid w:val="001B226E"/>
    <w:rsid w:val="001D6141"/>
    <w:rsid w:val="001F7EC9"/>
    <w:rsid w:val="00206CD6"/>
    <w:rsid w:val="00225163"/>
    <w:rsid w:val="002359EA"/>
    <w:rsid w:val="00242AA7"/>
    <w:rsid w:val="00244146"/>
    <w:rsid w:val="0025190F"/>
    <w:rsid w:val="00263697"/>
    <w:rsid w:val="00276DD6"/>
    <w:rsid w:val="002E138E"/>
    <w:rsid w:val="0031752B"/>
    <w:rsid w:val="00341A59"/>
    <w:rsid w:val="00356B93"/>
    <w:rsid w:val="003849F5"/>
    <w:rsid w:val="00393CE9"/>
    <w:rsid w:val="003B4C3D"/>
    <w:rsid w:val="003B578C"/>
    <w:rsid w:val="003E369F"/>
    <w:rsid w:val="003F1D03"/>
    <w:rsid w:val="003F78FD"/>
    <w:rsid w:val="00441D94"/>
    <w:rsid w:val="00445164"/>
    <w:rsid w:val="00474892"/>
    <w:rsid w:val="004C79C5"/>
    <w:rsid w:val="004D7831"/>
    <w:rsid w:val="00520652"/>
    <w:rsid w:val="005301E8"/>
    <w:rsid w:val="00550FB0"/>
    <w:rsid w:val="00553DAC"/>
    <w:rsid w:val="005C05B1"/>
    <w:rsid w:val="005E234B"/>
    <w:rsid w:val="006049A1"/>
    <w:rsid w:val="00630413"/>
    <w:rsid w:val="006B2D36"/>
    <w:rsid w:val="006C1AC0"/>
    <w:rsid w:val="006D29DE"/>
    <w:rsid w:val="00704E65"/>
    <w:rsid w:val="007421FF"/>
    <w:rsid w:val="00765895"/>
    <w:rsid w:val="007729B8"/>
    <w:rsid w:val="007747B0"/>
    <w:rsid w:val="00775B3B"/>
    <w:rsid w:val="007774A2"/>
    <w:rsid w:val="00795DA3"/>
    <w:rsid w:val="007B1E3A"/>
    <w:rsid w:val="007B6E38"/>
    <w:rsid w:val="007D3F1A"/>
    <w:rsid w:val="007E5FC7"/>
    <w:rsid w:val="007F1998"/>
    <w:rsid w:val="007F6946"/>
    <w:rsid w:val="00800636"/>
    <w:rsid w:val="00844B5D"/>
    <w:rsid w:val="00847FAC"/>
    <w:rsid w:val="008667AA"/>
    <w:rsid w:val="00886A55"/>
    <w:rsid w:val="008E5F65"/>
    <w:rsid w:val="009529AB"/>
    <w:rsid w:val="00957C06"/>
    <w:rsid w:val="00967F9F"/>
    <w:rsid w:val="009768C7"/>
    <w:rsid w:val="00991D46"/>
    <w:rsid w:val="009B76A8"/>
    <w:rsid w:val="009D3EFB"/>
    <w:rsid w:val="00A07A2E"/>
    <w:rsid w:val="00A20494"/>
    <w:rsid w:val="00A2524E"/>
    <w:rsid w:val="00A87007"/>
    <w:rsid w:val="00A9469E"/>
    <w:rsid w:val="00A96EFE"/>
    <w:rsid w:val="00A97A57"/>
    <w:rsid w:val="00AD1F42"/>
    <w:rsid w:val="00AE2066"/>
    <w:rsid w:val="00B25A23"/>
    <w:rsid w:val="00B3477B"/>
    <w:rsid w:val="00B52508"/>
    <w:rsid w:val="00BB7F7C"/>
    <w:rsid w:val="00BD6389"/>
    <w:rsid w:val="00C20723"/>
    <w:rsid w:val="00C525C6"/>
    <w:rsid w:val="00C800E9"/>
    <w:rsid w:val="00CB57E2"/>
    <w:rsid w:val="00CC6613"/>
    <w:rsid w:val="00CE43AE"/>
    <w:rsid w:val="00CF106B"/>
    <w:rsid w:val="00CF7977"/>
    <w:rsid w:val="00D0696B"/>
    <w:rsid w:val="00D13565"/>
    <w:rsid w:val="00D267B2"/>
    <w:rsid w:val="00D71388"/>
    <w:rsid w:val="00D827B3"/>
    <w:rsid w:val="00DC251B"/>
    <w:rsid w:val="00DF4AD4"/>
    <w:rsid w:val="00E602AB"/>
    <w:rsid w:val="00E930C7"/>
    <w:rsid w:val="00EA27A2"/>
    <w:rsid w:val="00ED2CE5"/>
    <w:rsid w:val="00EF2A0B"/>
    <w:rsid w:val="00F127D1"/>
    <w:rsid w:val="00F148F8"/>
    <w:rsid w:val="00F21C8C"/>
    <w:rsid w:val="00F66365"/>
    <w:rsid w:val="00F71646"/>
    <w:rsid w:val="00F87688"/>
    <w:rsid w:val="00FE5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3A31"/>
  <w15:docId w15:val="{431756DA-9882-46B9-883E-5BFE7377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30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05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206CD6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C6613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6636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tin_belusky\Dropbox\&#317;SNS\NR%20SR\Z&#225;kony\_VIII.%20volebn&#233;%20odbobie\17%202%20+%202%20%25\Anal&#253;z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sz="1100"/>
              <a:t>Zdroj: štátny rozpočet</a:t>
            </a:r>
            <a:endParaRPr lang="en-US"/>
          </a:p>
        </c:rich>
      </c:tx>
      <c:layout>
        <c:manualLayout>
          <c:xMode val="edge"/>
          <c:yMode val="edge"/>
          <c:x val="0.69790556895784595"/>
          <c:y val="0.910822510822510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'do zákona'!$A$4</c:f>
              <c:strCache>
                <c:ptCount val="1"/>
                <c:pt idx="0">
                  <c:v>Daň z príjmov fyzických osôb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'do zákona'!$B$3:$G$3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'do zákona'!$B$4:$G$4</c:f>
              <c:numCache>
                <c:formatCode>#,##0</c:formatCode>
                <c:ptCount val="6"/>
                <c:pt idx="0">
                  <c:v>3217628000</c:v>
                </c:pt>
                <c:pt idx="1">
                  <c:v>3534474000</c:v>
                </c:pt>
                <c:pt idx="2">
                  <c:v>3414574000</c:v>
                </c:pt>
                <c:pt idx="3">
                  <c:v>3614297000</c:v>
                </c:pt>
                <c:pt idx="4">
                  <c:v>3827916000</c:v>
                </c:pt>
                <c:pt idx="5">
                  <c:v>4083142000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59-44BD-93AD-68142AA278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0009128"/>
        <c:axId val="510009456"/>
      </c:lineChart>
      <c:catAx>
        <c:axId val="510009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10009456"/>
        <c:crosses val="autoZero"/>
        <c:auto val="1"/>
        <c:lblAlgn val="ctr"/>
        <c:lblOffset val="100"/>
        <c:noMultiLvlLbl val="0"/>
      </c:catAx>
      <c:valAx>
        <c:axId val="510009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10009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041484511170164"/>
          <c:y val="3.4198725159355084E-2"/>
          <c:w val="0.37916116628500751"/>
          <c:h val="6.68248287145924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Beluský, Martin</cp:lastModifiedBy>
  <cp:revision>88</cp:revision>
  <cp:lastPrinted>2020-06-16T11:02:00Z</cp:lastPrinted>
  <dcterms:created xsi:type="dcterms:W3CDTF">2019-08-22T16:37:00Z</dcterms:created>
  <dcterms:modified xsi:type="dcterms:W3CDTF">2021-08-25T12:39:00Z</dcterms:modified>
</cp:coreProperties>
</file>