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400A8D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">
                <o:lock v:ext="edit" shapetype="f"/>
              </v:line>
            </w:pict>
          </mc:Fallback>
        </mc:AlternateContent>
      </w:r>
    </w:p>
    <w:p w14:paraId="43778668" w14:textId="77777777" w:rsidR="004C177D" w:rsidRPr="00C03FC3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Poslanci za stranu Kotlebovci – Ľudová strana Naše Slovensko Marian Kotleba, Marek Kotleba,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Rastislav Schlosár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Peter Krupa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návrh zákona, ktorým sa mení a dopĺňa zákon č.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106/2018 Z. z. o prevádzke vozidiel v cestnej premávke a o zmene a doplnení niektorých zákonov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5B6C0CE9" w14:textId="37B55E5E" w:rsidR="004C177D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návrhu zákona je predĺženie platnosti lehôt TK kategórie vozidiel L (motocykle a štvorkolky) pri prvom prihlásení do evidencie vozidiel zo štyroch rokov na šesť rokov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 potom periodicky v štvorročných lehotách.  Dôvod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predloženia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predmetn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ého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návrh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zákona je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že vozidlá kategórie L sú sezónne vozidlá  a využívajú sa prevažne na relaxačnú jazdu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čiže nie sú vystavené takému opotrebeniu a vplyvom počasia (dážď, sneh, posypová soľ) ako sú vozidlá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 sú využívané celoročne. </w:t>
      </w:r>
      <w:r w:rsidR="00187F0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Lehoty platnosti 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187F0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TK pre vozidlá kategórie L 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konkrétne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neurčuje</w:t>
      </w:r>
      <w:r w:rsidR="00187F08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ani 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smernica EÚ 2014/45EÚ článok 5 odsek 2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ktorá sa týka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TK pre vozidlá kategórie L.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Členské štáty stanovia vhodné intervaly, v ktorých sa vozidlá kategórie L3e, L4e, L5e a L7e s objemom motora presahujúcim 125 cm</w:t>
      </w:r>
      <w:r w:rsidRPr="00B07B69">
        <w:rPr>
          <w:rFonts w:ascii="Book Antiqua" w:hAnsi="Book Antiqua" w:cs="Arial"/>
          <w:color w:val="000000"/>
          <w:kern w:val="0"/>
          <w:sz w:val="22"/>
          <w:szCs w:val="22"/>
          <w:vertAlign w:val="superscript"/>
          <w:lang w:bidi="ar-SA"/>
        </w:rPr>
        <w:t>3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majú podrobiť</w:t>
      </w:r>
      <w:bookmarkStart w:id="0" w:name="_GoBack"/>
      <w:bookmarkEnd w:id="0"/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kontrole technického stavu. Preto </w:t>
      </w:r>
      <w:r w:rsidR="007067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niektoré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členské štáty</w:t>
      </w:r>
      <w:r w:rsidR="007067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EÚ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TK na vozidlá kategórie L ani nerobia. Tieto lehoty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 navrhujeme my</w:t>
      </w:r>
      <w:r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schválila aj susedná Česká republika</w:t>
      </w:r>
      <w:r w:rsidR="00187F08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D6D9E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roku</w:t>
      </w:r>
      <w:r w:rsidR="003D6D9E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2018</w:t>
      </w:r>
      <w:r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680C3D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základe vyššie uvedeného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považujeme 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súčasné nastavenie platnosti lehôt TK pre vozidlá kategórie L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za ne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opodstatnené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7E11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Tento návrh zákona  sa vzťahuje aj na kategóriu O2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E11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brzdený príves do 3500KG ktorý je tiež využívaný mnohými motoristami len príležitostne. Aj keď je príves využívaný na podnikanie tak skoro vždy</w:t>
      </w:r>
      <w:r w:rsidR="009F6A2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 príves polovicu danej trasy nevyťažený. 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Dá sa teda povedať že každý príves za osobné motorové vozidlo prejde ½ z celového počtu najazdených kilometrov prázdny. 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Ďalší cie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ľ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tohto návrhu zákona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je ustanovenie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pravideln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ých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ôt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TK zákonom a nie vykonávacím predpisom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by lehoty  TK schvaľovala NR SR a nie MV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SR,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keďže sa to bytostne dotýka skoro každého občana SR vlastniaceho vozidlo.</w:t>
      </w:r>
    </w:p>
    <w:p w14:paraId="5B382B46" w14:textId="77777777" w:rsidR="004C177D" w:rsidRPr="00C03FC3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423B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Návrh zákona má pozitívny vplyv na podnikateľské prostredie a sociálne vplyvy. Návrh zákona má a neutrálny vplyv na ostatné posudzované oblasti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672A6659" w14:textId="77777777" w:rsidR="00C03FC3" w:rsidRDefault="00C03FC3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88692C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w14:paraId="2F5B3383" w14:textId="5BF18F38" w:rsidR="00202D73" w:rsidRDefault="005A7CF0" w:rsidP="000A6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Upravujú sa lehoty technickej kontroly pravidelnej </w:t>
      </w:r>
      <w:r w:rsidR="000A6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vybrané kategórie vozidiel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5D103647" w14:textId="77777777" w:rsidR="000A6FC3" w:rsidRPr="00202D73" w:rsidRDefault="000A6FC3" w:rsidP="000A6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</w:p>
    <w:p w14:paraId="4F14E747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14:paraId="39476AF6" w14:textId="77777777" w:rsidR="00EE5B23" w:rsidRDefault="00EE5B23" w:rsidP="000A6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Legislatívno-technická zmena nadväzujúca na bod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1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0FE7100A" w14:textId="26351155" w:rsidR="00EE5B23" w:rsidRDefault="00EE5B23" w:rsidP="00EE5B2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14:paraId="5800CC8C" w14:textId="191DBBFB" w:rsidR="00202D73" w:rsidRDefault="00EE5B23" w:rsidP="000A6FC3">
      <w:pPr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Legislatívno-technická zmena nadväzujúca na bod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2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</w:p>
    <w:p w14:paraId="52B8FF75" w14:textId="77777777" w:rsidR="00766C7B" w:rsidRDefault="00766C7B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</w:p>
    <w:p w14:paraId="1770F061" w14:textId="1852DA23" w:rsidR="00766C7B" w:rsidRDefault="00766C7B" w:rsidP="00766C7B"/>
    <w:p w14:paraId="5DAB6C7B" w14:textId="77777777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09C087FC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w14:paraId="70267B4D" w14:textId="56FC3D6B" w:rsidR="00C03FC3" w:rsidRPr="00766C7B" w:rsidRDefault="00C03FC3" w:rsidP="00766C7B">
      <w:pPr>
        <w:pStyle w:val="Default"/>
        <w:ind w:firstLine="720"/>
        <w:jc w:val="both"/>
        <w:rPr>
          <w:rFonts w:ascii="Book Antiqua" w:hAnsi="Book Antiqua"/>
          <w:sz w:val="22"/>
        </w:rPr>
      </w:pPr>
      <w:r w:rsidRPr="115D94DF">
        <w:rPr>
          <w:rFonts w:ascii="Book Antiqua" w:hAnsi="Book Antiqua"/>
          <w:color w:val="000000" w:themeColor="text1"/>
          <w:sz w:val="22"/>
          <w:szCs w:val="22"/>
        </w:rPr>
        <w:t>Navrhuje sa účinnosť zákona</w:t>
      </w:r>
      <w:r w:rsidR="00EE5B23" w:rsidRPr="00E679A9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="00EE5B23" w:rsidRPr="00E679A9">
        <w:rPr>
          <w:rFonts w:ascii="Book Antiqua" w:hAnsi="Book Antiqua"/>
          <w:sz w:val="22"/>
        </w:rPr>
        <w:t>pätnástym dňom po jeho vyhlásení v Zbierke zákonov</w:t>
      </w:r>
      <w:r w:rsidR="00766C7B">
        <w:rPr>
          <w:rFonts w:ascii="Book Antiqua" w:hAnsi="Book Antiqua"/>
          <w:sz w:val="22"/>
        </w:rPr>
        <w:t>.</w:t>
      </w:r>
    </w:p>
    <w:p w14:paraId="02EB378F" w14:textId="54523AA8" w:rsidR="00D04AD0" w:rsidRDefault="00D04AD0"/>
    <w:sectPr w:rsid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3DE95" w14:textId="77777777" w:rsidR="005A661E" w:rsidRDefault="005A661E" w:rsidP="00C03FC3">
      <w:r>
        <w:separator/>
      </w:r>
    </w:p>
  </w:endnote>
  <w:endnote w:type="continuationSeparator" w:id="0">
    <w:p w14:paraId="3E5ED24E" w14:textId="77777777" w:rsidR="005A661E" w:rsidRDefault="005A661E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F222F" w14:textId="77777777" w:rsidR="005A661E" w:rsidRDefault="005A661E" w:rsidP="00C03FC3">
      <w:r>
        <w:separator/>
      </w:r>
    </w:p>
  </w:footnote>
  <w:footnote w:type="continuationSeparator" w:id="0">
    <w:p w14:paraId="6FB65928" w14:textId="77777777" w:rsidR="005A661E" w:rsidRDefault="005A661E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C3"/>
    <w:rsid w:val="000A6FC3"/>
    <w:rsid w:val="00174846"/>
    <w:rsid w:val="00187F08"/>
    <w:rsid w:val="00202D73"/>
    <w:rsid w:val="00242776"/>
    <w:rsid w:val="0029287F"/>
    <w:rsid w:val="003C5F22"/>
    <w:rsid w:val="003D6D9E"/>
    <w:rsid w:val="00403F29"/>
    <w:rsid w:val="004C177D"/>
    <w:rsid w:val="00535E5C"/>
    <w:rsid w:val="005A661E"/>
    <w:rsid w:val="005A7CF0"/>
    <w:rsid w:val="005D652C"/>
    <w:rsid w:val="00680C3D"/>
    <w:rsid w:val="006A47E1"/>
    <w:rsid w:val="00706753"/>
    <w:rsid w:val="00766C7B"/>
    <w:rsid w:val="0079216E"/>
    <w:rsid w:val="007E1157"/>
    <w:rsid w:val="00842329"/>
    <w:rsid w:val="009F6A28"/>
    <w:rsid w:val="00A20574"/>
    <w:rsid w:val="00A20D3F"/>
    <w:rsid w:val="00C03FC3"/>
    <w:rsid w:val="00C66EB7"/>
    <w:rsid w:val="00CF1DD1"/>
    <w:rsid w:val="00D04AD0"/>
    <w:rsid w:val="00D502F8"/>
    <w:rsid w:val="00EE5B23"/>
    <w:rsid w:val="00FC3FE0"/>
    <w:rsid w:val="00FE273B"/>
    <w:rsid w:val="00FF5AA6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766C7B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75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753"/>
    <w:rPr>
      <w:rFonts w:ascii="Segoe UI" w:eastAsia="Times New Roma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Kotleba, Marek</cp:lastModifiedBy>
  <cp:revision>3</cp:revision>
  <cp:lastPrinted>2021-08-31T06:28:00Z</cp:lastPrinted>
  <dcterms:created xsi:type="dcterms:W3CDTF">2021-08-30T15:24:00Z</dcterms:created>
  <dcterms:modified xsi:type="dcterms:W3CDTF">2021-08-31T06:30:00Z</dcterms:modified>
</cp:coreProperties>
</file>