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6A4A89BB" w14:textId="77777777" w:rsidR="00BA2D0F"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A34D50">
        <w:rPr>
          <w:rFonts w:ascii="Times New Roman" w:eastAsia="Calibri" w:hAnsi="Times New Roman" w:cs="Times New Roman"/>
          <w:b/>
          <w:sz w:val="24"/>
          <w:szCs w:val="24"/>
        </w:rPr>
        <w:t xml:space="preserve"> </w:t>
      </w:r>
      <w:r w:rsidR="00143710" w:rsidRPr="009359CA">
        <w:rPr>
          <w:rFonts w:ascii="Times New Roman" w:hAnsi="Times New Roman" w:cs="Times New Roman"/>
          <w:sz w:val="20"/>
          <w:szCs w:val="20"/>
        </w:rPr>
        <w:t xml:space="preserve">Návrh zákona, </w:t>
      </w:r>
      <w:r w:rsidR="00143710">
        <w:rPr>
          <w:rFonts w:ascii="Times New Roman" w:hAnsi="Times New Roman" w:cs="Times New Roman"/>
          <w:sz w:val="20"/>
          <w:szCs w:val="20"/>
        </w:rPr>
        <w:t xml:space="preserve"> </w:t>
      </w:r>
      <w:r w:rsidR="00143710" w:rsidRPr="007F235F">
        <w:rPr>
          <w:rFonts w:ascii="Times New Roman" w:hAnsi="Times New Roman" w:cs="Times New Roman"/>
          <w:sz w:val="20"/>
          <w:szCs w:val="20"/>
        </w:rPr>
        <w:t xml:space="preserve">ktorým sa mení a dopĺňa zákon č. 302/2019 Z. z. o zálohovaní jednorazových obalov na nápoje a o zmene a doplnení niektorých zákonov v znení neskorších predpisov a o zmene a doplnení niektorých zákonov </w:t>
      </w:r>
    </w:p>
    <w:p w14:paraId="77F96BF6" w14:textId="7C41258D" w:rsidR="00054C41" w:rsidRPr="00A34D50"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A34D50">
        <w:rPr>
          <w:rFonts w:ascii="Times New Roman" w:eastAsia="Calibri" w:hAnsi="Times New Roman" w:cs="Times New Roman"/>
          <w:sz w:val="24"/>
          <w:szCs w:val="24"/>
        </w:rPr>
        <w:t xml:space="preserve"> Ministerstvo životného prostredia SR</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EA7B8D" w:rsidRPr="00895898" w14:paraId="1915EE9C" w14:textId="77777777" w:rsidTr="0000042B">
        <w:tc>
          <w:tcPr>
            <w:tcW w:w="3681" w:type="dxa"/>
          </w:tcPr>
          <w:p w14:paraId="3FBBD35B" w14:textId="77777777" w:rsidR="00EA7B8D" w:rsidRPr="00895898" w:rsidRDefault="00EA7B8D" w:rsidP="00EA7B8D">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vAlign w:val="center"/>
          </w:tcPr>
          <w:p w14:paraId="23A80DDF" w14:textId="21D82BED" w:rsidR="00EA7B8D" w:rsidRPr="00895898" w:rsidRDefault="007344AE" w:rsidP="00EA7B8D">
            <w:pPr>
              <w:jc w:val="center"/>
              <w:rPr>
                <w:rFonts w:ascii="Times New Roman" w:eastAsia="Calibri" w:hAnsi="Times New Roman" w:cs="Times New Roman"/>
                <w:i/>
                <w:sz w:val="20"/>
              </w:rPr>
            </w:pPr>
            <w:r>
              <w:rPr>
                <w:b/>
                <w:bCs/>
                <w:color w:val="000000"/>
                <w:sz w:val="20"/>
                <w:szCs w:val="20"/>
              </w:rPr>
              <w:t>203</w:t>
            </w:r>
          </w:p>
        </w:tc>
        <w:tc>
          <w:tcPr>
            <w:tcW w:w="2693" w:type="dxa"/>
            <w:shd w:val="clear" w:color="auto" w:fill="92D050"/>
            <w:vAlign w:val="center"/>
          </w:tcPr>
          <w:p w14:paraId="0128E641" w14:textId="128819DC" w:rsidR="00EA7B8D" w:rsidRPr="00895898" w:rsidRDefault="00EA7B8D" w:rsidP="00EA7B8D">
            <w:pPr>
              <w:jc w:val="center"/>
              <w:rPr>
                <w:rFonts w:ascii="Times New Roman" w:eastAsia="Calibri" w:hAnsi="Times New Roman" w:cs="Times New Roman"/>
                <w:i/>
                <w:sz w:val="20"/>
              </w:rPr>
            </w:pPr>
            <w:r>
              <w:rPr>
                <w:b/>
                <w:bCs/>
                <w:color w:val="000000"/>
                <w:sz w:val="20"/>
                <w:szCs w:val="20"/>
              </w:rPr>
              <w:t>0</w:t>
            </w:r>
          </w:p>
        </w:tc>
      </w:tr>
      <w:tr w:rsidR="00EA7B8D" w:rsidRPr="00895898" w14:paraId="784F8A51" w14:textId="77777777" w:rsidTr="0000042B">
        <w:tc>
          <w:tcPr>
            <w:tcW w:w="3681" w:type="dxa"/>
          </w:tcPr>
          <w:p w14:paraId="796F837A" w14:textId="77777777" w:rsidR="00EA7B8D" w:rsidRPr="00895898" w:rsidRDefault="00EA7B8D" w:rsidP="00EA7B8D">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vAlign w:val="center"/>
          </w:tcPr>
          <w:p w14:paraId="4613DC7D" w14:textId="3DD3C13E" w:rsidR="00EA7B8D" w:rsidRPr="00895898" w:rsidRDefault="007344AE" w:rsidP="00EA7B8D">
            <w:pPr>
              <w:jc w:val="center"/>
              <w:rPr>
                <w:rFonts w:ascii="Times New Roman" w:eastAsia="Calibri" w:hAnsi="Times New Roman" w:cs="Times New Roman"/>
                <w:b/>
                <w:i/>
                <w:sz w:val="20"/>
              </w:rPr>
            </w:pPr>
            <w:r>
              <w:rPr>
                <w:b/>
                <w:bCs/>
                <w:color w:val="000000"/>
                <w:sz w:val="20"/>
                <w:szCs w:val="20"/>
              </w:rPr>
              <w:t>203</w:t>
            </w:r>
          </w:p>
        </w:tc>
        <w:tc>
          <w:tcPr>
            <w:tcW w:w="2693" w:type="dxa"/>
            <w:shd w:val="clear" w:color="auto" w:fill="92D050"/>
            <w:vAlign w:val="center"/>
          </w:tcPr>
          <w:p w14:paraId="02FE7EB5" w14:textId="48CC2F5D" w:rsidR="00EA7B8D" w:rsidRPr="00895898" w:rsidRDefault="00EA7B8D" w:rsidP="00EA7B8D">
            <w:pPr>
              <w:jc w:val="center"/>
              <w:rPr>
                <w:rFonts w:ascii="Times New Roman" w:eastAsia="Calibri" w:hAnsi="Times New Roman" w:cs="Times New Roman"/>
                <w:b/>
                <w:i/>
                <w:sz w:val="20"/>
              </w:rPr>
            </w:pPr>
            <w:r>
              <w:rPr>
                <w:b/>
                <w:bCs/>
                <w:color w:val="000000"/>
                <w:sz w:val="20"/>
                <w:szCs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EA7B8D" w:rsidRPr="00895898" w14:paraId="5011BAE2" w14:textId="77777777" w:rsidTr="00381FBF">
        <w:tc>
          <w:tcPr>
            <w:tcW w:w="3681" w:type="dxa"/>
          </w:tcPr>
          <w:p w14:paraId="23438493" w14:textId="77777777" w:rsidR="00EA7B8D" w:rsidRPr="00895898" w:rsidRDefault="00EA7B8D" w:rsidP="00EA7B8D">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vAlign w:val="center"/>
          </w:tcPr>
          <w:p w14:paraId="7041BF23" w14:textId="6932357D" w:rsidR="00EA7B8D" w:rsidRPr="00895898" w:rsidRDefault="007344AE" w:rsidP="00EA7B8D">
            <w:pPr>
              <w:jc w:val="center"/>
              <w:rPr>
                <w:rFonts w:ascii="Times New Roman" w:eastAsia="Calibri" w:hAnsi="Times New Roman" w:cs="Times New Roman"/>
                <w:b/>
                <w:bCs/>
                <w:i/>
                <w:sz w:val="20"/>
              </w:rPr>
            </w:pPr>
            <w:r>
              <w:rPr>
                <w:b/>
                <w:bCs/>
                <w:color w:val="000000"/>
                <w:sz w:val="20"/>
                <w:szCs w:val="20"/>
              </w:rPr>
              <w:t>203</w:t>
            </w:r>
          </w:p>
        </w:tc>
        <w:tc>
          <w:tcPr>
            <w:tcW w:w="2693" w:type="dxa"/>
            <w:shd w:val="clear" w:color="auto" w:fill="92D050"/>
            <w:vAlign w:val="center"/>
          </w:tcPr>
          <w:p w14:paraId="254E8359" w14:textId="0AB19033" w:rsidR="00EA7B8D" w:rsidRPr="00895898" w:rsidRDefault="00EA7B8D" w:rsidP="00EA7B8D">
            <w:pPr>
              <w:jc w:val="center"/>
              <w:rPr>
                <w:rFonts w:ascii="Times New Roman" w:eastAsia="Calibri" w:hAnsi="Times New Roman" w:cs="Times New Roman"/>
                <w:b/>
                <w:bCs/>
                <w:i/>
                <w:sz w:val="20"/>
              </w:rPr>
            </w:pPr>
            <w:r>
              <w:rPr>
                <w:b/>
                <w:bCs/>
                <w:color w:val="000000"/>
                <w:sz w:val="20"/>
                <w:szCs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EA7B8D" w:rsidRPr="00895898" w14:paraId="11758B9A" w14:textId="77777777" w:rsidTr="007D6BF2">
        <w:trPr>
          <w:trHeight w:val="612"/>
        </w:trPr>
        <w:tc>
          <w:tcPr>
            <w:tcW w:w="501" w:type="dxa"/>
            <w:vAlign w:val="center"/>
          </w:tcPr>
          <w:p w14:paraId="6F827851" w14:textId="677FEA49"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1</w:t>
            </w:r>
          </w:p>
        </w:tc>
        <w:tc>
          <w:tcPr>
            <w:tcW w:w="3557" w:type="dxa"/>
            <w:shd w:val="clear" w:color="auto" w:fill="auto"/>
            <w:vAlign w:val="center"/>
          </w:tcPr>
          <w:p w14:paraId="7B4E9DA7" w14:textId="314BE071"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Zavedenie povinnosti pre správcu predkladať správu o činnosti.</w:t>
            </w:r>
          </w:p>
        </w:tc>
        <w:tc>
          <w:tcPr>
            <w:tcW w:w="1044" w:type="dxa"/>
            <w:vAlign w:val="center"/>
          </w:tcPr>
          <w:p w14:paraId="120314F8" w14:textId="46EE146F"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Zákon č. 302/2019 Z. z.</w:t>
            </w:r>
          </w:p>
        </w:tc>
        <w:tc>
          <w:tcPr>
            <w:tcW w:w="1129" w:type="dxa"/>
            <w:shd w:val="clear" w:color="auto" w:fill="auto"/>
            <w:vAlign w:val="center"/>
          </w:tcPr>
          <w:p w14:paraId="1B4826F8" w14:textId="3692C7CF"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§7, ods. 1. písm. v)</w:t>
            </w:r>
          </w:p>
        </w:tc>
        <w:tc>
          <w:tcPr>
            <w:tcW w:w="1303" w:type="dxa"/>
            <w:vAlign w:val="center"/>
          </w:tcPr>
          <w:p w14:paraId="3A0BA666" w14:textId="38080FBD" w:rsidR="00EA7B8D" w:rsidRPr="00895898" w:rsidRDefault="00EA7B8D" w:rsidP="00EA7B8D">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6BFB7AA2" w14:textId="2850A0B3" w:rsidR="00EA7B8D" w:rsidRPr="00895898" w:rsidRDefault="00EA7B8D" w:rsidP="00EA7B8D">
            <w:pPr>
              <w:spacing w:after="0" w:line="240" w:lineRule="auto"/>
              <w:rPr>
                <w:rFonts w:ascii="Times New Roman" w:eastAsia="Times New Roman" w:hAnsi="Times New Roman" w:cs="Times New Roman"/>
                <w:color w:val="000000"/>
                <w:sz w:val="20"/>
                <w:szCs w:val="20"/>
                <w:lang w:eastAsia="sk-SK"/>
              </w:rPr>
            </w:pPr>
            <w:r>
              <w:rPr>
                <w:color w:val="000000"/>
                <w:sz w:val="20"/>
                <w:szCs w:val="20"/>
              </w:rPr>
              <w:t>15.11.21</w:t>
            </w:r>
          </w:p>
        </w:tc>
        <w:tc>
          <w:tcPr>
            <w:tcW w:w="1337" w:type="dxa"/>
            <w:vAlign w:val="center"/>
          </w:tcPr>
          <w:p w14:paraId="299C820D" w14:textId="3831C11A"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Správca zálohového systému</w:t>
            </w:r>
          </w:p>
        </w:tc>
        <w:tc>
          <w:tcPr>
            <w:tcW w:w="974" w:type="dxa"/>
            <w:shd w:val="clear" w:color="auto" w:fill="auto"/>
            <w:noWrap/>
            <w:vAlign w:val="center"/>
          </w:tcPr>
          <w:p w14:paraId="74360775" w14:textId="611D021A" w:rsidR="00EA7B8D" w:rsidRPr="006F61B7" w:rsidRDefault="00EA7B8D" w:rsidP="006F61B7">
            <w:pPr>
              <w:spacing w:after="0" w:line="240" w:lineRule="auto"/>
              <w:rPr>
                <w:color w:val="000000"/>
                <w:sz w:val="20"/>
                <w:szCs w:val="20"/>
              </w:rPr>
            </w:pPr>
            <w:r>
              <w:rPr>
                <w:color w:val="000000"/>
                <w:sz w:val="20"/>
                <w:szCs w:val="20"/>
              </w:rPr>
              <w:t xml:space="preserve">1 </w:t>
            </w:r>
          </w:p>
        </w:tc>
        <w:tc>
          <w:tcPr>
            <w:tcW w:w="974" w:type="dxa"/>
            <w:shd w:val="clear" w:color="auto" w:fill="auto"/>
            <w:noWrap/>
            <w:vAlign w:val="center"/>
          </w:tcPr>
          <w:p w14:paraId="57C9126E" w14:textId="47A15C58" w:rsidR="00EA7B8D" w:rsidRPr="00895898" w:rsidRDefault="00EA7B8D" w:rsidP="00EA7B8D">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57D4FAC6" w14:textId="14607C1B"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191</w:t>
            </w:r>
          </w:p>
        </w:tc>
        <w:tc>
          <w:tcPr>
            <w:tcW w:w="992" w:type="dxa"/>
            <w:shd w:val="clear" w:color="auto" w:fill="auto"/>
            <w:noWrap/>
            <w:vAlign w:val="center"/>
          </w:tcPr>
          <w:p w14:paraId="20A55E97" w14:textId="5485CD02" w:rsidR="00EA7B8D" w:rsidRPr="00895898" w:rsidRDefault="00EA7B8D" w:rsidP="00EA7B8D">
            <w:pPr>
              <w:spacing w:after="0" w:line="240" w:lineRule="auto"/>
              <w:rPr>
                <w:rFonts w:ascii="Times New Roman" w:eastAsia="Times New Roman" w:hAnsi="Times New Roman" w:cs="Times New Roman"/>
                <w:color w:val="000000"/>
                <w:sz w:val="20"/>
                <w:szCs w:val="20"/>
                <w:lang w:eastAsia="sk-SK"/>
              </w:rPr>
            </w:pPr>
            <w:r>
              <w:rPr>
                <w:color w:val="000000"/>
                <w:sz w:val="20"/>
                <w:szCs w:val="20"/>
              </w:rPr>
              <w:t>191</w:t>
            </w:r>
          </w:p>
        </w:tc>
        <w:tc>
          <w:tcPr>
            <w:tcW w:w="1134" w:type="dxa"/>
            <w:vAlign w:val="center"/>
          </w:tcPr>
          <w:p w14:paraId="032A8679" w14:textId="2C169E38"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7344AE" w:rsidRPr="00895898" w14:paraId="3E85FB6C" w14:textId="77777777" w:rsidTr="003C4F5F">
        <w:trPr>
          <w:trHeight w:val="600"/>
        </w:trPr>
        <w:tc>
          <w:tcPr>
            <w:tcW w:w="501" w:type="dxa"/>
            <w:vAlign w:val="center"/>
          </w:tcPr>
          <w:p w14:paraId="65795CE6" w14:textId="25536DFA"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2</w:t>
            </w:r>
          </w:p>
        </w:tc>
        <w:tc>
          <w:tcPr>
            <w:tcW w:w="3557" w:type="dxa"/>
            <w:shd w:val="clear" w:color="auto" w:fill="auto"/>
            <w:vAlign w:val="center"/>
          </w:tcPr>
          <w:p w14:paraId="7BEDDF1C" w14:textId="0CAED3DC"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Povinnosť správcu viesť transparentný účet</w:t>
            </w:r>
          </w:p>
        </w:tc>
        <w:tc>
          <w:tcPr>
            <w:tcW w:w="1044" w:type="dxa"/>
            <w:vAlign w:val="center"/>
          </w:tcPr>
          <w:p w14:paraId="6F95232A" w14:textId="2A024FB4"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Zákon č. 302/2019 Z. z.</w:t>
            </w:r>
          </w:p>
        </w:tc>
        <w:tc>
          <w:tcPr>
            <w:tcW w:w="1129" w:type="dxa"/>
            <w:shd w:val="clear" w:color="auto" w:fill="auto"/>
            <w:vAlign w:val="center"/>
          </w:tcPr>
          <w:p w14:paraId="4772F4F9" w14:textId="35B86962"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§7, ods. 1. písm. w)</w:t>
            </w:r>
          </w:p>
        </w:tc>
        <w:tc>
          <w:tcPr>
            <w:tcW w:w="1303" w:type="dxa"/>
            <w:vAlign w:val="center"/>
          </w:tcPr>
          <w:p w14:paraId="202CD1E5" w14:textId="7EAFA8E4" w:rsidR="007344AE" w:rsidRPr="00895898" w:rsidRDefault="007344AE" w:rsidP="007344AE">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727D0512" w14:textId="33EF404B" w:rsidR="007344AE" w:rsidRPr="00895898" w:rsidRDefault="007344AE" w:rsidP="007344AE">
            <w:pPr>
              <w:spacing w:after="0" w:line="240" w:lineRule="auto"/>
              <w:rPr>
                <w:rFonts w:ascii="Times New Roman" w:eastAsia="Times New Roman" w:hAnsi="Times New Roman" w:cs="Times New Roman"/>
                <w:color w:val="000000"/>
                <w:sz w:val="20"/>
                <w:szCs w:val="20"/>
                <w:lang w:eastAsia="sk-SK"/>
              </w:rPr>
            </w:pPr>
            <w:r>
              <w:rPr>
                <w:color w:val="000000"/>
                <w:sz w:val="20"/>
                <w:szCs w:val="20"/>
              </w:rPr>
              <w:t>15.11.21</w:t>
            </w:r>
          </w:p>
        </w:tc>
        <w:tc>
          <w:tcPr>
            <w:tcW w:w="1337" w:type="dxa"/>
            <w:vAlign w:val="center"/>
          </w:tcPr>
          <w:p w14:paraId="41387D4C" w14:textId="7C8254AF"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Správca zálohového systému</w:t>
            </w:r>
          </w:p>
        </w:tc>
        <w:tc>
          <w:tcPr>
            <w:tcW w:w="974" w:type="dxa"/>
            <w:shd w:val="clear" w:color="auto" w:fill="auto"/>
            <w:noWrap/>
            <w:vAlign w:val="center"/>
          </w:tcPr>
          <w:p w14:paraId="2F2BACE5" w14:textId="2EF7BCCE"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39949054" w14:textId="7112EECB" w:rsidR="007344AE" w:rsidRPr="00895898" w:rsidRDefault="007344AE" w:rsidP="007344AE">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1371B6C4" w14:textId="7E5FD847" w:rsidR="007344AE" w:rsidRPr="00895898" w:rsidRDefault="007344AE" w:rsidP="007344AE">
            <w:pPr>
              <w:spacing w:after="0" w:line="240" w:lineRule="auto"/>
              <w:rPr>
                <w:rFonts w:ascii="Times New Roman" w:eastAsia="Times New Roman" w:hAnsi="Times New Roman" w:cs="Times New Roman"/>
                <w:color w:val="000000"/>
                <w:sz w:val="20"/>
                <w:szCs w:val="20"/>
                <w:lang w:eastAsia="sk-SK"/>
              </w:rPr>
            </w:pPr>
            <w:r>
              <w:rPr>
                <w:color w:val="000000"/>
                <w:sz w:val="20"/>
                <w:szCs w:val="20"/>
              </w:rPr>
              <w:t>12</w:t>
            </w:r>
          </w:p>
        </w:tc>
        <w:tc>
          <w:tcPr>
            <w:tcW w:w="992" w:type="dxa"/>
            <w:shd w:val="clear" w:color="auto" w:fill="auto"/>
            <w:noWrap/>
            <w:vAlign w:val="center"/>
          </w:tcPr>
          <w:p w14:paraId="0C7D454A" w14:textId="3DF929C8" w:rsidR="007344AE" w:rsidRPr="00895898" w:rsidRDefault="007344AE" w:rsidP="007344AE">
            <w:pPr>
              <w:spacing w:after="0" w:line="240" w:lineRule="auto"/>
              <w:rPr>
                <w:rFonts w:ascii="Times New Roman" w:eastAsia="Times New Roman" w:hAnsi="Times New Roman" w:cs="Times New Roman"/>
                <w:color w:val="000000"/>
                <w:sz w:val="20"/>
                <w:szCs w:val="20"/>
                <w:lang w:eastAsia="sk-SK"/>
              </w:rPr>
            </w:pPr>
            <w:r>
              <w:rPr>
                <w:color w:val="000000"/>
                <w:sz w:val="20"/>
                <w:szCs w:val="20"/>
              </w:rPr>
              <w:t>12</w:t>
            </w:r>
          </w:p>
        </w:tc>
        <w:tc>
          <w:tcPr>
            <w:tcW w:w="1134" w:type="dxa"/>
            <w:vAlign w:val="center"/>
          </w:tcPr>
          <w:p w14:paraId="3CD7D152" w14:textId="1AC4BF97"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62820C2" w14:textId="708D1D08" w:rsidR="00054C41" w:rsidRPr="00D8247C" w:rsidRDefault="00E10C63"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Novým ustanovením sú z pravidiel pre zálohovanie vyňaté tie obaly, ktoré sú poskytované prepravcami v rámci osobnej dopravy, ktoré sú poskytované v bezcolnej zóne a tie, ktoré sú vyvážané, pričom je vývoz potvrdený colným vyhlásením.</w:t>
      </w:r>
      <w:r w:rsidR="005B05E1">
        <w:rPr>
          <w:rFonts w:ascii="Times New Roman" w:eastAsia="Calibri" w:hAnsi="Times New Roman" w:cs="Times New Roman"/>
          <w:i/>
          <w:sz w:val="24"/>
          <w:szCs w:val="24"/>
        </w:rPr>
        <w:t xml:space="preserve"> </w:t>
      </w:r>
      <w:r w:rsidR="00A94A26">
        <w:rPr>
          <w:rFonts w:ascii="Times New Roman" w:eastAsia="Calibri" w:hAnsi="Times New Roman" w:cs="Times New Roman"/>
          <w:i/>
          <w:sz w:val="24"/>
          <w:szCs w:val="24"/>
        </w:rPr>
        <w:t>Konkurencieschopnosť podnikov, ktoré neposkytujú služby v medzinárodnom priestore, je tak nižšia.</w:t>
      </w:r>
      <w:r w:rsidR="005B05E1">
        <w:rPr>
          <w:rFonts w:ascii="Times New Roman" w:eastAsia="Calibri" w:hAnsi="Times New Roman" w:cs="Times New Roman"/>
          <w:i/>
          <w:sz w:val="24"/>
          <w:szCs w:val="24"/>
        </w:rPr>
        <w:t xml:space="preserve"> </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1AC689F" w:rsidR="00054C41" w:rsidRPr="00D8247C" w:rsidRDefault="005764E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06535045"/>
        </w:sdtPr>
        <w:sdtEndPr/>
        <w:sdtContent>
          <w:r w:rsidR="007378EE">
            <w:rPr>
              <w:rFonts w:ascii="Segoe UI Symbol" w:eastAsia="Calibri" w:hAnsi="Segoe UI Symbol" w:cs="Segoe UI Symbol"/>
              <w:i/>
              <w:sz w:val="24"/>
              <w:szCs w:val="24"/>
            </w:rPr>
            <w:t>☒</w:t>
          </w:r>
        </w:sdtContent>
      </w:sdt>
      <w:r w:rsidR="007378EE">
        <w:rPr>
          <w:rFonts w:ascii="Times New Roman" w:eastAsia="Calibri" w:hAnsi="Times New Roman" w:cs="Times New Roman"/>
          <w:i/>
          <w:sz w:val="24"/>
          <w:szCs w:val="24"/>
        </w:rPr>
        <w:t xml:space="preserve"> </w:t>
      </w:r>
      <w:sdt>
        <w:sdtPr>
          <w:rPr>
            <w:rFonts w:ascii="Times New Roman" w:eastAsia="Calibri" w:hAnsi="Times New Roman" w:cs="Times New Roman"/>
            <w:i/>
            <w:sz w:val="24"/>
            <w:szCs w:val="24"/>
          </w:rPr>
          <w:id w:val="-474604883"/>
          <w:showingPlcHdr/>
        </w:sdtPr>
        <w:sdtEndPr/>
        <w:sdtContent>
          <w:r w:rsidR="00FC6D6D">
            <w:rPr>
              <w:rFonts w:ascii="Times New Roman" w:eastAsia="Calibri" w:hAnsi="Times New Roman" w:cs="Times New Roman"/>
              <w:i/>
              <w:sz w:val="24"/>
              <w:szCs w:val="24"/>
            </w:rPr>
            <w:t xml:space="preserve">     </w:t>
          </w:r>
        </w:sdtContent>
      </w:sdt>
      <w:r w:rsidR="00054C41" w:rsidRPr="00D8247C">
        <w:rPr>
          <w:rFonts w:ascii="Times New Roman" w:eastAsia="Calibri" w:hAnsi="Times New Roman" w:cs="Times New Roman"/>
          <w:i/>
          <w:sz w:val="24"/>
          <w:szCs w:val="24"/>
        </w:rPr>
        <w:t>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5764E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59019A26" w:rsidR="00054C41" w:rsidRDefault="007378EE" w:rsidP="00054C41">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zákona definuje aj nové správne delikty a prislúchajúce sankcie, avšak nepredpokladá sa, že by správca neplnil predpísané povinnosti, a teda sa nepredpokladá ani ich udeľovanie.</w:t>
      </w:r>
    </w:p>
    <w:p w14:paraId="2D839446" w14:textId="77777777" w:rsidR="007378EE" w:rsidRPr="00895898" w:rsidRDefault="007378EE" w:rsidP="00054C41">
      <w:pPr>
        <w:spacing w:after="0"/>
        <w:jc w:val="both"/>
        <w:rPr>
          <w:rFonts w:ascii="Times New Roman" w:eastAsia="Calibri" w:hAnsi="Times New Roman" w:cs="Times New Roman"/>
          <w:i/>
          <w:color w:val="0070C0"/>
        </w:rPr>
      </w:pPr>
    </w:p>
    <w:p w14:paraId="649A51BF"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0F88BAA5"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5AEC6038"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4087FF96"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15856B4D"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207EEF60"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496C1D1E"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53DDFE85"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4ADD13CA"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0E405424"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65F59013"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3D66AEAD"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7AE5BB9E"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5315A83E"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23FA59DA"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3963E98D"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231D5D21"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65730406"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1822EF75"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59A89901"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0C6DCD70"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0B689F47"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5BED6FB5"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309979D9"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4BD43C66"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00EBC785"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3744520F"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15BC27A7"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33BC8641"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2AD4665E"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36D3304F"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4053F9CE"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p>
    <w:p w14:paraId="48690EE9" w14:textId="77777777" w:rsidR="00884723" w:rsidRDefault="00884723" w:rsidP="00054C41">
      <w:pPr>
        <w:spacing w:after="0" w:line="240" w:lineRule="auto"/>
        <w:jc w:val="center"/>
        <w:rPr>
          <w:rFonts w:ascii="Times New Roman" w:eastAsia="Times New Roman" w:hAnsi="Times New Roman" w:cs="Times New Roman"/>
          <w:b/>
          <w:sz w:val="28"/>
          <w:szCs w:val="28"/>
          <w:lang w:eastAsia="sk-SK"/>
        </w:rPr>
      </w:pPr>
      <w:bookmarkStart w:id="1" w:name="_GoBack"/>
      <w:bookmarkEnd w:id="1"/>
    </w:p>
    <w:sectPr w:rsidR="008847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03924" w14:textId="77777777" w:rsidR="005764ED" w:rsidRDefault="005764ED" w:rsidP="00054C41">
      <w:pPr>
        <w:spacing w:after="0" w:line="240" w:lineRule="auto"/>
      </w:pPr>
      <w:r>
        <w:separator/>
      </w:r>
    </w:p>
  </w:endnote>
  <w:endnote w:type="continuationSeparator" w:id="0">
    <w:p w14:paraId="28D6C205" w14:textId="77777777" w:rsidR="005764ED" w:rsidRDefault="005764ED"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437AC88F"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84723">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1CC0A" w14:textId="77777777" w:rsidR="005764ED" w:rsidRDefault="005764ED" w:rsidP="00054C41">
      <w:pPr>
        <w:spacing w:after="0" w:line="240" w:lineRule="auto"/>
      </w:pPr>
      <w:r>
        <w:separator/>
      </w:r>
    </w:p>
  </w:footnote>
  <w:footnote w:type="continuationSeparator" w:id="0">
    <w:p w14:paraId="788A0298" w14:textId="77777777" w:rsidR="005764ED" w:rsidRDefault="005764ED"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43710"/>
    <w:rsid w:val="001503B3"/>
    <w:rsid w:val="00181836"/>
    <w:rsid w:val="001B4C03"/>
    <w:rsid w:val="001D1083"/>
    <w:rsid w:val="001D16FC"/>
    <w:rsid w:val="001D3FA0"/>
    <w:rsid w:val="001E53CB"/>
    <w:rsid w:val="00225A83"/>
    <w:rsid w:val="00270EA5"/>
    <w:rsid w:val="00340CFD"/>
    <w:rsid w:val="0038255E"/>
    <w:rsid w:val="00391648"/>
    <w:rsid w:val="0039304E"/>
    <w:rsid w:val="003E58B8"/>
    <w:rsid w:val="003F06D7"/>
    <w:rsid w:val="00445638"/>
    <w:rsid w:val="00446432"/>
    <w:rsid w:val="004D20CB"/>
    <w:rsid w:val="005764ED"/>
    <w:rsid w:val="005B05E1"/>
    <w:rsid w:val="006F61B7"/>
    <w:rsid w:val="007259CB"/>
    <w:rsid w:val="007344AE"/>
    <w:rsid w:val="007378EE"/>
    <w:rsid w:val="0077106D"/>
    <w:rsid w:val="007B2A16"/>
    <w:rsid w:val="007B40FB"/>
    <w:rsid w:val="007E24B2"/>
    <w:rsid w:val="008634E9"/>
    <w:rsid w:val="008801B5"/>
    <w:rsid w:val="00884723"/>
    <w:rsid w:val="008B4AA1"/>
    <w:rsid w:val="008C1C71"/>
    <w:rsid w:val="008E7640"/>
    <w:rsid w:val="00923C0C"/>
    <w:rsid w:val="009847E6"/>
    <w:rsid w:val="009A4D56"/>
    <w:rsid w:val="009A6223"/>
    <w:rsid w:val="009C3348"/>
    <w:rsid w:val="009E09F7"/>
    <w:rsid w:val="00A000DA"/>
    <w:rsid w:val="00A1736E"/>
    <w:rsid w:val="00A34D50"/>
    <w:rsid w:val="00A94A26"/>
    <w:rsid w:val="00B66E33"/>
    <w:rsid w:val="00BA2D0F"/>
    <w:rsid w:val="00BD0EF7"/>
    <w:rsid w:val="00C21399"/>
    <w:rsid w:val="00C560C4"/>
    <w:rsid w:val="00C6748F"/>
    <w:rsid w:val="00D005F2"/>
    <w:rsid w:val="00D31249"/>
    <w:rsid w:val="00D510BE"/>
    <w:rsid w:val="00D631FA"/>
    <w:rsid w:val="00D82356"/>
    <w:rsid w:val="00D84EEE"/>
    <w:rsid w:val="00D90A61"/>
    <w:rsid w:val="00DF02CE"/>
    <w:rsid w:val="00E030DA"/>
    <w:rsid w:val="00E10C63"/>
    <w:rsid w:val="00EA7B8D"/>
    <w:rsid w:val="00EB2BEC"/>
    <w:rsid w:val="00EC0704"/>
    <w:rsid w:val="00ED6B5D"/>
    <w:rsid w:val="00EE4C99"/>
    <w:rsid w:val="00F74FC9"/>
    <w:rsid w:val="00FC6D6D"/>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B5C708-E152-491C-BB9C-5B182D13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Švedlárová Gabriela</cp:lastModifiedBy>
  <cp:revision>3</cp:revision>
  <cp:lastPrinted>2021-08-26T10:37:00Z</cp:lastPrinted>
  <dcterms:created xsi:type="dcterms:W3CDTF">2021-08-13T06:51:00Z</dcterms:created>
  <dcterms:modified xsi:type="dcterms:W3CDTF">2021-08-26T10:37:00Z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