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97C" w:rsidRDefault="0079697C" w:rsidP="000E559D">
      <w:pPr>
        <w:jc w:val="center"/>
      </w:pPr>
    </w:p>
    <w:p w:rsidR="0079697C" w:rsidRDefault="0079697C" w:rsidP="0079697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(návrh)</w:t>
      </w:r>
    </w:p>
    <w:p w:rsidR="0079697C" w:rsidRDefault="0079697C" w:rsidP="0079697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VYHLÁŠKA</w:t>
      </w:r>
    </w:p>
    <w:p w:rsidR="0079697C" w:rsidRDefault="0079697C" w:rsidP="0079697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Ministerstva školstva, vedy, výskumu a športu Slovenskej republiky</w:t>
      </w:r>
    </w:p>
    <w:p w:rsidR="0079697C" w:rsidRPr="0079697C" w:rsidRDefault="0079697C" w:rsidP="0079697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 .... 2021</w:t>
      </w:r>
    </w:p>
    <w:p w:rsidR="00DD3E96" w:rsidRPr="0079697C" w:rsidRDefault="00DD3E96" w:rsidP="000E559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9697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 zariadeniach poradenstva a</w:t>
      </w:r>
      <w:r w:rsidR="0079697C" w:rsidRPr="0079697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79697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prevencie</w:t>
      </w:r>
    </w:p>
    <w:p w:rsidR="0079697C" w:rsidRDefault="0079697C" w:rsidP="007969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školstva, vedy, výskumu a športu Slovenskej republiky (ďalej len „ministerstvo školstva“) podľa § 133 ods. 1 zákona č. 245/2008 Z. z. o výchove a vzdelávaní (školský zákon) a o zmene a doplnení niektorých zákonov v znení zákona č. .../2021 Z. z. (ďalej len „zákon“) ustanovuje:</w:t>
      </w:r>
    </w:p>
    <w:p w:rsidR="0079697C" w:rsidRPr="0079697C" w:rsidRDefault="0079697C" w:rsidP="000E559D">
      <w:pPr>
        <w:jc w:val="center"/>
        <w:rPr>
          <w:b/>
        </w:rPr>
      </w:pPr>
    </w:p>
    <w:p w:rsidR="0079697C" w:rsidRPr="00497640" w:rsidRDefault="0079697C" w:rsidP="0079697C">
      <w:pPr>
        <w:tabs>
          <w:tab w:val="left" w:pos="284"/>
        </w:tabs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640">
        <w:rPr>
          <w:rFonts w:ascii="Times New Roman" w:hAnsi="Times New Roman" w:cs="Times New Roman"/>
          <w:b/>
          <w:sz w:val="24"/>
          <w:szCs w:val="24"/>
        </w:rPr>
        <w:t xml:space="preserve">§ 1 </w:t>
      </w:r>
    </w:p>
    <w:p w:rsidR="0079697C" w:rsidRDefault="0079697C" w:rsidP="0079697C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úpravy</w:t>
      </w:r>
    </w:p>
    <w:p w:rsidR="0079697C" w:rsidRPr="002A17CF" w:rsidRDefault="0079697C" w:rsidP="00CA46DE">
      <w:pPr>
        <w:pStyle w:val="Odsekzoznamu"/>
        <w:spacing w:before="120" w:after="120" w:line="240" w:lineRule="auto"/>
        <w:ind w:left="448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Táto vyhláška upravuje podrobnosti </w:t>
      </w:r>
      <w:r w:rsidRPr="002A17CF">
        <w:rPr>
          <w:rFonts w:ascii="Times New Roman" w:eastAsia="Times New Roman" w:hAnsi="Times New Roman" w:cs="Times New Roman"/>
          <w:sz w:val="20"/>
          <w:szCs w:val="20"/>
          <w:lang w:eastAsia="sk-SK"/>
        </w:rPr>
        <w:t>o </w:t>
      </w:r>
      <w:r w:rsidR="002A17CF" w:rsidRPr="00F53629">
        <w:rPr>
          <w:rFonts w:ascii="Times New Roman" w:hAnsi="Times New Roman" w:cs="Times New Roman"/>
          <w:bCs/>
          <w:sz w:val="24"/>
          <w:szCs w:val="24"/>
        </w:rPr>
        <w:t>činnosti a vnútornej organizácii zariadení poradenstva. a prevencie.</w:t>
      </w:r>
    </w:p>
    <w:p w:rsidR="0079697C" w:rsidRDefault="0079697C" w:rsidP="002A17CF">
      <w:pPr>
        <w:spacing w:before="120" w:after="120" w:line="240" w:lineRule="auto"/>
        <w:jc w:val="center"/>
      </w:pPr>
    </w:p>
    <w:p w:rsidR="002A17CF" w:rsidRPr="009F44B7" w:rsidRDefault="002A17CF" w:rsidP="002A17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44B7">
        <w:rPr>
          <w:rFonts w:ascii="Times New Roman" w:hAnsi="Times New Roman" w:cs="Times New Roman"/>
          <w:b/>
          <w:sz w:val="24"/>
        </w:rPr>
        <w:t>Činnosť zariadení poradenstva a prevencie</w:t>
      </w:r>
    </w:p>
    <w:p w:rsidR="0079697C" w:rsidRPr="00497640" w:rsidRDefault="0079697C" w:rsidP="004D7B3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640">
        <w:rPr>
          <w:rFonts w:ascii="Times New Roman" w:hAnsi="Times New Roman"/>
          <w:b/>
          <w:sz w:val="24"/>
          <w:szCs w:val="24"/>
        </w:rPr>
        <w:t>§ 2</w:t>
      </w:r>
    </w:p>
    <w:p w:rsidR="000C41AA" w:rsidRPr="00F40925" w:rsidRDefault="00270E09" w:rsidP="00F4092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41AA" w:rsidDel="00270E09">
        <w:rPr>
          <w:rFonts w:ascii="Times New Roman" w:hAnsi="Times New Roman"/>
          <w:b/>
          <w:sz w:val="24"/>
          <w:szCs w:val="24"/>
        </w:rPr>
        <w:t xml:space="preserve"> </w:t>
      </w:r>
      <w:r w:rsidR="000C41AA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(1) Centrum poradenstva a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C41AA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prevencie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ktorého zriaďovateľ je regionálny úrad školskej správy, </w:t>
      </w:r>
      <w:r w:rsidR="002A17CF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poskytuje činnosti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C41AA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v rámci územnej pôsobnosti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A17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príslušného 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regionálneho úradu školskej správy</w:t>
      </w:r>
      <w:r w:rsidR="000C41AA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13</w:t>
      </w:r>
      <w:r w:rsidR="00027F06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0C41AA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ods. 4 a</w:t>
      </w:r>
      <w:r w:rsidR="00664E1C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664E1C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</w:t>
      </w:r>
    </w:p>
    <w:p w:rsidR="000C41AA" w:rsidRPr="00F40925" w:rsidRDefault="000C41AA" w:rsidP="009B5F9B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a) deťom od narodenia do prijatia na predprimárne vzdelávanie s adresou bydliska v</w:t>
      </w:r>
      <w:r w:rsid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územnej</w:t>
      </w:r>
      <w:r w:rsid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pôsobnosti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regionálneho úradu školskej správy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0C41AA" w:rsidRPr="00F40925" w:rsidRDefault="000C41AA" w:rsidP="009B5F9B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b) deťom od prijatia na predprimárne vzdelávanie a žiakom do ukončenia prípravy na povolanie v</w:t>
      </w:r>
      <w:r w:rsid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školách, ktoré sa nachádzajú v územnej pôsobnosti 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regionálneho úradu školskej správy,</w:t>
      </w:r>
    </w:p>
    <w:p w:rsidR="000C41AA" w:rsidRPr="00F40925" w:rsidRDefault="000C41AA" w:rsidP="009B5F9B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c) zákonným zástupcom detí a žiakov podľa písmen a) a b),</w:t>
      </w:r>
    </w:p>
    <w:p w:rsidR="000C41AA" w:rsidRPr="00F40925" w:rsidRDefault="000C41AA" w:rsidP="009B5F9B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d) pedagogickým zamestnancom</w:t>
      </w:r>
      <w:r w:rsidR="00027F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odborným zamestnancom a školským podporným tímom 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škôl v územnej pôsobnosti príslušného 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regionálneho úradu školskej správy.</w:t>
      </w:r>
      <w:r w:rsidR="002B06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D2C3A" w:rsidRPr="00F40925" w:rsidRDefault="00ED2C3A" w:rsidP="00F409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Ak v zriaďovateľskej pôsobnosti príslušného regionálneho úradu školskej správy </w:t>
      </w:r>
      <w:r w:rsidR="002B062E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nevykonáva </w:t>
      </w:r>
      <w:r w:rsidR="002B06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odbornú </w:t>
      </w:r>
      <w:r w:rsidR="002B062E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činnosť</w:t>
      </w:r>
      <w:r w:rsidR="002B06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0" w:name="_Hlk76650987"/>
      <w:r w:rsidR="002B062E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nevyhnutnú na zabezpečenie starostlivosti</w:t>
      </w:r>
      <w:r w:rsidR="002B06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E43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</w:t>
      </w:r>
      <w:r w:rsidR="00FE43E8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dieťa </w:t>
      </w:r>
      <w:bookmarkEnd w:id="0"/>
      <w:r w:rsidR="00FE43E8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žiadne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centrum poradenstva a prevencie</w:t>
      </w:r>
      <w:r w:rsidR="002B062E">
        <w:rPr>
          <w:rFonts w:ascii="Times New Roman" w:eastAsia="Times New Roman" w:hAnsi="Times New Roman" w:cs="Times New Roman"/>
          <w:sz w:val="24"/>
          <w:szCs w:val="24"/>
          <w:lang w:eastAsia="sk-SK"/>
        </w:rPr>
        <w:t>, odbornú a poradenskú činnosť</w:t>
      </w:r>
      <w:r w:rsidR="00FE43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E43E8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nevyhnutnú na zabezpečenie starostlivosti</w:t>
      </w:r>
      <w:r w:rsidR="00FE43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r w:rsidR="00FE43E8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dieťa</w:t>
      </w:r>
      <w:r w:rsidR="002B06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91C8C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>uje</w:t>
      </w:r>
      <w:r w:rsidR="00F91C8C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iné centrum poradenstva a prevencie mimo územnej pôsobnosti príslušného regionálneho úradu školskej správy, ktoré požiada plnoleté dieťa</w:t>
      </w:r>
      <w:r w:rsidR="005478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zákonný zástupca neplnoletého dieťaťa 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zástupca zariadenia, v ktorom sa vykonáva ústavná starostlivosť, výchovné opatrenie, predbežné opatrenie alebo ochranná výchova, výkon väzby alebo výkon trestu odňatia slobody.</w:t>
      </w:r>
    </w:p>
    <w:p w:rsidR="00582CE5" w:rsidRPr="00F40925" w:rsidRDefault="00582CE5" w:rsidP="005478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</w:t>
      </w:r>
      <w:r w:rsidR="00285672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664E1C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Centrum poradenstva a prevencie, ktorého zriaďovateľ je štátom uznaná cirkev alebo náboženská spoločnosť alebo iná právnická osoba alebo fyzická osoba </w:t>
      </w:r>
      <w:r w:rsidR="002A17CF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poskytuje činnosti</w:t>
      </w:r>
      <w:r w:rsidR="00664E1C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ods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>ekov</w:t>
      </w:r>
      <w:r w:rsidR="00664E1C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</w:t>
      </w:r>
      <w:r w:rsidR="00ED2C3A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2.</w:t>
      </w:r>
    </w:p>
    <w:p w:rsidR="00582CE5" w:rsidRPr="00F40925" w:rsidRDefault="00F53629" w:rsidP="005478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0925" w:rsidDel="00F536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285672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>Š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pecializované centr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>um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poradenstva a prevencie poskytuj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činnosť podľa § 13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6 </w:t>
      </w:r>
      <w:r w:rsidR="00664E1C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>v rámci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91C8C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územi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F91C8C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82CE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Slovenskej republiky. </w:t>
      </w:r>
    </w:p>
    <w:p w:rsidR="00ED2C3A" w:rsidRDefault="00ED2C3A" w:rsidP="0054785E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285672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) Plnoleté</w:t>
      </w:r>
      <w:r w:rsidR="0054785E">
        <w:rPr>
          <w:rFonts w:ascii="Times New Roman" w:eastAsia="Times New Roman" w:hAnsi="Times New Roman" w:cs="Times New Roman"/>
          <w:sz w:val="24"/>
          <w:szCs w:val="24"/>
          <w:lang w:eastAsia="sk-SK"/>
        </w:rPr>
        <w:t>mu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dieťa</w:t>
      </w:r>
      <w:r w:rsidR="0054785E">
        <w:rPr>
          <w:rFonts w:ascii="Times New Roman" w:eastAsia="Times New Roman" w:hAnsi="Times New Roman" w:cs="Times New Roman"/>
          <w:sz w:val="24"/>
          <w:szCs w:val="24"/>
          <w:lang w:eastAsia="sk-SK"/>
        </w:rPr>
        <w:t>ťu, zákonnému zástupcovi neplnoletého dieťaťa a 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</w:t>
      </w:r>
      <w:r w:rsidR="005478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ovi </w:t>
      </w:r>
      <w:r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zariadenia, v ktorom sa vykonáva ústavná starostlivosť, výchovné opatrenie, predbežné opatrenie alebo ochranná výchova, výkon väzby alebo výkon trestu odňatia s</w:t>
      </w:r>
      <w:r w:rsidR="00F40925" w:rsidRPr="00F40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lobody 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poskytuje činnosti</w:t>
      </w:r>
      <w:r w:rsidR="005478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131 ods. 1 až 6 zariadenie </w:t>
      </w:r>
      <w:r w:rsidR="0054785E">
        <w:rPr>
          <w:rFonts w:ascii="Times New Roman" w:eastAsia="Times New Roman" w:hAnsi="Times New Roman" w:cs="Times New Roman"/>
          <w:sz w:val="24"/>
          <w:szCs w:val="24"/>
          <w:lang w:eastAsia="sk-SK"/>
        </w:rPr>
        <w:t>poradenstva a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54785E">
        <w:rPr>
          <w:rFonts w:ascii="Times New Roman" w:eastAsia="Times New Roman" w:hAnsi="Times New Roman" w:cs="Times New Roman"/>
          <w:sz w:val="24"/>
          <w:szCs w:val="24"/>
          <w:lang w:eastAsia="sk-SK"/>
        </w:rPr>
        <w:t>prevencie</w:t>
      </w:r>
      <w:r w:rsidR="00F91C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vlastného výberu</w:t>
      </w:r>
      <w:r w:rsidR="005478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F40925" w:rsidRDefault="00F40925" w:rsidP="00F409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31BAA" w:rsidRDefault="00831BAA" w:rsidP="002F16F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6F7" w:rsidRPr="00497640" w:rsidRDefault="002F16F7" w:rsidP="002F16F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640">
        <w:rPr>
          <w:rFonts w:ascii="Times New Roman" w:hAnsi="Times New Roman"/>
          <w:b/>
          <w:sz w:val="24"/>
          <w:szCs w:val="24"/>
        </w:rPr>
        <w:t xml:space="preserve">§ </w:t>
      </w:r>
      <w:r w:rsidR="00CA46DE">
        <w:rPr>
          <w:rFonts w:ascii="Times New Roman" w:hAnsi="Times New Roman"/>
          <w:b/>
          <w:sz w:val="24"/>
          <w:szCs w:val="24"/>
        </w:rPr>
        <w:t>3</w:t>
      </w:r>
    </w:p>
    <w:p w:rsidR="00497640" w:rsidRDefault="00497640" w:rsidP="00497640">
      <w:pPr>
        <w:jc w:val="both"/>
        <w:rPr>
          <w:rFonts w:ascii="Times New Roman" w:hAnsi="Times New Roman"/>
          <w:sz w:val="24"/>
          <w:szCs w:val="24"/>
        </w:rPr>
      </w:pPr>
      <w:r w:rsidRPr="00497640">
        <w:rPr>
          <w:rFonts w:ascii="Times New Roman" w:hAnsi="Times New Roman"/>
          <w:sz w:val="24"/>
          <w:szCs w:val="24"/>
        </w:rPr>
        <w:t>(</w:t>
      </w:r>
      <w:r w:rsidR="009B5F9B">
        <w:rPr>
          <w:rFonts w:ascii="Times New Roman" w:hAnsi="Times New Roman"/>
          <w:sz w:val="24"/>
          <w:szCs w:val="24"/>
        </w:rPr>
        <w:t>1</w:t>
      </w:r>
      <w:r w:rsidRPr="00497640">
        <w:rPr>
          <w:rFonts w:ascii="Times New Roman" w:hAnsi="Times New Roman"/>
          <w:sz w:val="24"/>
          <w:szCs w:val="24"/>
        </w:rPr>
        <w:t>) Centrum poradenstva a prevencie metodicky usmerňuje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640">
        <w:rPr>
          <w:rFonts w:ascii="Times New Roman" w:hAnsi="Times New Roman"/>
          <w:sz w:val="24"/>
          <w:szCs w:val="24"/>
        </w:rPr>
        <w:t>činnosti</w:t>
      </w:r>
      <w:r>
        <w:rPr>
          <w:rFonts w:ascii="Times New Roman" w:hAnsi="Times New Roman"/>
          <w:sz w:val="24"/>
          <w:szCs w:val="24"/>
        </w:rPr>
        <w:t xml:space="preserve"> pedagogických zamestnancov a odborných zamestnancov v školách </w:t>
      </w:r>
      <w:r w:rsidR="00532FB5">
        <w:rPr>
          <w:rFonts w:ascii="Times New Roman" w:hAnsi="Times New Roman"/>
          <w:sz w:val="24"/>
          <w:szCs w:val="24"/>
        </w:rPr>
        <w:t xml:space="preserve"> a školských zariadeniach </w:t>
      </w:r>
      <w:r>
        <w:rPr>
          <w:rFonts w:ascii="Times New Roman" w:hAnsi="Times New Roman"/>
          <w:sz w:val="24"/>
          <w:szCs w:val="24"/>
        </w:rPr>
        <w:t xml:space="preserve">a školský podporný tím. </w:t>
      </w:r>
    </w:p>
    <w:p w:rsidR="00532FB5" w:rsidRPr="00497640" w:rsidRDefault="00532FB5" w:rsidP="004976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9B5F9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Špecializované c</w:t>
      </w:r>
      <w:r w:rsidRPr="00497640">
        <w:rPr>
          <w:rFonts w:ascii="Times New Roman" w:hAnsi="Times New Roman"/>
          <w:sz w:val="24"/>
          <w:szCs w:val="24"/>
        </w:rPr>
        <w:t xml:space="preserve">entrum poradenstva a prevencie </w:t>
      </w:r>
      <w:r>
        <w:rPr>
          <w:rFonts w:ascii="Times New Roman" w:hAnsi="Times New Roman"/>
          <w:sz w:val="24"/>
          <w:szCs w:val="24"/>
        </w:rPr>
        <w:t>spravidla</w:t>
      </w:r>
      <w:r w:rsidRPr="00497640">
        <w:rPr>
          <w:rFonts w:ascii="Times New Roman" w:hAnsi="Times New Roman"/>
          <w:sz w:val="24"/>
          <w:szCs w:val="24"/>
        </w:rPr>
        <w:t xml:space="preserve"> metodicky usmerňuje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640">
        <w:rPr>
          <w:rFonts w:ascii="Times New Roman" w:hAnsi="Times New Roman"/>
          <w:sz w:val="24"/>
          <w:szCs w:val="24"/>
        </w:rPr>
        <w:t>činnos</w:t>
      </w:r>
      <w:r>
        <w:rPr>
          <w:rFonts w:ascii="Times New Roman" w:hAnsi="Times New Roman"/>
          <w:sz w:val="24"/>
          <w:szCs w:val="24"/>
        </w:rPr>
        <w:t xml:space="preserve">ť </w:t>
      </w:r>
      <w:r w:rsidRPr="00F53629">
        <w:rPr>
          <w:rFonts w:ascii="Times New Roman" w:hAnsi="Times New Roman"/>
          <w:sz w:val="24"/>
          <w:szCs w:val="24"/>
        </w:rPr>
        <w:t xml:space="preserve">centier poradenstva a prevencie </w:t>
      </w:r>
      <w:r w:rsidR="00A51DE2" w:rsidRPr="00F53629">
        <w:rPr>
          <w:rFonts w:ascii="Times New Roman" w:hAnsi="Times New Roman"/>
          <w:sz w:val="24"/>
          <w:szCs w:val="24"/>
        </w:rPr>
        <w:t>a pedagogických zamestnancov a odborných zamestnancov v školách  a školských zariadeniach a školský podporný tím</w:t>
      </w:r>
      <w:r w:rsidR="00A51DE2" w:rsidRPr="00F53629" w:rsidDel="00FE43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 špeciálnych pedagógov v školách a školských zariadeniach v oblasti </w:t>
      </w:r>
      <w:r w:rsidRPr="00532FB5">
        <w:rPr>
          <w:rFonts w:ascii="Times New Roman" w:hAnsi="Times New Roman"/>
          <w:sz w:val="24"/>
          <w:szCs w:val="24"/>
        </w:rPr>
        <w:t>svojej špecializácie</w:t>
      </w:r>
      <w:r>
        <w:rPr>
          <w:rFonts w:ascii="Times New Roman" w:hAnsi="Times New Roman"/>
          <w:sz w:val="24"/>
          <w:szCs w:val="24"/>
        </w:rPr>
        <w:t>.</w:t>
      </w:r>
    </w:p>
    <w:p w:rsidR="00497640" w:rsidRDefault="00497640" w:rsidP="00DE606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6069" w:rsidRDefault="00DE6069" w:rsidP="0049764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CA46DE">
        <w:rPr>
          <w:rFonts w:ascii="Times New Roman" w:hAnsi="Times New Roman"/>
          <w:b/>
          <w:sz w:val="24"/>
          <w:szCs w:val="24"/>
        </w:rPr>
        <w:t>4</w:t>
      </w:r>
    </w:p>
    <w:p w:rsidR="00831BAA" w:rsidRDefault="00FC052C" w:rsidP="005478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7640" w:rsidDel="00FC052C">
        <w:rPr>
          <w:rFonts w:ascii="Times New Roman" w:hAnsi="Times New Roman"/>
          <w:b/>
          <w:sz w:val="24"/>
          <w:szCs w:val="24"/>
        </w:rPr>
        <w:t xml:space="preserve"> </w:t>
      </w:r>
      <w:r w:rsidR="00DE6069" w:rsidRPr="00DE6069">
        <w:rPr>
          <w:rFonts w:ascii="Times New Roman" w:hAnsi="Times New Roman"/>
          <w:sz w:val="24"/>
          <w:szCs w:val="24"/>
        </w:rPr>
        <w:t xml:space="preserve">(1) </w:t>
      </w:r>
      <w:r w:rsidR="00CA46DE">
        <w:rPr>
          <w:rFonts w:ascii="Times New Roman" w:hAnsi="Times New Roman"/>
          <w:sz w:val="24"/>
          <w:szCs w:val="24"/>
        </w:rPr>
        <w:t>Zariadenie poradenstva a prevencie</w:t>
      </w:r>
      <w:r w:rsidR="00DE6069" w:rsidRPr="00DE6069">
        <w:rPr>
          <w:rFonts w:ascii="Times New Roman" w:hAnsi="Times New Roman"/>
          <w:sz w:val="24"/>
          <w:szCs w:val="24"/>
        </w:rPr>
        <w:t xml:space="preserve"> </w:t>
      </w:r>
      <w:r w:rsidR="00CA46DE">
        <w:rPr>
          <w:rFonts w:ascii="Times New Roman" w:hAnsi="Times New Roman"/>
          <w:sz w:val="24"/>
          <w:szCs w:val="24"/>
        </w:rPr>
        <w:t xml:space="preserve">poskytuje dieťaťu alebo žiakovi, ak si to vyžaduje záujem dieťaťa alebo žiaka, </w:t>
      </w:r>
      <w:r w:rsidR="00DE6069" w:rsidRPr="00DE6069">
        <w:rPr>
          <w:rFonts w:ascii="Times New Roman" w:hAnsi="Times New Roman"/>
          <w:sz w:val="24"/>
          <w:szCs w:val="24"/>
        </w:rPr>
        <w:t>odborné činnosti a</w:t>
      </w:r>
      <w:r w:rsidR="009B5F9B">
        <w:rPr>
          <w:rFonts w:ascii="Times New Roman" w:hAnsi="Times New Roman"/>
          <w:sz w:val="24"/>
          <w:szCs w:val="24"/>
        </w:rPr>
        <w:t>lebo</w:t>
      </w:r>
      <w:r w:rsidR="00DE6069">
        <w:rPr>
          <w:rFonts w:ascii="Times New Roman" w:hAnsi="Times New Roman"/>
          <w:sz w:val="24"/>
          <w:szCs w:val="24"/>
        </w:rPr>
        <w:t> </w:t>
      </w:r>
      <w:r w:rsidR="00DE6069" w:rsidRPr="00DE6069">
        <w:rPr>
          <w:rFonts w:ascii="Times New Roman" w:hAnsi="Times New Roman"/>
          <w:sz w:val="24"/>
          <w:szCs w:val="24"/>
        </w:rPr>
        <w:t>poradenské</w:t>
      </w:r>
      <w:r w:rsidR="00DE6069">
        <w:rPr>
          <w:rFonts w:ascii="Times New Roman" w:hAnsi="Times New Roman"/>
          <w:sz w:val="24"/>
          <w:szCs w:val="24"/>
        </w:rPr>
        <w:t xml:space="preserve"> </w:t>
      </w:r>
      <w:r w:rsidR="00DE6069" w:rsidRPr="00DE6069">
        <w:rPr>
          <w:rFonts w:ascii="Times New Roman" w:hAnsi="Times New Roman"/>
          <w:sz w:val="24"/>
          <w:szCs w:val="24"/>
        </w:rPr>
        <w:t xml:space="preserve">činnosti </w:t>
      </w:r>
      <w:r w:rsidR="00CA46DE">
        <w:rPr>
          <w:rFonts w:ascii="Times New Roman" w:hAnsi="Times New Roman"/>
          <w:sz w:val="24"/>
          <w:szCs w:val="24"/>
        </w:rPr>
        <w:t> na odporúčanie</w:t>
      </w:r>
      <w:r w:rsidR="009B5F9B">
        <w:rPr>
          <w:rFonts w:ascii="Times New Roman" w:hAnsi="Times New Roman"/>
          <w:sz w:val="24"/>
          <w:szCs w:val="24"/>
        </w:rPr>
        <w:t xml:space="preserve"> </w:t>
      </w:r>
      <w:r w:rsidR="00CA46DE" w:rsidRPr="00CA46DE">
        <w:rPr>
          <w:rFonts w:ascii="Times New Roman" w:hAnsi="Times New Roman"/>
          <w:sz w:val="24"/>
          <w:szCs w:val="24"/>
        </w:rPr>
        <w:t>škol</w:t>
      </w:r>
      <w:r w:rsidR="00CA46DE">
        <w:rPr>
          <w:rFonts w:ascii="Times New Roman" w:hAnsi="Times New Roman"/>
          <w:sz w:val="24"/>
          <w:szCs w:val="24"/>
        </w:rPr>
        <w:t>y</w:t>
      </w:r>
      <w:r w:rsidR="00CA46DE" w:rsidRPr="00CA46DE">
        <w:rPr>
          <w:rFonts w:ascii="Times New Roman" w:hAnsi="Times New Roman"/>
          <w:sz w:val="24"/>
          <w:szCs w:val="24"/>
        </w:rPr>
        <w:t xml:space="preserve"> alebo školské</w:t>
      </w:r>
      <w:r w:rsidR="00CA46DE">
        <w:rPr>
          <w:rFonts w:ascii="Times New Roman" w:hAnsi="Times New Roman"/>
          <w:sz w:val="24"/>
          <w:szCs w:val="24"/>
        </w:rPr>
        <w:t>ho</w:t>
      </w:r>
      <w:r w:rsidR="00CA46DE" w:rsidRPr="00CA46DE">
        <w:rPr>
          <w:rFonts w:ascii="Times New Roman" w:hAnsi="Times New Roman"/>
          <w:sz w:val="24"/>
          <w:szCs w:val="24"/>
        </w:rPr>
        <w:t xml:space="preserve"> výchovno-vzdelávacie</w:t>
      </w:r>
      <w:r w:rsidR="00CA46DE">
        <w:rPr>
          <w:rFonts w:ascii="Times New Roman" w:hAnsi="Times New Roman"/>
          <w:sz w:val="24"/>
          <w:szCs w:val="24"/>
        </w:rPr>
        <w:t>ho</w:t>
      </w:r>
      <w:r w:rsidR="00CA46DE" w:rsidRPr="00CA46DE">
        <w:rPr>
          <w:rFonts w:ascii="Times New Roman" w:hAnsi="Times New Roman"/>
          <w:sz w:val="24"/>
          <w:szCs w:val="24"/>
        </w:rPr>
        <w:t xml:space="preserve"> zariadeni</w:t>
      </w:r>
      <w:r w:rsidR="00CA46DE">
        <w:rPr>
          <w:rFonts w:ascii="Times New Roman" w:hAnsi="Times New Roman"/>
          <w:sz w:val="24"/>
          <w:szCs w:val="24"/>
        </w:rPr>
        <w:t>a zákonnému zástupcovi dieťaťa alebo žiaka.</w:t>
      </w:r>
    </w:p>
    <w:p w:rsidR="00DE6069" w:rsidRPr="00DE6069" w:rsidRDefault="00DE6069" w:rsidP="005478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6069">
        <w:rPr>
          <w:rFonts w:ascii="Times New Roman" w:hAnsi="Times New Roman"/>
          <w:sz w:val="24"/>
          <w:szCs w:val="24"/>
        </w:rPr>
        <w:t xml:space="preserve">(2) </w:t>
      </w:r>
      <w:r w:rsidR="00497640">
        <w:rPr>
          <w:rFonts w:ascii="Times New Roman" w:hAnsi="Times New Roman"/>
          <w:sz w:val="24"/>
          <w:szCs w:val="24"/>
        </w:rPr>
        <w:t xml:space="preserve">Zariadenie poradenstva a prevencie </w:t>
      </w:r>
      <w:r w:rsidRPr="00DE6069">
        <w:rPr>
          <w:rFonts w:ascii="Times New Roman" w:hAnsi="Times New Roman"/>
          <w:sz w:val="24"/>
          <w:szCs w:val="24"/>
        </w:rPr>
        <w:t>poskytuje odborné činnosti a poradenské činnosti na základe</w:t>
      </w:r>
    </w:p>
    <w:p w:rsidR="00DE6069" w:rsidRPr="00DE6069" w:rsidRDefault="00DE6069" w:rsidP="009B5F9B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E6069">
        <w:rPr>
          <w:rFonts w:ascii="Times New Roman" w:hAnsi="Times New Roman"/>
          <w:sz w:val="24"/>
          <w:szCs w:val="24"/>
        </w:rPr>
        <w:t>a) žiadosti plnoletého dieťaťa,</w:t>
      </w:r>
    </w:p>
    <w:p w:rsidR="00DE6069" w:rsidRPr="00DE6069" w:rsidRDefault="00DE6069" w:rsidP="009B5F9B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E6069">
        <w:rPr>
          <w:rFonts w:ascii="Times New Roman" w:hAnsi="Times New Roman"/>
          <w:sz w:val="24"/>
          <w:szCs w:val="24"/>
        </w:rPr>
        <w:t>b) žiadosti zákonného zástupcu alebo zástupcu zariadenia</w:t>
      </w:r>
      <w:r w:rsidR="00CA46DE">
        <w:rPr>
          <w:rFonts w:ascii="Times New Roman" w:hAnsi="Times New Roman"/>
          <w:sz w:val="24"/>
          <w:szCs w:val="24"/>
        </w:rPr>
        <w:t>,</w:t>
      </w:r>
    </w:p>
    <w:p w:rsidR="00DE6069" w:rsidRPr="00DE6069" w:rsidRDefault="00DE6069" w:rsidP="009B5F9B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E6069">
        <w:rPr>
          <w:rFonts w:ascii="Times New Roman" w:hAnsi="Times New Roman"/>
          <w:sz w:val="24"/>
          <w:szCs w:val="24"/>
        </w:rPr>
        <w:t>c) žiadosti školy alebo školského výchovno-vzdelávacieho zariadenia, ak ide o</w:t>
      </w:r>
      <w:r w:rsidR="00831BAA">
        <w:rPr>
          <w:rFonts w:ascii="Times New Roman" w:hAnsi="Times New Roman"/>
          <w:sz w:val="24"/>
          <w:szCs w:val="24"/>
        </w:rPr>
        <w:t> </w:t>
      </w:r>
      <w:r w:rsidRPr="00DE6069">
        <w:rPr>
          <w:rFonts w:ascii="Times New Roman" w:hAnsi="Times New Roman"/>
          <w:sz w:val="24"/>
          <w:szCs w:val="24"/>
        </w:rPr>
        <w:t>preventívnu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 xml:space="preserve">činnosť, metodickú činnosť, vzdelávaciu činnosť alebo o </w:t>
      </w:r>
      <w:proofErr w:type="spellStart"/>
      <w:r w:rsidRPr="00DE6069">
        <w:rPr>
          <w:rFonts w:ascii="Times New Roman" w:hAnsi="Times New Roman"/>
          <w:sz w:val="24"/>
          <w:szCs w:val="24"/>
        </w:rPr>
        <w:t>supervíznu</w:t>
      </w:r>
      <w:proofErr w:type="spellEnd"/>
      <w:r w:rsidRPr="00DE6069">
        <w:rPr>
          <w:rFonts w:ascii="Times New Roman" w:hAnsi="Times New Roman"/>
          <w:sz w:val="24"/>
          <w:szCs w:val="24"/>
        </w:rPr>
        <w:t xml:space="preserve"> činnosť alebo</w:t>
      </w:r>
    </w:p>
    <w:p w:rsidR="00831BAA" w:rsidRDefault="00DE6069" w:rsidP="009B5F9B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E6069">
        <w:rPr>
          <w:rFonts w:ascii="Times New Roman" w:hAnsi="Times New Roman"/>
          <w:sz w:val="24"/>
          <w:szCs w:val="24"/>
        </w:rPr>
        <w:t>d) rozhodnutia orgánu verejnej moci podľa osobitného predpisu.</w:t>
      </w:r>
    </w:p>
    <w:p w:rsidR="00DE6069" w:rsidRPr="00DE6069" w:rsidRDefault="00DE6069" w:rsidP="005478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6069">
        <w:rPr>
          <w:rFonts w:ascii="Times New Roman" w:hAnsi="Times New Roman"/>
          <w:sz w:val="24"/>
          <w:szCs w:val="24"/>
        </w:rPr>
        <w:t>(3) Odborné činnosti a poradenské činnosti, ktoré sa poskytujú vo vzťahu k dieťaťu, možno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>poskytnúť len na základe vopred daného informovaného súhlasu jeho zákonného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>zástupcu, zástupcu zariadenia alebo plnoletého dieťaťa. Informovaný súhlas obsahuje v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>zrozumiteľnej forme</w:t>
      </w:r>
    </w:p>
    <w:p w:rsidR="00DE6069" w:rsidRPr="00DE6069" w:rsidRDefault="00DE6069" w:rsidP="005478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6069">
        <w:rPr>
          <w:rFonts w:ascii="Times New Roman" w:hAnsi="Times New Roman"/>
          <w:sz w:val="24"/>
          <w:szCs w:val="24"/>
        </w:rPr>
        <w:t>a) informácie o potrebnej odbornej činnosti, najmä o</w:t>
      </w:r>
      <w:r w:rsidR="00F96568">
        <w:rPr>
          <w:rFonts w:ascii="Times New Roman" w:hAnsi="Times New Roman"/>
          <w:sz w:val="24"/>
          <w:szCs w:val="24"/>
        </w:rPr>
        <w:t xml:space="preserve"> jej </w:t>
      </w:r>
      <w:r w:rsidRPr="00DE6069">
        <w:rPr>
          <w:rFonts w:ascii="Times New Roman" w:hAnsi="Times New Roman"/>
          <w:sz w:val="24"/>
          <w:szCs w:val="24"/>
        </w:rPr>
        <w:t>povahe, rozsahu, trvaní, cieľoch a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>postupoch,</w:t>
      </w:r>
    </w:p>
    <w:p w:rsidR="00DE6069" w:rsidRPr="00DE6069" w:rsidRDefault="00DE6069" w:rsidP="005478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6069">
        <w:rPr>
          <w:rFonts w:ascii="Times New Roman" w:hAnsi="Times New Roman"/>
          <w:sz w:val="24"/>
          <w:szCs w:val="24"/>
        </w:rPr>
        <w:lastRenderedPageBreak/>
        <w:t>b) predvídateľné dôsledky, ktoré môžu vyplynúť z poskytovania odbornej činnosti a</w:t>
      </w:r>
      <w:r w:rsidR="00F96568">
        <w:rPr>
          <w:rFonts w:ascii="Times New Roman" w:hAnsi="Times New Roman"/>
          <w:sz w:val="24"/>
          <w:szCs w:val="24"/>
        </w:rPr>
        <w:t>lebo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>poradenskej činnosti a možné následky</w:t>
      </w:r>
      <w:r w:rsidR="00F96568">
        <w:rPr>
          <w:rFonts w:ascii="Times New Roman" w:hAnsi="Times New Roman"/>
          <w:sz w:val="24"/>
          <w:szCs w:val="24"/>
        </w:rPr>
        <w:t xml:space="preserve"> ich neposkytnutia</w:t>
      </w:r>
      <w:r w:rsidRPr="00DE6069">
        <w:rPr>
          <w:rFonts w:ascii="Times New Roman" w:hAnsi="Times New Roman"/>
          <w:sz w:val="24"/>
          <w:szCs w:val="24"/>
        </w:rPr>
        <w:t xml:space="preserve"> a</w:t>
      </w:r>
    </w:p>
    <w:p w:rsidR="00831BAA" w:rsidRDefault="00DE6069" w:rsidP="005478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6069">
        <w:rPr>
          <w:rFonts w:ascii="Times New Roman" w:hAnsi="Times New Roman"/>
          <w:sz w:val="24"/>
          <w:szCs w:val="24"/>
        </w:rPr>
        <w:t>c) informácie o právach a povinnostiach dieťaťa alebo zákonného zástupcu spojených s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>poskytovaním odbornej činnosti a</w:t>
      </w:r>
      <w:r w:rsidR="00F96568">
        <w:rPr>
          <w:rFonts w:ascii="Times New Roman" w:hAnsi="Times New Roman"/>
          <w:sz w:val="24"/>
          <w:szCs w:val="24"/>
        </w:rPr>
        <w:t>lebo</w:t>
      </w:r>
      <w:r w:rsidRPr="00DE6069">
        <w:rPr>
          <w:rFonts w:ascii="Times New Roman" w:hAnsi="Times New Roman"/>
          <w:sz w:val="24"/>
          <w:szCs w:val="24"/>
        </w:rPr>
        <w:t xml:space="preserve"> poradenskej činnosti.</w:t>
      </w:r>
    </w:p>
    <w:p w:rsidR="00DE6069" w:rsidRPr="00DE6069" w:rsidRDefault="00DE6069" w:rsidP="005478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6069">
        <w:rPr>
          <w:rFonts w:ascii="Times New Roman" w:hAnsi="Times New Roman"/>
          <w:sz w:val="24"/>
          <w:szCs w:val="24"/>
        </w:rPr>
        <w:t>(4) Odborné činnosti a poradenské činnosti sa vykonávajú ambulantne alebo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>v prirodzenom prostredí dieťaťa</w:t>
      </w:r>
      <w:r w:rsidR="00497640">
        <w:rPr>
          <w:rFonts w:ascii="Times New Roman" w:hAnsi="Times New Roman"/>
          <w:sz w:val="24"/>
          <w:szCs w:val="24"/>
        </w:rPr>
        <w:t xml:space="preserve">, spravidla </w:t>
      </w:r>
      <w:r w:rsidRPr="00DE6069">
        <w:rPr>
          <w:rFonts w:ascii="Times New Roman" w:hAnsi="Times New Roman"/>
          <w:sz w:val="24"/>
          <w:szCs w:val="24"/>
        </w:rPr>
        <w:t>v rodine, škole alebo v školskom zariadení alebo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>formou krátkodobého pobytu v špecializovanom centre poradenstva a prevencie, ktorého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>dĺžka nepresiahne päť pracovných dní.</w:t>
      </w:r>
    </w:p>
    <w:p w:rsidR="00DE6069" w:rsidRDefault="00DE6069" w:rsidP="005478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6069">
        <w:rPr>
          <w:rFonts w:ascii="Times New Roman" w:hAnsi="Times New Roman"/>
          <w:sz w:val="24"/>
          <w:szCs w:val="24"/>
        </w:rPr>
        <w:t>(5) Odborná činnosť a poradenská činnosť sa na základe žiadosti podľa odseku 2 písm. a)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>alebo písm. b) začne poskytovať</w:t>
      </w:r>
      <w:r w:rsidR="007A1F93">
        <w:rPr>
          <w:rFonts w:ascii="Times New Roman" w:hAnsi="Times New Roman"/>
          <w:sz w:val="24"/>
          <w:szCs w:val="24"/>
        </w:rPr>
        <w:t xml:space="preserve"> v termíne  určenom v</w:t>
      </w:r>
      <w:r w:rsidR="004E668F">
        <w:rPr>
          <w:rFonts w:ascii="Times New Roman" w:hAnsi="Times New Roman"/>
          <w:sz w:val="24"/>
          <w:szCs w:val="24"/>
        </w:rPr>
        <w:t xml:space="preserve">o výkonových a </w:t>
      </w:r>
      <w:r w:rsidR="00A51DE2">
        <w:rPr>
          <w:rFonts w:ascii="Times New Roman" w:hAnsi="Times New Roman"/>
          <w:sz w:val="24"/>
          <w:szCs w:val="24"/>
        </w:rPr>
        <w:t>obsahových štandardoch</w:t>
      </w:r>
      <w:r w:rsidRPr="00DE6069">
        <w:rPr>
          <w:rFonts w:ascii="Times New Roman" w:hAnsi="Times New Roman"/>
          <w:sz w:val="24"/>
          <w:szCs w:val="24"/>
        </w:rPr>
        <w:t>; v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>situácii ohrozujúcej zdravie alebo bezpečnosť sa poskytuje bezodkladne po prijatí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 xml:space="preserve">žiadosti. Ak </w:t>
      </w:r>
      <w:r w:rsidR="00497640">
        <w:rPr>
          <w:rFonts w:ascii="Times New Roman" w:hAnsi="Times New Roman"/>
          <w:sz w:val="24"/>
          <w:szCs w:val="24"/>
        </w:rPr>
        <w:t xml:space="preserve">zariadenie poradenstva a prevencie </w:t>
      </w:r>
      <w:r w:rsidRPr="00DE6069">
        <w:rPr>
          <w:rFonts w:ascii="Times New Roman" w:hAnsi="Times New Roman"/>
          <w:sz w:val="24"/>
          <w:szCs w:val="24"/>
        </w:rPr>
        <w:t>z prevádzkových dôvodov nedokáže poskytnúť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DE6069">
        <w:rPr>
          <w:rFonts w:ascii="Times New Roman" w:hAnsi="Times New Roman"/>
          <w:sz w:val="24"/>
          <w:szCs w:val="24"/>
        </w:rPr>
        <w:t xml:space="preserve">potrebnú činnosť v lehote podľa prvej vety, je povinné o tom </w:t>
      </w:r>
      <w:r w:rsidR="00497640" w:rsidRPr="00DE6069">
        <w:rPr>
          <w:rFonts w:ascii="Times New Roman" w:hAnsi="Times New Roman"/>
          <w:sz w:val="24"/>
          <w:szCs w:val="24"/>
        </w:rPr>
        <w:t>bezodkladne</w:t>
      </w:r>
      <w:r w:rsidRPr="00DE6069">
        <w:rPr>
          <w:rFonts w:ascii="Times New Roman" w:hAnsi="Times New Roman"/>
          <w:sz w:val="24"/>
          <w:szCs w:val="24"/>
        </w:rPr>
        <w:t xml:space="preserve"> informovať žiadateľa.</w:t>
      </w:r>
    </w:p>
    <w:p w:rsidR="00CA46DE" w:rsidRDefault="00CA46DE" w:rsidP="00CA46D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46DE" w:rsidRPr="009F44B7" w:rsidRDefault="00CA46DE" w:rsidP="00CA46D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4B7">
        <w:rPr>
          <w:rFonts w:ascii="Times New Roman" w:hAnsi="Times New Roman"/>
          <w:b/>
          <w:sz w:val="24"/>
          <w:szCs w:val="24"/>
        </w:rPr>
        <w:t>Vnútorná organizácia zariadení poradenstva a prevencie</w:t>
      </w:r>
    </w:p>
    <w:p w:rsidR="00FC052C" w:rsidRPr="009F44B7" w:rsidRDefault="00CA46DE" w:rsidP="00CA46D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r w:rsidRPr="009F44B7">
        <w:rPr>
          <w:rFonts w:ascii="Times New Roman" w:hAnsi="Times New Roman"/>
          <w:b/>
          <w:sz w:val="24"/>
          <w:szCs w:val="24"/>
        </w:rPr>
        <w:t>§ 5</w:t>
      </w:r>
    </w:p>
    <w:bookmarkEnd w:id="1"/>
    <w:p w:rsidR="00FC052C" w:rsidRDefault="00FC052C" w:rsidP="009B5F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0925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Odbornými zamestnancami zariadenia poradenstva a prevencie podľa § 130 ods. 6 zákona sú najmenej dvaja psychológovia, dvaja špeciálni pedagógovia a jeden liečebný pedagóg, sociálny pedagóg alebo logopéd. </w:t>
      </w:r>
    </w:p>
    <w:p w:rsidR="00FC052C" w:rsidRDefault="00FC052C" w:rsidP="00FC05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Centrum poradenstva a prevencie sa môže členiť na oddelenia. </w:t>
      </w:r>
    </w:p>
    <w:p w:rsidR="00FC052C" w:rsidRDefault="00FC052C" w:rsidP="009B5F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Odbornými zamestnancami špecializovaného centra poradenstva a prevencie podľa § 130 ods. 6 zákona sú najmenej jeden psychológ, jeden špeciálny pedagóg  a jeden liečebný pedagóg, sociálny pedagóg alebo logopéd.</w:t>
      </w:r>
      <w:r w:rsidRPr="00FC052C">
        <w:t xml:space="preserve"> </w:t>
      </w:r>
    </w:p>
    <w:p w:rsidR="00FC052C" w:rsidRDefault="009B5F9B" w:rsidP="00FC05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052C">
        <w:rPr>
          <w:rFonts w:ascii="Times New Roman" w:hAnsi="Times New Roman"/>
          <w:sz w:val="24"/>
          <w:szCs w:val="24"/>
        </w:rPr>
        <w:t>(4) Špecializované c</w:t>
      </w:r>
      <w:r w:rsidR="00FC052C" w:rsidRPr="00831BAA">
        <w:rPr>
          <w:rFonts w:ascii="Times New Roman" w:hAnsi="Times New Roman"/>
          <w:sz w:val="24"/>
          <w:szCs w:val="24"/>
        </w:rPr>
        <w:t xml:space="preserve">entrum poradenstva </w:t>
      </w:r>
      <w:r w:rsidR="00FC052C">
        <w:rPr>
          <w:rFonts w:ascii="Times New Roman" w:hAnsi="Times New Roman"/>
          <w:sz w:val="24"/>
          <w:szCs w:val="24"/>
        </w:rPr>
        <w:t xml:space="preserve">a prevencie </w:t>
      </w:r>
      <w:r w:rsidR="00FC052C" w:rsidRPr="00831BAA">
        <w:rPr>
          <w:rFonts w:ascii="Times New Roman" w:hAnsi="Times New Roman"/>
          <w:sz w:val="24"/>
          <w:szCs w:val="24"/>
        </w:rPr>
        <w:t>sa môže členiť na úseky podľa hlavného zamerania ich činnosti, napríklad úsek raného poradenstva, úsek psychologickej činnosti, úsek sociálnej činnosti, alebo na úseky podľa druhu zdravotného postihnutia alebo vývinových porúch.</w:t>
      </w:r>
    </w:p>
    <w:p w:rsidR="00FC052C" w:rsidRDefault="00FC052C" w:rsidP="00FC05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Špecializované c</w:t>
      </w:r>
      <w:r w:rsidRPr="00831BAA">
        <w:rPr>
          <w:rFonts w:ascii="Times New Roman" w:hAnsi="Times New Roman"/>
          <w:sz w:val="24"/>
          <w:szCs w:val="24"/>
        </w:rPr>
        <w:t xml:space="preserve">entrum poradenstva </w:t>
      </w:r>
      <w:r>
        <w:rPr>
          <w:rFonts w:ascii="Times New Roman" w:hAnsi="Times New Roman"/>
          <w:sz w:val="24"/>
          <w:szCs w:val="24"/>
        </w:rPr>
        <w:t xml:space="preserve">a prevencie </w:t>
      </w:r>
      <w:r w:rsidRPr="00831BAA">
        <w:rPr>
          <w:rFonts w:ascii="Times New Roman" w:hAnsi="Times New Roman"/>
          <w:sz w:val="24"/>
          <w:szCs w:val="24"/>
        </w:rPr>
        <w:t>sa môže špecializovať len na jeden druh zdravotného postihnutia alebo vývinovej poruchy.</w:t>
      </w:r>
    </w:p>
    <w:p w:rsidR="00FC052C" w:rsidRPr="00DE6069" w:rsidRDefault="00FC052C" w:rsidP="00CA46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</w:t>
      </w:r>
      <w:r w:rsidRPr="00497640">
        <w:rPr>
          <w:rFonts w:ascii="Times New Roman" w:hAnsi="Times New Roman"/>
          <w:sz w:val="24"/>
          <w:szCs w:val="24"/>
        </w:rPr>
        <w:t xml:space="preserve">Na zabezpečovaní činností zariadenia </w:t>
      </w:r>
      <w:r>
        <w:rPr>
          <w:rFonts w:ascii="Times New Roman" w:hAnsi="Times New Roman"/>
          <w:sz w:val="24"/>
          <w:szCs w:val="24"/>
        </w:rPr>
        <w:t xml:space="preserve">poradenstva a prevencie </w:t>
      </w:r>
      <w:r w:rsidRPr="00497640">
        <w:rPr>
          <w:rFonts w:ascii="Times New Roman" w:hAnsi="Times New Roman"/>
          <w:sz w:val="24"/>
          <w:szCs w:val="24"/>
        </w:rPr>
        <w:t xml:space="preserve">sa môžu podieľať aj ďalší odborní zamestnanci. </w:t>
      </w:r>
    </w:p>
    <w:p w:rsidR="00F40925" w:rsidRDefault="00F40925" w:rsidP="00F409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069" w:rsidRPr="00831BAA" w:rsidRDefault="00DE6069" w:rsidP="00831BAA">
      <w:pPr>
        <w:jc w:val="center"/>
        <w:rPr>
          <w:rFonts w:ascii="Times New Roman" w:hAnsi="Times New Roman"/>
          <w:b/>
          <w:sz w:val="24"/>
          <w:szCs w:val="24"/>
        </w:rPr>
      </w:pPr>
      <w:r w:rsidRPr="00831BAA">
        <w:rPr>
          <w:rFonts w:ascii="Times New Roman" w:hAnsi="Times New Roman"/>
          <w:b/>
          <w:sz w:val="24"/>
          <w:szCs w:val="24"/>
        </w:rPr>
        <w:t xml:space="preserve">§ </w:t>
      </w:r>
      <w:r w:rsidR="00285672">
        <w:rPr>
          <w:rFonts w:ascii="Times New Roman" w:hAnsi="Times New Roman"/>
          <w:b/>
          <w:sz w:val="24"/>
          <w:szCs w:val="24"/>
        </w:rPr>
        <w:t>6</w:t>
      </w:r>
    </w:p>
    <w:p w:rsidR="00831BAA" w:rsidRDefault="00DE6069" w:rsidP="0054785E">
      <w:pPr>
        <w:jc w:val="both"/>
        <w:rPr>
          <w:rFonts w:ascii="Times New Roman" w:hAnsi="Times New Roman"/>
          <w:sz w:val="24"/>
          <w:szCs w:val="24"/>
        </w:rPr>
      </w:pPr>
      <w:r w:rsidRPr="00831BAA">
        <w:rPr>
          <w:rFonts w:ascii="Times New Roman" w:hAnsi="Times New Roman"/>
          <w:sz w:val="24"/>
          <w:szCs w:val="24"/>
        </w:rPr>
        <w:t xml:space="preserve">Na zabezpečenie plnenia svojich </w:t>
      </w:r>
      <w:r w:rsidR="00831BAA">
        <w:rPr>
          <w:rFonts w:ascii="Times New Roman" w:hAnsi="Times New Roman"/>
          <w:sz w:val="24"/>
          <w:szCs w:val="24"/>
        </w:rPr>
        <w:t xml:space="preserve">činností </w:t>
      </w:r>
      <w:r w:rsidRPr="00831BAA">
        <w:rPr>
          <w:rFonts w:ascii="Times New Roman" w:hAnsi="Times New Roman"/>
          <w:sz w:val="24"/>
          <w:szCs w:val="24"/>
        </w:rPr>
        <w:t>môže zariadenie</w:t>
      </w:r>
      <w:r w:rsidR="00831BAA">
        <w:rPr>
          <w:rFonts w:ascii="Times New Roman" w:hAnsi="Times New Roman"/>
          <w:sz w:val="24"/>
          <w:szCs w:val="24"/>
        </w:rPr>
        <w:t xml:space="preserve"> poradenstva a prevencie</w:t>
      </w:r>
      <w:r w:rsidRPr="00831BAA">
        <w:rPr>
          <w:rFonts w:ascii="Times New Roman" w:hAnsi="Times New Roman"/>
          <w:sz w:val="24"/>
          <w:szCs w:val="24"/>
        </w:rPr>
        <w:t xml:space="preserve"> vytvoriť mimo svojho sídla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831BAA">
        <w:rPr>
          <w:rFonts w:ascii="Times New Roman" w:hAnsi="Times New Roman"/>
          <w:sz w:val="24"/>
          <w:szCs w:val="24"/>
        </w:rPr>
        <w:t>pracovisko, v ktorom bude vykonávať niektoré činnosti, v záujme priblíženia starostlivosti deťom</w:t>
      </w:r>
      <w:r w:rsidR="00831BAA">
        <w:rPr>
          <w:rFonts w:ascii="Times New Roman" w:hAnsi="Times New Roman"/>
          <w:sz w:val="24"/>
          <w:szCs w:val="24"/>
        </w:rPr>
        <w:t xml:space="preserve"> </w:t>
      </w:r>
      <w:r w:rsidRPr="00831BAA">
        <w:rPr>
          <w:rFonts w:ascii="Times New Roman" w:hAnsi="Times New Roman"/>
          <w:sz w:val="24"/>
          <w:szCs w:val="24"/>
        </w:rPr>
        <w:t>podľa ich potrieb.</w:t>
      </w:r>
    </w:p>
    <w:p w:rsidR="0054785E" w:rsidRDefault="0054785E" w:rsidP="00831B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5F9B" w:rsidRDefault="009B5F9B" w:rsidP="00831B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5F9B" w:rsidRDefault="009B5F9B" w:rsidP="00831B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5F9B" w:rsidRDefault="00DE6069" w:rsidP="009B5F9B">
      <w:pPr>
        <w:jc w:val="center"/>
        <w:rPr>
          <w:rFonts w:ascii="Times New Roman" w:hAnsi="Times New Roman"/>
          <w:b/>
          <w:sz w:val="24"/>
          <w:szCs w:val="24"/>
        </w:rPr>
      </w:pPr>
      <w:r w:rsidRPr="00831BAA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285672">
        <w:rPr>
          <w:rFonts w:ascii="Times New Roman" w:hAnsi="Times New Roman"/>
          <w:b/>
          <w:sz w:val="24"/>
          <w:szCs w:val="24"/>
        </w:rPr>
        <w:t>7</w:t>
      </w:r>
    </w:p>
    <w:p w:rsidR="009B5F9B" w:rsidRDefault="009B5F9B" w:rsidP="009B5F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Účinnosť</w:t>
      </w:r>
    </w:p>
    <w:p w:rsidR="00DE6069" w:rsidRPr="00831BAA" w:rsidRDefault="00DE6069" w:rsidP="00831BAA">
      <w:pPr>
        <w:jc w:val="both"/>
        <w:rPr>
          <w:rFonts w:ascii="Times New Roman" w:hAnsi="Times New Roman"/>
          <w:sz w:val="24"/>
          <w:szCs w:val="24"/>
        </w:rPr>
      </w:pPr>
      <w:r w:rsidRPr="00831BAA">
        <w:rPr>
          <w:rFonts w:ascii="Times New Roman" w:hAnsi="Times New Roman"/>
          <w:sz w:val="24"/>
          <w:szCs w:val="24"/>
        </w:rPr>
        <w:t>Táto vyhláška nadobúda účinnosť</w:t>
      </w:r>
      <w:r w:rsidR="00831BAA">
        <w:rPr>
          <w:rFonts w:ascii="Times New Roman" w:hAnsi="Times New Roman"/>
          <w:sz w:val="24"/>
          <w:szCs w:val="24"/>
        </w:rPr>
        <w:t xml:space="preserve">  .... 2021.</w:t>
      </w:r>
    </w:p>
    <w:p w:rsidR="00F40925" w:rsidRPr="00F40925" w:rsidRDefault="00F40925" w:rsidP="00F409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41AA" w:rsidRPr="00F40925" w:rsidRDefault="000C41AA" w:rsidP="004D7B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9697C" w:rsidRPr="00F40925" w:rsidRDefault="0079697C" w:rsidP="00DD3E9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9697C" w:rsidRPr="00F40925" w:rsidRDefault="0079697C" w:rsidP="00DD3E9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9697C" w:rsidRDefault="0079697C" w:rsidP="00DD3E96"/>
    <w:p w:rsidR="0079697C" w:rsidRDefault="0079697C" w:rsidP="00DD3E96"/>
    <w:p w:rsidR="0079697C" w:rsidRDefault="0079697C" w:rsidP="00DD3E96"/>
    <w:p w:rsidR="00DD3E96" w:rsidRDefault="00532FB5" w:rsidP="00532FB5">
      <w:r>
        <w:t xml:space="preserve"> </w:t>
      </w:r>
    </w:p>
    <w:p w:rsidR="00516B8A" w:rsidRDefault="00516B8A" w:rsidP="00DD3E96"/>
    <w:sectPr w:rsidR="0051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922" w:rsidRDefault="003C0922" w:rsidP="002F16F7">
      <w:pPr>
        <w:spacing w:after="0" w:line="240" w:lineRule="auto"/>
      </w:pPr>
      <w:r>
        <w:separator/>
      </w:r>
    </w:p>
  </w:endnote>
  <w:endnote w:type="continuationSeparator" w:id="0">
    <w:p w:rsidR="003C0922" w:rsidRDefault="003C0922" w:rsidP="002F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922" w:rsidRDefault="003C0922" w:rsidP="002F16F7">
      <w:pPr>
        <w:spacing w:after="0" w:line="240" w:lineRule="auto"/>
      </w:pPr>
      <w:r>
        <w:separator/>
      </w:r>
    </w:p>
  </w:footnote>
  <w:footnote w:type="continuationSeparator" w:id="0">
    <w:p w:rsidR="003C0922" w:rsidRDefault="003C0922" w:rsidP="002F1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2BC7"/>
    <w:multiLevelType w:val="hybridMultilevel"/>
    <w:tmpl w:val="41DE2DBC"/>
    <w:lvl w:ilvl="0" w:tplc="041B0017">
      <w:start w:val="1"/>
      <w:numFmt w:val="lowerLetter"/>
      <w:lvlText w:val="%1)"/>
      <w:lvlJc w:val="left"/>
      <w:pPr>
        <w:ind w:left="1168" w:hanging="360"/>
      </w:pPr>
    </w:lvl>
    <w:lvl w:ilvl="1" w:tplc="041B0019">
      <w:start w:val="1"/>
      <w:numFmt w:val="lowerLetter"/>
      <w:lvlText w:val="%2."/>
      <w:lvlJc w:val="left"/>
      <w:pPr>
        <w:ind w:left="1888" w:hanging="360"/>
      </w:pPr>
    </w:lvl>
    <w:lvl w:ilvl="2" w:tplc="041B001B">
      <w:start w:val="1"/>
      <w:numFmt w:val="lowerRoman"/>
      <w:lvlText w:val="%3."/>
      <w:lvlJc w:val="right"/>
      <w:pPr>
        <w:ind w:left="2608" w:hanging="180"/>
      </w:pPr>
    </w:lvl>
    <w:lvl w:ilvl="3" w:tplc="041B000F">
      <w:start w:val="1"/>
      <w:numFmt w:val="decimal"/>
      <w:lvlText w:val="%4."/>
      <w:lvlJc w:val="left"/>
      <w:pPr>
        <w:ind w:left="3328" w:hanging="360"/>
      </w:pPr>
    </w:lvl>
    <w:lvl w:ilvl="4" w:tplc="041B0019">
      <w:start w:val="1"/>
      <w:numFmt w:val="lowerLetter"/>
      <w:lvlText w:val="%5."/>
      <w:lvlJc w:val="left"/>
      <w:pPr>
        <w:ind w:left="4048" w:hanging="360"/>
      </w:pPr>
    </w:lvl>
    <w:lvl w:ilvl="5" w:tplc="041B001B">
      <w:start w:val="1"/>
      <w:numFmt w:val="lowerRoman"/>
      <w:lvlText w:val="%6."/>
      <w:lvlJc w:val="right"/>
      <w:pPr>
        <w:ind w:left="4768" w:hanging="180"/>
      </w:pPr>
    </w:lvl>
    <w:lvl w:ilvl="6" w:tplc="041B000F">
      <w:start w:val="1"/>
      <w:numFmt w:val="decimal"/>
      <w:lvlText w:val="%7."/>
      <w:lvlJc w:val="left"/>
      <w:pPr>
        <w:ind w:left="5488" w:hanging="360"/>
      </w:pPr>
    </w:lvl>
    <w:lvl w:ilvl="7" w:tplc="041B0019">
      <w:start w:val="1"/>
      <w:numFmt w:val="lowerLetter"/>
      <w:lvlText w:val="%8."/>
      <w:lvlJc w:val="left"/>
      <w:pPr>
        <w:ind w:left="6208" w:hanging="360"/>
      </w:pPr>
    </w:lvl>
    <w:lvl w:ilvl="8" w:tplc="041B001B">
      <w:start w:val="1"/>
      <w:numFmt w:val="lowerRoman"/>
      <w:lvlText w:val="%9."/>
      <w:lvlJc w:val="right"/>
      <w:pPr>
        <w:ind w:left="6928" w:hanging="180"/>
      </w:pPr>
    </w:lvl>
  </w:abstractNum>
  <w:abstractNum w:abstractNumId="1" w15:restartNumberingAfterBreak="0">
    <w:nsid w:val="03E75D36"/>
    <w:multiLevelType w:val="hybridMultilevel"/>
    <w:tmpl w:val="41DE2DBC"/>
    <w:lvl w:ilvl="0" w:tplc="041B0017">
      <w:start w:val="1"/>
      <w:numFmt w:val="lowerLetter"/>
      <w:lvlText w:val="%1)"/>
      <w:lvlJc w:val="left"/>
      <w:pPr>
        <w:ind w:left="1168" w:hanging="360"/>
      </w:pPr>
    </w:lvl>
    <w:lvl w:ilvl="1" w:tplc="041B0019">
      <w:start w:val="1"/>
      <w:numFmt w:val="lowerLetter"/>
      <w:lvlText w:val="%2."/>
      <w:lvlJc w:val="left"/>
      <w:pPr>
        <w:ind w:left="1888" w:hanging="360"/>
      </w:pPr>
    </w:lvl>
    <w:lvl w:ilvl="2" w:tplc="041B001B">
      <w:start w:val="1"/>
      <w:numFmt w:val="lowerRoman"/>
      <w:lvlText w:val="%3."/>
      <w:lvlJc w:val="right"/>
      <w:pPr>
        <w:ind w:left="2608" w:hanging="180"/>
      </w:pPr>
    </w:lvl>
    <w:lvl w:ilvl="3" w:tplc="041B000F">
      <w:start w:val="1"/>
      <w:numFmt w:val="decimal"/>
      <w:lvlText w:val="%4."/>
      <w:lvlJc w:val="left"/>
      <w:pPr>
        <w:ind w:left="3328" w:hanging="360"/>
      </w:pPr>
    </w:lvl>
    <w:lvl w:ilvl="4" w:tplc="041B0019">
      <w:start w:val="1"/>
      <w:numFmt w:val="lowerLetter"/>
      <w:lvlText w:val="%5."/>
      <w:lvlJc w:val="left"/>
      <w:pPr>
        <w:ind w:left="4048" w:hanging="360"/>
      </w:pPr>
    </w:lvl>
    <w:lvl w:ilvl="5" w:tplc="041B001B">
      <w:start w:val="1"/>
      <w:numFmt w:val="lowerRoman"/>
      <w:lvlText w:val="%6."/>
      <w:lvlJc w:val="right"/>
      <w:pPr>
        <w:ind w:left="4768" w:hanging="180"/>
      </w:pPr>
    </w:lvl>
    <w:lvl w:ilvl="6" w:tplc="041B000F">
      <w:start w:val="1"/>
      <w:numFmt w:val="decimal"/>
      <w:lvlText w:val="%7."/>
      <w:lvlJc w:val="left"/>
      <w:pPr>
        <w:ind w:left="5488" w:hanging="360"/>
      </w:pPr>
    </w:lvl>
    <w:lvl w:ilvl="7" w:tplc="041B0019">
      <w:start w:val="1"/>
      <w:numFmt w:val="lowerLetter"/>
      <w:lvlText w:val="%8."/>
      <w:lvlJc w:val="left"/>
      <w:pPr>
        <w:ind w:left="6208" w:hanging="360"/>
      </w:pPr>
    </w:lvl>
    <w:lvl w:ilvl="8" w:tplc="041B001B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96"/>
    <w:rsid w:val="00027F06"/>
    <w:rsid w:val="000C41AA"/>
    <w:rsid w:val="000E559D"/>
    <w:rsid w:val="00270E09"/>
    <w:rsid w:val="00285672"/>
    <w:rsid w:val="002A17CF"/>
    <w:rsid w:val="002B062E"/>
    <w:rsid w:val="002F16F7"/>
    <w:rsid w:val="003A1EF1"/>
    <w:rsid w:val="003C0922"/>
    <w:rsid w:val="003E60C5"/>
    <w:rsid w:val="00497640"/>
    <w:rsid w:val="004D7B3D"/>
    <w:rsid w:val="004E668F"/>
    <w:rsid w:val="00516B8A"/>
    <w:rsid w:val="00532FB5"/>
    <w:rsid w:val="0054785E"/>
    <w:rsid w:val="00582CE5"/>
    <w:rsid w:val="00664E1C"/>
    <w:rsid w:val="006C3D1E"/>
    <w:rsid w:val="0079421A"/>
    <w:rsid w:val="0079697C"/>
    <w:rsid w:val="007A1F93"/>
    <w:rsid w:val="00831BAA"/>
    <w:rsid w:val="009B5F9B"/>
    <w:rsid w:val="009E5222"/>
    <w:rsid w:val="009F44B7"/>
    <w:rsid w:val="00A055AB"/>
    <w:rsid w:val="00A51DE2"/>
    <w:rsid w:val="00AB014F"/>
    <w:rsid w:val="00AC2AFB"/>
    <w:rsid w:val="00B03C60"/>
    <w:rsid w:val="00CA46DE"/>
    <w:rsid w:val="00DD3E96"/>
    <w:rsid w:val="00DE6069"/>
    <w:rsid w:val="00E37C2D"/>
    <w:rsid w:val="00ED2C3A"/>
    <w:rsid w:val="00F40925"/>
    <w:rsid w:val="00F46B3B"/>
    <w:rsid w:val="00F53629"/>
    <w:rsid w:val="00F91C8C"/>
    <w:rsid w:val="00F96568"/>
    <w:rsid w:val="00FC052C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1FDA-95BB-408F-80D9-97CC6C95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697C"/>
    <w:pPr>
      <w:spacing w:line="256" w:lineRule="auto"/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16F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16F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16F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E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A17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17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17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17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17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11CD-BFC8-48B0-95F5-83E3CF78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Moncoľová Radka</dc:creator>
  <cp:keywords/>
  <dc:description/>
  <cp:lastModifiedBy>Katarína Cabalová</cp:lastModifiedBy>
  <cp:revision>4</cp:revision>
  <cp:lastPrinted>2021-07-15T07:25:00Z</cp:lastPrinted>
  <dcterms:created xsi:type="dcterms:W3CDTF">2021-07-15T06:49:00Z</dcterms:created>
  <dcterms:modified xsi:type="dcterms:W3CDTF">2021-07-15T08:10:00Z</dcterms:modified>
</cp:coreProperties>
</file>