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FB" w:rsidRDefault="008E48FB" w:rsidP="008E48FB">
      <w:pPr>
        <w:jc w:val="center"/>
        <w:rPr>
          <w:b/>
        </w:rPr>
      </w:pPr>
      <w:r>
        <w:rPr>
          <w:b/>
        </w:rPr>
        <w:t>DÔVODOVÁ SPRÁVA</w:t>
      </w:r>
    </w:p>
    <w:p w:rsidR="008E48FB" w:rsidRDefault="008E48FB" w:rsidP="008E48FB">
      <w:pPr>
        <w:jc w:val="center"/>
        <w:rPr>
          <w:b/>
        </w:rPr>
      </w:pPr>
    </w:p>
    <w:p w:rsidR="008E48FB" w:rsidRDefault="008E48FB" w:rsidP="008E48FB">
      <w:pPr>
        <w:pStyle w:val="Odsekzoznamu"/>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Všeobecná časť</w:t>
      </w:r>
    </w:p>
    <w:p w:rsidR="008E48FB" w:rsidRPr="006405E2" w:rsidRDefault="008E48FB" w:rsidP="008E48FB">
      <w:pPr>
        <w:pStyle w:val="Odsekzoznamu"/>
        <w:spacing w:after="0" w:line="240" w:lineRule="auto"/>
        <w:jc w:val="both"/>
        <w:rPr>
          <w:rFonts w:ascii="Times New Roman" w:hAnsi="Times New Roman" w:cs="Times New Roman"/>
          <w:b/>
          <w:sz w:val="24"/>
          <w:szCs w:val="24"/>
        </w:rPr>
      </w:pPr>
    </w:p>
    <w:p w:rsidR="008E48FB" w:rsidRDefault="008E48FB" w:rsidP="008E48FB">
      <w:pPr>
        <w:ind w:firstLine="567"/>
        <w:jc w:val="both"/>
      </w:pPr>
      <w:r>
        <w:t>N</w:t>
      </w:r>
      <w:r w:rsidRPr="000B7836">
        <w:t xml:space="preserve">ávrh zákona, </w:t>
      </w:r>
      <w:r w:rsidRPr="000B7836">
        <w:rPr>
          <w:rFonts w:eastAsiaTheme="minorHAnsi"/>
          <w:lang w:eastAsia="en-US"/>
        </w:rPr>
        <w:t xml:space="preserve">ktorým sa mení </w:t>
      </w:r>
      <w:r w:rsidRPr="000B7836">
        <w:rPr>
          <w:rFonts w:eastAsiaTheme="minorHAnsi"/>
        </w:rPr>
        <w:t xml:space="preserve">a dopĺňa  </w:t>
      </w:r>
      <w:r w:rsidRPr="000B7836">
        <w:rPr>
          <w:rFonts w:eastAsiaTheme="minorHAnsi"/>
          <w:lang w:eastAsia="en-US"/>
        </w:rPr>
        <w:t>zákon č. 570/2005 Z. z. o brannej povinnosti</w:t>
      </w:r>
      <w:r w:rsidRPr="000B7836">
        <w:rPr>
          <w:rFonts w:eastAsiaTheme="minorHAnsi"/>
          <w:lang w:eastAsia="en-US"/>
        </w:rPr>
        <w:br/>
        <w:t xml:space="preserve">a o zmene a doplnení niektorých zákonov v znení neskorších predpisov a ktorým sa dopĺňa </w:t>
      </w:r>
      <w:r w:rsidRPr="000B7836">
        <w:t>zákon č. 463/2003 Z. z. o vojnových veteránoch a o doplnení zákona č. 328/2002 Z. z. o sociálnom zabezpečení policajtov a vojakov a o zmene a doplnení niektorých zákonov v znení neskorších predpisov v znení neskorších predpisov (ďalej len „návrh zákona“) sa predkladá ako iniciatívny materiál.</w:t>
      </w:r>
    </w:p>
    <w:p w:rsidR="008E48FB" w:rsidRDefault="008E48FB" w:rsidP="008E48FB">
      <w:pPr>
        <w:ind w:firstLine="567"/>
        <w:jc w:val="both"/>
      </w:pPr>
    </w:p>
    <w:p w:rsidR="008E48FB" w:rsidRPr="000B7836" w:rsidRDefault="008E48FB" w:rsidP="008E48FB">
      <w:pPr>
        <w:ind w:firstLine="567"/>
        <w:jc w:val="both"/>
        <w:rPr>
          <w:lang w:eastAsia="en-US"/>
        </w:rPr>
      </w:pPr>
      <w:r w:rsidRPr="000B7836">
        <w:rPr>
          <w:lang w:eastAsia="en-US"/>
        </w:rPr>
        <w:t xml:space="preserve">Cieľom návrhu zákona je osobitným spôsobom upraviť povyšovanie do vojenskej hodnosti vojaka v zálohe a vymenúvanie do vojenskej hodnosti alebo povyšovanie do vojenskej hodnosti </w:t>
      </w:r>
      <w:r w:rsidRPr="000B7836">
        <w:t>profesionálneho vojaka, ktorý skončil služobný pomer a je poberateľom výsluhového dôchodku alebo invalidného výsluhového dôchodku (ďalej len „vojak vo výslužbe“)</w:t>
      </w:r>
      <w:r w:rsidRPr="000B7836">
        <w:rPr>
          <w:lang w:eastAsia="en-US"/>
        </w:rPr>
        <w:t xml:space="preserve"> a vojnového veterána.</w:t>
      </w:r>
    </w:p>
    <w:p w:rsidR="008E48FB" w:rsidRPr="000B7836" w:rsidRDefault="008E48FB" w:rsidP="008E48FB">
      <w:pPr>
        <w:ind w:firstLine="567"/>
        <w:jc w:val="both"/>
        <w:rPr>
          <w:lang w:eastAsia="en-US"/>
        </w:rPr>
      </w:pPr>
    </w:p>
    <w:p w:rsidR="008E48FB" w:rsidRPr="000B7836" w:rsidRDefault="008E48FB" w:rsidP="008E48FB">
      <w:pPr>
        <w:ind w:firstLine="567"/>
        <w:jc w:val="both"/>
      </w:pPr>
      <w:r w:rsidRPr="000B7836">
        <w:rPr>
          <w:lang w:eastAsia="en-US"/>
        </w:rPr>
        <w:t xml:space="preserve">Zákon č. 570/2005 Z. z. </w:t>
      </w:r>
      <w:r w:rsidRPr="000B7836">
        <w:rPr>
          <w:rFonts w:eastAsiaTheme="minorHAnsi"/>
          <w:lang w:eastAsia="en-US"/>
        </w:rPr>
        <w:t>o brannej povinnosti a o zmene a doplnení niektorých zákonov v znení neskorších predpisov</w:t>
      </w:r>
      <w:r w:rsidRPr="000B7836">
        <w:rPr>
          <w:lang w:eastAsia="en-US"/>
        </w:rPr>
        <w:t xml:space="preserve"> umožňuje mimoriadne vymenovať do vojenskej hodnosti alebo mimoriadne povýšiť do vojenskej hodnosti vojaka v zálohe a vojaka vo výslužbe. Okrem formy mimoriadneho vymenovania alebo mimoriadneho povýšenia do vojenskej hodnosti možno podľa zákona </w:t>
      </w:r>
      <w:hyperlink r:id="rId8" w:anchor="paragraf-5a" w:tooltip="Odkaz na predpis alebo ustanovenie" w:history="1">
        <w:r w:rsidRPr="000B7836">
          <w:rPr>
            <w:lang w:eastAsia="en-US"/>
          </w:rPr>
          <w:t>č. 105/2002 Z. z.</w:t>
        </w:r>
      </w:hyperlink>
      <w:r w:rsidRPr="000B7836">
        <w:t xml:space="preserve"> o poskytnutí jednorazového finančného príspevku príslušníkom československých zahraničných alebo spojeneckých armád, ako aj domáceho odboja v rokoch 1939 – 1945 v znení neskorších predpisov a podľa zákona č. 463/2003 Z. z. o vojnových veteránoch a o doplnení zákona č. 328/2002 Z. z. o sociálnom zabezpečení policajtov a vojakov a o zmene a doplnení niektorých zákonov v znení neskorších predpisov v znení neskorších predpisov (ďalej len „zákon č. 463/2003 Z. z.“) vymenovať do vojenskej hodnosti alebo povýšiť do vyššej vojenskej hodnosti aj vojnového  veterána.</w:t>
      </w:r>
    </w:p>
    <w:p w:rsidR="008E48FB" w:rsidRPr="000B7836" w:rsidRDefault="008E48FB" w:rsidP="008E48FB">
      <w:pPr>
        <w:ind w:firstLine="567"/>
        <w:jc w:val="both"/>
        <w:rPr>
          <w:lang w:eastAsia="en-US"/>
        </w:rPr>
      </w:pPr>
    </w:p>
    <w:p w:rsidR="008E48FB" w:rsidRPr="000B7836" w:rsidRDefault="008E48FB" w:rsidP="008E48FB">
      <w:pPr>
        <w:ind w:firstLine="567"/>
        <w:jc w:val="both"/>
        <w:rPr>
          <w:lang w:eastAsia="en-US"/>
        </w:rPr>
      </w:pPr>
      <w:r w:rsidRPr="000B7836">
        <w:rPr>
          <w:lang w:eastAsia="en-US"/>
        </w:rPr>
        <w:t>Návrh zákona upravuje možnosť povýšiť do vojenskej hodnosti vojaka v zálohe, ak je zaradený do aktívnych záloh. Aktívne zálohy sú časťou záloh ozbrojených síl Slovenskej republiky (ďalej len „ozbrojené sily“) kreované vojakmi v zálohe, ktorí v stave bezpečnosti štátu dobrovoľne uzatvorili dohodu o zaradení do aktívnych záloh, pripravujú sa na výkon mimoriadnej služby a plnia úlohy ozbrojených síl. Z tohto dôvodu sa v návrhu zákona upravuje možnosť vojaka v aktívnej zálohe povýšiť do vojenskej hodnosti za ustanovených podmienok. Podrobnosti  o povyšovaní do vojenskej hodnosti vojaka v aktívnej zálohe  ustanoví služobný predpis, ktorý vydá minister obrany Slovenskej republiky.</w:t>
      </w:r>
    </w:p>
    <w:p w:rsidR="008E48FB" w:rsidRPr="000B7836" w:rsidRDefault="008E48FB" w:rsidP="008E48FB">
      <w:pPr>
        <w:ind w:firstLine="567"/>
        <w:jc w:val="both"/>
      </w:pPr>
    </w:p>
    <w:p w:rsidR="008E48FB" w:rsidRPr="000B7836" w:rsidRDefault="008E48FB" w:rsidP="008E48FB">
      <w:pPr>
        <w:ind w:firstLine="567"/>
        <w:jc w:val="both"/>
      </w:pPr>
      <w:r w:rsidRPr="000B7836">
        <w:t xml:space="preserve">Jednotným spôsobom sa navrhuje ustanoviť možnosť vymenovať do vojenskej hodnosti alebo povýšiť do vojenskej hodnosti  vojaka vo výslužbe a vojnového veterána až po zániku brannej povinnosti, </w:t>
      </w:r>
      <w:r w:rsidRPr="000B7836">
        <w:rPr>
          <w:lang w:eastAsia="en-US"/>
        </w:rPr>
        <w:t>a to len ako prejav morálneho ocenenia, ktoré je udeľované za skutky uskutočnené za mimoriadnych podmienok alebo s mimoriadnym prínosom pre spoločnosť, preukazujúc vysoké morálne kvality konajúcej osoby. Na základe poznatkov z aplikačnej praxe,</w:t>
      </w:r>
      <w:r w:rsidRPr="000B7836">
        <w:t xml:space="preserve"> keď boli verejní funkcionári vymenovaní alebo povýšení bez náležitého zdôvodnenia alebo v súvislosti s výkonom ich verejnej funkcie aj o niekoľko hodností a</w:t>
      </w:r>
      <w:r w:rsidRPr="000B7836">
        <w:rPr>
          <w:lang w:eastAsia="en-US"/>
        </w:rPr>
        <w:t xml:space="preserve"> v snahe zabrániť takémuto konaniu v budúcnosti sa navrhuje, aby takto oceňovaný vojak vo výslužbe alebo vojnový veterán nebol verejný funkcionár. Z tohto dôvodu sa v článku II novelizuje  zákon č. 463/2003 Z. z.</w:t>
      </w:r>
    </w:p>
    <w:p w:rsidR="00A41A14" w:rsidRDefault="00A41A14" w:rsidP="002024EA">
      <w:pPr>
        <w:jc w:val="both"/>
        <w:rPr>
          <w:lang w:eastAsia="en-US"/>
        </w:rPr>
      </w:pPr>
    </w:p>
    <w:p w:rsidR="008E48FB" w:rsidRPr="000B7836" w:rsidRDefault="008E48FB" w:rsidP="008E48FB">
      <w:pPr>
        <w:ind w:firstLine="567"/>
        <w:jc w:val="both"/>
        <w:rPr>
          <w:lang w:eastAsia="en-US"/>
        </w:rPr>
      </w:pPr>
      <w:r w:rsidRPr="000B7836">
        <w:rPr>
          <w:lang w:eastAsia="en-US"/>
        </w:rPr>
        <w:t>Navrhuje sa, aby podrobnosti o vymenúvaní do vojenskej hodnosti alebo  povyšovaní do vojenskej hodnosti vojakov vo výslužbe určil prezident Slovenskej republiky, rovnako ako to určuje pre vojnových veteránov.</w:t>
      </w:r>
    </w:p>
    <w:p w:rsidR="008E48FB" w:rsidRPr="000B7836" w:rsidRDefault="008E48FB" w:rsidP="008E48FB">
      <w:pPr>
        <w:ind w:firstLine="567"/>
        <w:jc w:val="both"/>
        <w:rPr>
          <w:lang w:eastAsia="en-US"/>
        </w:rPr>
      </w:pPr>
      <w:bookmarkStart w:id="0" w:name="_GoBack"/>
      <w:bookmarkEnd w:id="0"/>
    </w:p>
    <w:p w:rsidR="008E48FB" w:rsidRPr="000B7836" w:rsidRDefault="008E48FB" w:rsidP="008E48FB">
      <w:pPr>
        <w:ind w:firstLine="567"/>
        <w:jc w:val="both"/>
      </w:pPr>
      <w:r w:rsidRPr="000B7836">
        <w:t xml:space="preserve">Návrh zákona je v súlade s Ústavou Slovenskej republiky, ústavnými zákonmi, nálezmi Ústavného súdu Slovenskej republiky, zákonmi, ako aj s medzinárodnými zmluvami a inými medzinárodnými dokumentmi, ktorými je Slovenská republika viazaná, a  s právom Európskej únie. </w:t>
      </w:r>
    </w:p>
    <w:p w:rsidR="008E48FB" w:rsidRPr="000B7836" w:rsidRDefault="008E48FB" w:rsidP="008E48FB">
      <w:pPr>
        <w:ind w:firstLine="567"/>
        <w:jc w:val="both"/>
      </w:pPr>
    </w:p>
    <w:p w:rsidR="008E48FB" w:rsidRDefault="008E48FB" w:rsidP="008E48FB">
      <w:pPr>
        <w:ind w:firstLine="567"/>
        <w:jc w:val="both"/>
      </w:pPr>
      <w:r w:rsidRPr="000B7836">
        <w:t>Návrh zákona bude mať  negatívny vplyv na rozpočet verejnej správy, ktorý bude zabezpečený v rámci schválených limitov výdavkov kapitoly Ministerstva obrany SR na rozpočtový rok 2022 a roky nasledujúce, bez zvýšených požiadaviek na rozpočet verejnej správy, a  pozitívny sociálny vplyv. Návrh zákona nebude mať vplyv na podnikateľské prostredie, životné prostredie, na  informatizáciu spoločnosti, na služby verejnej správy pre občana a nebude mať ani vplyv na manželstvo, rodičovstvo a rodinu.</w:t>
      </w: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2F6B4D" w:rsidRDefault="002F6B4D" w:rsidP="008E48FB">
      <w:pPr>
        <w:ind w:firstLine="567"/>
        <w:jc w:val="both"/>
      </w:pPr>
    </w:p>
    <w:p w:rsidR="002F6B4D" w:rsidRDefault="002F6B4D" w:rsidP="008E48FB">
      <w:pPr>
        <w:ind w:firstLine="567"/>
        <w:jc w:val="both"/>
      </w:pPr>
    </w:p>
    <w:p w:rsidR="002F6B4D" w:rsidRDefault="002F6B4D"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8E48FB" w:rsidRDefault="008E48FB" w:rsidP="008E48FB">
      <w:pPr>
        <w:ind w:firstLine="567"/>
        <w:jc w:val="both"/>
      </w:pPr>
    </w:p>
    <w:p w:rsidR="004C429C" w:rsidRDefault="004C429C" w:rsidP="008E48FB">
      <w:pPr>
        <w:ind w:firstLine="567"/>
        <w:jc w:val="both"/>
      </w:pPr>
    </w:p>
    <w:p w:rsidR="002024EA" w:rsidRDefault="002024EA" w:rsidP="008E48FB">
      <w:pPr>
        <w:ind w:firstLine="567"/>
        <w:jc w:val="both"/>
      </w:pPr>
    </w:p>
    <w:p w:rsidR="002024EA" w:rsidRDefault="002024EA" w:rsidP="008E48FB">
      <w:pPr>
        <w:ind w:firstLine="567"/>
        <w:jc w:val="both"/>
      </w:pPr>
    </w:p>
    <w:p w:rsidR="002024EA" w:rsidRDefault="002024EA" w:rsidP="008E48FB">
      <w:pPr>
        <w:ind w:firstLine="567"/>
        <w:jc w:val="both"/>
      </w:pPr>
    </w:p>
    <w:p w:rsidR="009F02B7" w:rsidRDefault="00B34E23" w:rsidP="00C579E9">
      <w:pPr>
        <w:pStyle w:val="Normlnywebov"/>
        <w:spacing w:before="0" w:beforeAutospacing="0" w:after="0" w:afterAutospacing="0"/>
        <w:jc w:val="center"/>
        <w:rPr>
          <w:b/>
          <w:bCs/>
          <w:sz w:val="28"/>
          <w:szCs w:val="28"/>
        </w:rPr>
      </w:pPr>
      <w:r w:rsidRPr="00C579E9">
        <w:rPr>
          <w:b/>
          <w:bCs/>
          <w:sz w:val="28"/>
          <w:szCs w:val="28"/>
        </w:rPr>
        <w:lastRenderedPageBreak/>
        <w:t>D</w:t>
      </w:r>
      <w:r w:rsidR="00C579E9" w:rsidRPr="00C579E9">
        <w:rPr>
          <w:b/>
          <w:bCs/>
          <w:sz w:val="28"/>
          <w:szCs w:val="28"/>
        </w:rPr>
        <w:t xml:space="preserve">oložka </w:t>
      </w:r>
      <w:r w:rsidRPr="00C579E9">
        <w:rPr>
          <w:b/>
          <w:bCs/>
          <w:sz w:val="28"/>
          <w:szCs w:val="28"/>
        </w:rPr>
        <w:t>vybraných vplyvov</w:t>
      </w:r>
    </w:p>
    <w:p w:rsidR="00D13DB7" w:rsidRDefault="00D13DB7"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D13DB7">
        <w:trPr>
          <w:divId w:val="770394577"/>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1.  Základné údaje</w:t>
            </w:r>
          </w:p>
        </w:tc>
      </w:tr>
      <w:tr w:rsidR="00D13DB7">
        <w:trPr>
          <w:divId w:val="77039457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Názov materiálu</w:t>
            </w:r>
          </w:p>
        </w:tc>
      </w:tr>
      <w:tr w:rsidR="00D13DB7">
        <w:trPr>
          <w:divId w:val="77039457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Zákon, ktorým sa mení a dopĺňa zákon č. 570/2005 Z. z. o brannej povinnosti a o zmene a doplnení niektorých zákonov v znení neskorších predpisov a ktorým sa dopĺňa zákon č. 463/2003 Z. z. o vojnových veteránoch a o doplnení zákona č. 328/2002 Z. z. o sociálnom zabezpečení policajtov a vojakov a o zmene a doplnení niektorých zákonov v znení neskorších predpisov v znení neskorších predpisov</w:t>
            </w:r>
          </w:p>
        </w:tc>
      </w:tr>
      <w:tr w:rsidR="00D13DB7">
        <w:trPr>
          <w:divId w:val="77039457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Predkladateľ (a spolupredkladateľ)</w:t>
            </w:r>
          </w:p>
        </w:tc>
      </w:tr>
      <w:tr w:rsidR="00D13DB7">
        <w:trPr>
          <w:divId w:val="77039457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Ministerstvo obrany Slovenskej republiky</w:t>
            </w:r>
          </w:p>
        </w:tc>
      </w:tr>
      <w:tr w:rsidR="00D13DB7">
        <w:trPr>
          <w:divId w:val="770394577"/>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D13DB7">
        <w:trPr>
          <w:divId w:val="77039457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D13DB7">
        <w:trPr>
          <w:divId w:val="77039457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D13DB7">
        <w:trPr>
          <w:divId w:val="770394577"/>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p>
        </w:tc>
      </w:tr>
      <w:tr w:rsidR="00D13DB7">
        <w:trPr>
          <w:divId w:val="77039457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Začiatok:    21.4.2021</w:t>
            </w:r>
            <w:r>
              <w:rPr>
                <w:rFonts w:ascii="Times" w:hAnsi="Times" w:cs="Times"/>
                <w:sz w:val="20"/>
                <w:szCs w:val="20"/>
              </w:rPr>
              <w:br/>
              <w:t>Ukončenie: 5.5.2021</w:t>
            </w:r>
          </w:p>
        </w:tc>
      </w:tr>
      <w:tr w:rsidR="00D13DB7">
        <w:trPr>
          <w:divId w:val="77039457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máj 2021</w:t>
            </w:r>
          </w:p>
        </w:tc>
      </w:tr>
      <w:tr w:rsidR="00D13DB7">
        <w:trPr>
          <w:divId w:val="770394577"/>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jún 2021</w:t>
            </w:r>
          </w:p>
        </w:tc>
      </w:tr>
    </w:tbl>
    <w:p w:rsidR="00325440" w:rsidRDefault="00325440" w:rsidP="00C579E9">
      <w:pPr>
        <w:pStyle w:val="Normlnywebov"/>
        <w:spacing w:before="0" w:beforeAutospacing="0" w:after="0" w:afterAutospacing="0"/>
        <w:rPr>
          <w:bCs/>
          <w:sz w:val="22"/>
          <w:szCs w:val="22"/>
        </w:rPr>
      </w:pPr>
    </w:p>
    <w:p w:rsidR="00D13DB7" w:rsidRDefault="00D13DB7"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2.  Definícia problému</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Návrhom zákona sa reaguje na absenciu motivačného prvku v kariére vojaka v aktívnej zálohe a na poznatky vyplývajúce z aplikačnej praxe pri vymenovaní do vojenskej hodnosti alebo povyšovaní do vojenskej hodnosti vojakov vo výslužbe a vojakov v zálohe.</w:t>
            </w:r>
            <w:r>
              <w:rPr>
                <w:rFonts w:ascii="Times" w:hAnsi="Times" w:cs="Times"/>
                <w:sz w:val="20"/>
                <w:szCs w:val="20"/>
              </w:rPr>
              <w:br/>
              <w:t>Následkom môže byť znížená dôvera spoločnosti voči procesom v ozbrojených silách, ale i nespokojnosť profesionálnych vojakov alebo vojakov v zálohe.</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3.  Ciele a výsledný stav</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 xml:space="preserve">Cieľom návrhu je osobitným spôsobom upraviť povyšovanie do vojenskej hodnosti vojaka v zálohe zaradeného do aktívnych záloh. Taktiež jednotným spôsobom ustanoviť pre profesionálneho vojaka, ktorý skončil služobný pomer a je poberateľom výsluhového dôchodku alebo invalidného výsluhového dôchodku a vojnového veterána možnosť vymenovania do vojenskej hodnosti alebo povýšenia do vojenskej hodnosti až po zániku jeho brannej povinnosti, za predpokladu, že nie je verejným funkcionárom, a zvýrazniť tak morálny aspekt tohto ocenenia. </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4.  Dotknuté subjekty</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Vojak v zálohe, ktorý je zaradený do aktívnych záloh ako aj občan, ktorý skončil služobný pomer profesionálneho vojaka, je poberateľom výsluhového dôchodku alebo invalidného výsluhového dôchodku, vojnový veterán, po zániku brannej povinnosti a nie je verejný funkcionár.</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5.  Alternatívne riešenia</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Pri spracovaní návrhu zákona neboli posudzované žiadne alternatívne riešenia. Nulovým variantom by v tomto prípade bolo zanechanie pôvodného stavu, kedy by mohlo dochádzať k vyššie uvedeným problémom. Navrhované riešenie túto možnosť eliminuje, a tým posilňuje vážnosť inštitútov povýšenia vojakov v aktívnych zálohách do vojenskej hodnosti a vymenovania do vojenskej hodnosti alebo povýšenia do vojenskej hodnosti vojakov vo výslužbe a vojnových veteránov.</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6.  Vykonávacie predpisy</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xml:space="preserve">  7.  Transpozícia práva EÚ </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Žiadne.</w:t>
            </w:r>
          </w:p>
        </w:tc>
      </w:tr>
      <w:tr w:rsidR="00D13DB7">
        <w:trPr>
          <w:divId w:val="58480093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8.  Preskúmanie účelnosti**</w:t>
            </w:r>
          </w:p>
        </w:tc>
      </w:tr>
      <w:tr w:rsidR="00D13DB7">
        <w:trPr>
          <w:divId w:val="58480093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D13DB7" w:rsidRDefault="00D13DB7"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D13DB7">
        <w:trPr>
          <w:divId w:val="78408135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0"/>
                <w:szCs w:val="20"/>
              </w:rPr>
            </w:pPr>
            <w:r>
              <w:rPr>
                <w:rFonts w:ascii="Times" w:hAnsi="Times" w:cs="Times"/>
                <w:b/>
                <w:bCs/>
                <w:sz w:val="20"/>
                <w:szCs w:val="20"/>
              </w:rPr>
              <w:t>  9.   Vplyvy navrhovaného materiálu</w:t>
            </w:r>
          </w:p>
        </w:tc>
      </w:tr>
      <w:tr w:rsidR="00D13DB7">
        <w:trPr>
          <w:divId w:val="78408135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D13DB7">
        <w:trPr>
          <w:divId w:val="78408135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D13DB7">
        <w:trPr>
          <w:divId w:val="78408135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13DB7">
        <w:trPr>
          <w:divId w:val="78408135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13DB7" w:rsidRDefault="00D13DB7">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13DB7" w:rsidRDefault="00D13DB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D13DB7" w:rsidRDefault="00D13DB7"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D13DB7">
        <w:trPr>
          <w:divId w:val="19788752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10.  Poznámky</w:t>
            </w:r>
          </w:p>
        </w:tc>
      </w:tr>
      <w:tr w:rsidR="00D13DB7">
        <w:trPr>
          <w:divId w:val="19788752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b/>
                <w:bCs/>
                <w:sz w:val="22"/>
                <w:szCs w:val="22"/>
              </w:rPr>
            </w:pPr>
          </w:p>
        </w:tc>
      </w:tr>
      <w:tr w:rsidR="00D13DB7">
        <w:trPr>
          <w:divId w:val="19788752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11.  Kontakt na spracovateľa</w:t>
            </w:r>
          </w:p>
        </w:tc>
      </w:tr>
      <w:tr w:rsidR="00D13DB7">
        <w:trPr>
          <w:divId w:val="19788752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8711CF">
            <w:pPr>
              <w:rPr>
                <w:rFonts w:ascii="Times" w:hAnsi="Times" w:cs="Times"/>
                <w:sz w:val="20"/>
                <w:szCs w:val="20"/>
              </w:rPr>
            </w:pPr>
            <w:hyperlink r:id="rId9" w:history="1">
              <w:r w:rsidR="00D13DB7">
                <w:rPr>
                  <w:rStyle w:val="Zvraznenie"/>
                  <w:rFonts w:ascii="Times" w:hAnsi="Times" w:cs="Times"/>
                  <w:color w:val="0000FF"/>
                  <w:sz w:val="20"/>
                  <w:szCs w:val="20"/>
                  <w:u w:val="single"/>
                </w:rPr>
                <w:t>julius.handlovsky@mod.gov.sk</w:t>
              </w:r>
            </w:hyperlink>
            <w:r w:rsidR="00D13DB7">
              <w:rPr>
                <w:rStyle w:val="Zvraznenie"/>
                <w:rFonts w:ascii="Times" w:hAnsi="Times" w:cs="Times"/>
                <w:sz w:val="20"/>
                <w:szCs w:val="20"/>
              </w:rPr>
              <w:t xml:space="preserve">; </w:t>
            </w:r>
            <w:hyperlink r:id="rId10" w:history="1">
              <w:r w:rsidR="00D13DB7">
                <w:rPr>
                  <w:rStyle w:val="Zvraznenie"/>
                  <w:rFonts w:ascii="Times" w:hAnsi="Times" w:cs="Times"/>
                  <w:color w:val="0000FF"/>
                  <w:sz w:val="20"/>
                  <w:szCs w:val="20"/>
                  <w:u w:val="single"/>
                </w:rPr>
                <w:t>jan.svigar@mod.gov.sk</w:t>
              </w:r>
            </w:hyperlink>
            <w:r w:rsidR="00D13DB7">
              <w:rPr>
                <w:rStyle w:val="Zvraznenie"/>
                <w:rFonts w:ascii="Times" w:hAnsi="Times" w:cs="Times"/>
                <w:sz w:val="20"/>
                <w:szCs w:val="20"/>
              </w:rPr>
              <w:t>; </w:t>
            </w:r>
          </w:p>
        </w:tc>
      </w:tr>
      <w:tr w:rsidR="00D13DB7">
        <w:trPr>
          <w:divId w:val="19788752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12.  Zdroje</w:t>
            </w:r>
          </w:p>
        </w:tc>
      </w:tr>
      <w:tr w:rsidR="00D13DB7">
        <w:trPr>
          <w:divId w:val="19788752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Default="00D13DB7">
            <w:pPr>
              <w:rPr>
                <w:rFonts w:ascii="Times" w:hAnsi="Times" w:cs="Times"/>
                <w:sz w:val="20"/>
                <w:szCs w:val="20"/>
              </w:rPr>
            </w:pPr>
            <w:r>
              <w:rPr>
                <w:rFonts w:ascii="Times" w:hAnsi="Times" w:cs="Times"/>
                <w:sz w:val="20"/>
                <w:szCs w:val="20"/>
              </w:rPr>
              <w:t>Pri vypracovaní doložky vybraných vplyvov Ministerstvo obrany Slovenskej republiky vychádzalo z vlastných odhadov.</w:t>
            </w:r>
          </w:p>
        </w:tc>
      </w:tr>
      <w:tr w:rsidR="00D13DB7">
        <w:trPr>
          <w:divId w:val="19788752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13DB7" w:rsidRDefault="00D13DB7">
            <w:pPr>
              <w:rPr>
                <w:rFonts w:ascii="Times" w:hAnsi="Times" w:cs="Times"/>
                <w:b/>
                <w:bCs/>
                <w:sz w:val="22"/>
                <w:szCs w:val="22"/>
              </w:rPr>
            </w:pPr>
            <w:r>
              <w:rPr>
                <w:rFonts w:ascii="Times" w:hAnsi="Times" w:cs="Times"/>
                <w:b/>
                <w:bCs/>
                <w:sz w:val="22"/>
                <w:szCs w:val="22"/>
              </w:rPr>
              <w:t>  13.  Stanovisko Komisie pre posudzovanie vybraných vplyvov z PPK</w:t>
            </w:r>
          </w:p>
        </w:tc>
      </w:tr>
      <w:tr w:rsidR="00D13DB7">
        <w:trPr>
          <w:divId w:val="1978875242"/>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D13DB7" w:rsidRPr="00637CA4" w:rsidRDefault="00D13DB7">
            <w:pPr>
              <w:pStyle w:val="Normlnywebov"/>
              <w:rPr>
                <w:rFonts w:ascii="Times" w:hAnsi="Times" w:cs="Times"/>
                <w:sz w:val="20"/>
                <w:szCs w:val="20"/>
              </w:rPr>
            </w:pPr>
            <w:r w:rsidRPr="00637CA4">
              <w:rPr>
                <w:rStyle w:val="Siln"/>
                <w:rFonts w:ascii="Times" w:hAnsi="Times" w:cs="Times"/>
                <w:sz w:val="20"/>
                <w:szCs w:val="20"/>
              </w:rPr>
              <w:t xml:space="preserve">I. Úvod: </w:t>
            </w:r>
            <w:r w:rsidRPr="00637CA4">
              <w:rPr>
                <w:rFonts w:ascii="Times" w:hAnsi="Times" w:cs="Times"/>
                <w:sz w:val="20"/>
                <w:szCs w:val="20"/>
              </w:rPr>
              <w:t>Ministerstvo obrany SR predložilo dňa 21. apríla 2021 Stálej pracovnej komisii na posudzovanie vybraných vplyvov (ďalej len „Komisia“) na predbežné pripomienkové konanie materiál:</w:t>
            </w:r>
            <w:r w:rsidRPr="00637CA4">
              <w:rPr>
                <w:rStyle w:val="Zvraznenie"/>
                <w:rFonts w:ascii="Times" w:hAnsi="Times" w:cs="Times"/>
                <w:sz w:val="20"/>
                <w:szCs w:val="20"/>
              </w:rPr>
              <w:t xml:space="preserve"> „Návrh zákona, ktorým sa mení a dopĺňa zákon č. 570/2005 Z.z. o brannej povinnosti a o zmene a doplnení niektorých zákonov v znení neskorších predpisov a ktorým sa dopĺňa zákon č. 463/2003 Z.z. o vojnových veteránoch a o doplnení zákona č. 328/2002 Z.z. o sociálnom zabezpečení policajtov a vojakov  a o zmene a doplnení niektorých zákonov v znení neskorších predpisov v znení neskorších predpisov“</w:t>
            </w:r>
            <w:r w:rsidRPr="00637CA4">
              <w:rPr>
                <w:rFonts w:ascii="Times" w:hAnsi="Times" w:cs="Times"/>
                <w:sz w:val="20"/>
                <w:szCs w:val="20"/>
              </w:rPr>
              <w:t>. Materiál predpokladá negatívne vplyvy na rozpočet verejnej správy, ktoré sú rozpočtovo zabezpečené a pozitívne sociálne vplyvy.</w:t>
            </w:r>
          </w:p>
          <w:p w:rsidR="00D13DB7" w:rsidRPr="00637CA4" w:rsidRDefault="00D13DB7">
            <w:pPr>
              <w:pStyle w:val="Normlnywebov"/>
              <w:rPr>
                <w:rFonts w:ascii="Times" w:hAnsi="Times" w:cs="Times"/>
                <w:sz w:val="20"/>
                <w:szCs w:val="20"/>
              </w:rPr>
            </w:pPr>
            <w:r w:rsidRPr="00637CA4">
              <w:rPr>
                <w:rStyle w:val="Siln"/>
                <w:rFonts w:ascii="Times" w:hAnsi="Times" w:cs="Times"/>
                <w:sz w:val="20"/>
                <w:szCs w:val="20"/>
              </w:rPr>
              <w:t xml:space="preserve">II. Pripomienky a návrhy zmien: </w:t>
            </w:r>
            <w:r w:rsidRPr="00637CA4">
              <w:rPr>
                <w:rFonts w:ascii="Times" w:hAnsi="Times" w:cs="Times"/>
                <w:sz w:val="20"/>
                <w:szCs w:val="20"/>
              </w:rPr>
              <w:t>Komisia neuplatňuje k materiálu žiadne pripomienky ani odporúčania.</w:t>
            </w:r>
          </w:p>
          <w:p w:rsidR="00D13DB7" w:rsidRPr="00637CA4" w:rsidRDefault="00D13DB7">
            <w:pPr>
              <w:pStyle w:val="Normlnywebov"/>
              <w:rPr>
                <w:rFonts w:ascii="Times" w:hAnsi="Times" w:cs="Times"/>
                <w:sz w:val="20"/>
                <w:szCs w:val="20"/>
              </w:rPr>
            </w:pPr>
            <w:r w:rsidRPr="00637CA4">
              <w:rPr>
                <w:rStyle w:val="Siln"/>
                <w:rFonts w:ascii="Times" w:hAnsi="Times" w:cs="Times"/>
                <w:sz w:val="20"/>
                <w:szCs w:val="20"/>
              </w:rPr>
              <w:t>III. Záver:</w:t>
            </w:r>
            <w:r w:rsidRPr="00637CA4">
              <w:rPr>
                <w:rFonts w:ascii="Times" w:hAnsi="Times" w:cs="Times"/>
                <w:sz w:val="20"/>
                <w:szCs w:val="20"/>
              </w:rPr>
              <w:t xml:space="preserve"> Stála pracovná komisia na posudzovanie vybraných vplyvov vyjadruje</w:t>
            </w:r>
          </w:p>
          <w:p w:rsidR="00D13DB7" w:rsidRPr="00637CA4" w:rsidRDefault="00D13DB7">
            <w:pPr>
              <w:pStyle w:val="Normlnywebov"/>
              <w:jc w:val="center"/>
              <w:rPr>
                <w:rFonts w:ascii="Times" w:hAnsi="Times" w:cs="Times"/>
                <w:sz w:val="20"/>
                <w:szCs w:val="20"/>
              </w:rPr>
            </w:pPr>
            <w:r w:rsidRPr="00637CA4">
              <w:rPr>
                <w:rStyle w:val="Siln"/>
                <w:rFonts w:ascii="Times" w:hAnsi="Times" w:cs="Times"/>
                <w:sz w:val="20"/>
                <w:szCs w:val="20"/>
              </w:rPr>
              <w:t xml:space="preserve">súhlasné stanovisko </w:t>
            </w:r>
          </w:p>
          <w:p w:rsidR="00D13DB7" w:rsidRPr="00637CA4" w:rsidRDefault="00D13DB7">
            <w:pPr>
              <w:pStyle w:val="Normlnywebov"/>
              <w:rPr>
                <w:rFonts w:ascii="Times" w:hAnsi="Times" w:cs="Times"/>
                <w:sz w:val="20"/>
                <w:szCs w:val="20"/>
              </w:rPr>
            </w:pPr>
            <w:r w:rsidRPr="00637CA4">
              <w:rPr>
                <w:rFonts w:ascii="Times" w:hAnsi="Times" w:cs="Times"/>
                <w:sz w:val="20"/>
                <w:szCs w:val="20"/>
              </w:rPr>
              <w:t>s materiálom predloženým na predbežné pripomienkové konanie.</w:t>
            </w:r>
          </w:p>
        </w:tc>
      </w:tr>
    </w:tbl>
    <w:p w:rsidR="006931EC" w:rsidRDefault="006931EC" w:rsidP="00543B8E">
      <w:pPr>
        <w:pStyle w:val="Normlnywebov"/>
        <w:spacing w:before="0" w:beforeAutospacing="0" w:after="0" w:afterAutospacing="0"/>
        <w:rPr>
          <w:bCs/>
          <w:sz w:val="20"/>
          <w:szCs w:val="20"/>
        </w:rPr>
      </w:pPr>
    </w:p>
    <w:p w:rsidR="008E48FB" w:rsidRDefault="008E48FB"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Pr="00EA775E" w:rsidRDefault="004C429C" w:rsidP="004C429C">
      <w:pPr>
        <w:jc w:val="center"/>
        <w:rPr>
          <w:b/>
          <w:bCs/>
          <w:sz w:val="28"/>
          <w:szCs w:val="28"/>
        </w:rPr>
      </w:pPr>
      <w:r w:rsidRPr="00EA775E">
        <w:rPr>
          <w:b/>
          <w:bCs/>
          <w:sz w:val="28"/>
          <w:szCs w:val="28"/>
        </w:rPr>
        <w:lastRenderedPageBreak/>
        <w:t>Analýza vplyvov na rozpočet verejnej správy,</w:t>
      </w:r>
    </w:p>
    <w:p w:rsidR="004C429C" w:rsidRPr="00EA775E" w:rsidRDefault="004C429C" w:rsidP="004C429C">
      <w:pPr>
        <w:jc w:val="center"/>
        <w:rPr>
          <w:b/>
          <w:bCs/>
          <w:szCs w:val="28"/>
        </w:rPr>
      </w:pPr>
      <w:r w:rsidRPr="00EA775E">
        <w:rPr>
          <w:b/>
          <w:bCs/>
          <w:sz w:val="28"/>
          <w:szCs w:val="28"/>
        </w:rPr>
        <w:t>na zamestnanosť vo verejnej správe a financovanie návrhu</w:t>
      </w:r>
    </w:p>
    <w:p w:rsidR="004C429C" w:rsidRPr="00EA775E" w:rsidRDefault="004C429C" w:rsidP="004C429C">
      <w:pPr>
        <w:rPr>
          <w:b/>
          <w:bCs/>
        </w:rPr>
      </w:pPr>
    </w:p>
    <w:p w:rsidR="004C429C" w:rsidRPr="00EA775E" w:rsidRDefault="004C429C" w:rsidP="004C429C">
      <w:pPr>
        <w:rPr>
          <w:b/>
          <w:bCs/>
        </w:rPr>
      </w:pPr>
      <w:r w:rsidRPr="00EA775E">
        <w:rPr>
          <w:b/>
          <w:bCs/>
        </w:rPr>
        <w:t>2.1 Zhrnutie vplyvov na rozpočet verejnej správy v návrhu</w:t>
      </w:r>
    </w:p>
    <w:p w:rsidR="004C429C" w:rsidRPr="002114BF" w:rsidRDefault="004C429C" w:rsidP="004C429C">
      <w:pPr>
        <w:jc w:val="right"/>
        <w:rPr>
          <w:sz w:val="20"/>
          <w:szCs w:val="20"/>
        </w:rPr>
      </w:pPr>
    </w:p>
    <w:p w:rsidR="004C429C" w:rsidRPr="00EA775E" w:rsidRDefault="004C429C" w:rsidP="004C429C">
      <w:pPr>
        <w:jc w:val="right"/>
        <w:rPr>
          <w:sz w:val="20"/>
          <w:szCs w:val="20"/>
        </w:rPr>
      </w:pPr>
      <w:r w:rsidRPr="00EA775E">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14"/>
        <w:gridCol w:w="1320"/>
      </w:tblGrid>
      <w:tr w:rsidR="004C429C" w:rsidRPr="00EA775E" w:rsidTr="005720B6">
        <w:trPr>
          <w:cantSplit/>
          <w:trHeight w:val="194"/>
          <w:jc w:val="center"/>
        </w:trPr>
        <w:tc>
          <w:tcPr>
            <w:tcW w:w="4661" w:type="dxa"/>
            <w:vMerge w:val="restart"/>
            <w:shd w:val="clear" w:color="auto" w:fill="BFBFBF" w:themeFill="background1" w:themeFillShade="BF"/>
            <w:vAlign w:val="center"/>
          </w:tcPr>
          <w:p w:rsidR="004C429C" w:rsidRPr="00EA775E" w:rsidRDefault="004C429C" w:rsidP="005720B6">
            <w:pPr>
              <w:jc w:val="center"/>
              <w:rPr>
                <w:b/>
                <w:bCs/>
              </w:rPr>
            </w:pPr>
            <w:bookmarkStart w:id="1" w:name="OLE_LINK1"/>
            <w:r w:rsidRPr="00EA775E">
              <w:rPr>
                <w:b/>
                <w:bCs/>
              </w:rPr>
              <w:t>Vplyvy na rozpočet verejnej správy</w:t>
            </w:r>
          </w:p>
        </w:tc>
        <w:tc>
          <w:tcPr>
            <w:tcW w:w="5068" w:type="dxa"/>
            <w:gridSpan w:val="4"/>
            <w:shd w:val="clear" w:color="auto" w:fill="BFBFBF" w:themeFill="background1" w:themeFillShade="BF"/>
            <w:vAlign w:val="center"/>
          </w:tcPr>
          <w:p w:rsidR="004C429C" w:rsidRPr="00EA775E" w:rsidRDefault="004C429C" w:rsidP="005720B6">
            <w:pPr>
              <w:jc w:val="center"/>
              <w:rPr>
                <w:b/>
                <w:bCs/>
              </w:rPr>
            </w:pPr>
            <w:r w:rsidRPr="00EA775E">
              <w:rPr>
                <w:b/>
                <w:bCs/>
              </w:rPr>
              <w:t>Vplyv na rozpočet verejnej správy (v eurách)</w:t>
            </w:r>
          </w:p>
        </w:tc>
      </w:tr>
      <w:tr w:rsidR="004C429C" w:rsidRPr="00EA775E" w:rsidTr="005720B6">
        <w:trPr>
          <w:cantSplit/>
          <w:trHeight w:val="70"/>
          <w:jc w:val="center"/>
        </w:trPr>
        <w:tc>
          <w:tcPr>
            <w:tcW w:w="4661" w:type="dxa"/>
            <w:vMerge/>
            <w:shd w:val="clear" w:color="auto" w:fill="BFBFBF" w:themeFill="background1" w:themeFillShade="BF"/>
            <w:vAlign w:val="center"/>
          </w:tcPr>
          <w:p w:rsidR="004C429C" w:rsidRPr="00EA775E" w:rsidRDefault="004C429C" w:rsidP="005720B6">
            <w:pPr>
              <w:jc w:val="center"/>
              <w:rPr>
                <w:b/>
                <w:bCs/>
              </w:rPr>
            </w:pPr>
          </w:p>
        </w:tc>
        <w:tc>
          <w:tcPr>
            <w:tcW w:w="1267" w:type="dxa"/>
            <w:shd w:val="clear" w:color="auto" w:fill="BFBFBF" w:themeFill="background1" w:themeFillShade="BF"/>
            <w:vAlign w:val="center"/>
          </w:tcPr>
          <w:p w:rsidR="004C429C" w:rsidRPr="00EA775E" w:rsidRDefault="004C429C" w:rsidP="005720B6">
            <w:pPr>
              <w:jc w:val="center"/>
              <w:rPr>
                <w:b/>
                <w:bCs/>
              </w:rPr>
            </w:pPr>
            <w:r w:rsidRPr="00EA775E">
              <w:rPr>
                <w:b/>
                <w:bCs/>
              </w:rPr>
              <w:t>2021</w:t>
            </w:r>
          </w:p>
        </w:tc>
        <w:tc>
          <w:tcPr>
            <w:tcW w:w="1267" w:type="dxa"/>
            <w:shd w:val="clear" w:color="auto" w:fill="BFBFBF" w:themeFill="background1" w:themeFillShade="BF"/>
            <w:vAlign w:val="center"/>
          </w:tcPr>
          <w:p w:rsidR="004C429C" w:rsidRPr="00EA775E" w:rsidRDefault="004C429C" w:rsidP="005720B6">
            <w:pPr>
              <w:jc w:val="center"/>
              <w:rPr>
                <w:b/>
                <w:bCs/>
              </w:rPr>
            </w:pPr>
            <w:r w:rsidRPr="00EA775E">
              <w:rPr>
                <w:b/>
                <w:bCs/>
              </w:rPr>
              <w:t>2022</w:t>
            </w:r>
          </w:p>
        </w:tc>
        <w:tc>
          <w:tcPr>
            <w:tcW w:w="1214" w:type="dxa"/>
            <w:shd w:val="clear" w:color="auto" w:fill="BFBFBF" w:themeFill="background1" w:themeFillShade="BF"/>
            <w:vAlign w:val="center"/>
          </w:tcPr>
          <w:p w:rsidR="004C429C" w:rsidRPr="00EA775E" w:rsidRDefault="004C429C" w:rsidP="005720B6">
            <w:pPr>
              <w:jc w:val="center"/>
              <w:rPr>
                <w:b/>
                <w:bCs/>
              </w:rPr>
            </w:pPr>
            <w:r w:rsidRPr="00EA775E">
              <w:rPr>
                <w:b/>
                <w:bCs/>
              </w:rPr>
              <w:t>2023</w:t>
            </w:r>
          </w:p>
        </w:tc>
        <w:tc>
          <w:tcPr>
            <w:tcW w:w="1320" w:type="dxa"/>
            <w:shd w:val="clear" w:color="auto" w:fill="BFBFBF" w:themeFill="background1" w:themeFillShade="BF"/>
            <w:vAlign w:val="center"/>
          </w:tcPr>
          <w:p w:rsidR="004C429C" w:rsidRPr="00EA775E" w:rsidRDefault="004C429C" w:rsidP="005720B6">
            <w:pPr>
              <w:jc w:val="center"/>
              <w:rPr>
                <w:b/>
                <w:bCs/>
              </w:rPr>
            </w:pPr>
            <w:r w:rsidRPr="00EA775E">
              <w:rPr>
                <w:b/>
                <w:bCs/>
              </w:rPr>
              <w:t>2024</w:t>
            </w:r>
          </w:p>
        </w:tc>
      </w:tr>
      <w:tr w:rsidR="004C429C" w:rsidRPr="00EA775E" w:rsidTr="005720B6">
        <w:trPr>
          <w:trHeight w:val="70"/>
          <w:jc w:val="center"/>
        </w:trPr>
        <w:tc>
          <w:tcPr>
            <w:tcW w:w="4661" w:type="dxa"/>
            <w:shd w:val="clear" w:color="auto" w:fill="C0C0C0"/>
            <w:noWrap/>
            <w:vAlign w:val="center"/>
          </w:tcPr>
          <w:p w:rsidR="004C429C" w:rsidRPr="00EA775E" w:rsidRDefault="004C429C" w:rsidP="005720B6">
            <w:r w:rsidRPr="00EA775E">
              <w:rPr>
                <w:b/>
                <w:bCs/>
              </w:rPr>
              <w:t>Príjmy verejnej správy celkom</w:t>
            </w:r>
          </w:p>
        </w:tc>
        <w:tc>
          <w:tcPr>
            <w:tcW w:w="1267" w:type="dxa"/>
            <w:shd w:val="clear" w:color="auto" w:fill="C0C0C0"/>
            <w:vAlign w:val="center"/>
          </w:tcPr>
          <w:p w:rsidR="004C429C" w:rsidRPr="00EA775E" w:rsidRDefault="004C429C" w:rsidP="005720B6">
            <w:pPr>
              <w:jc w:val="right"/>
              <w:rPr>
                <w:b/>
                <w:bCs/>
              </w:rPr>
            </w:pPr>
            <w:r w:rsidRPr="00EA775E">
              <w:rPr>
                <w:b/>
                <w:bCs/>
              </w:rPr>
              <w:t>0</w:t>
            </w:r>
          </w:p>
        </w:tc>
        <w:tc>
          <w:tcPr>
            <w:tcW w:w="1267" w:type="dxa"/>
            <w:shd w:val="clear" w:color="auto" w:fill="C0C0C0"/>
            <w:vAlign w:val="center"/>
          </w:tcPr>
          <w:p w:rsidR="004C429C" w:rsidRPr="00EA775E" w:rsidRDefault="004C429C" w:rsidP="005720B6">
            <w:pPr>
              <w:jc w:val="right"/>
              <w:rPr>
                <w:b/>
                <w:bCs/>
              </w:rPr>
            </w:pPr>
            <w:r w:rsidRPr="00EA775E">
              <w:rPr>
                <w:b/>
                <w:bCs/>
              </w:rPr>
              <w:t>0</w:t>
            </w:r>
          </w:p>
        </w:tc>
        <w:tc>
          <w:tcPr>
            <w:tcW w:w="1214" w:type="dxa"/>
            <w:shd w:val="clear" w:color="auto" w:fill="C0C0C0"/>
            <w:vAlign w:val="center"/>
          </w:tcPr>
          <w:p w:rsidR="004C429C" w:rsidRPr="00EA775E" w:rsidRDefault="004C429C" w:rsidP="005720B6">
            <w:pPr>
              <w:jc w:val="right"/>
              <w:rPr>
                <w:b/>
                <w:bCs/>
              </w:rPr>
            </w:pPr>
            <w:r w:rsidRPr="00EA775E">
              <w:rPr>
                <w:b/>
                <w:bCs/>
              </w:rPr>
              <w:t>0</w:t>
            </w:r>
          </w:p>
        </w:tc>
        <w:tc>
          <w:tcPr>
            <w:tcW w:w="1320" w:type="dxa"/>
            <w:shd w:val="clear" w:color="auto" w:fill="C0C0C0"/>
            <w:vAlign w:val="center"/>
          </w:tcPr>
          <w:p w:rsidR="004C429C" w:rsidRPr="00EA775E" w:rsidRDefault="004C429C" w:rsidP="005720B6">
            <w:pPr>
              <w:jc w:val="right"/>
              <w:rPr>
                <w:b/>
                <w:bCs/>
              </w:rPr>
            </w:pPr>
            <w:r w:rsidRPr="00EA775E">
              <w:rPr>
                <w:b/>
                <w:bCs/>
              </w:rPr>
              <w:t>0</w:t>
            </w:r>
          </w:p>
        </w:tc>
      </w:tr>
      <w:tr w:rsidR="004C429C" w:rsidRPr="00EA775E" w:rsidTr="005720B6">
        <w:trPr>
          <w:trHeight w:val="132"/>
          <w:jc w:val="center"/>
        </w:trPr>
        <w:tc>
          <w:tcPr>
            <w:tcW w:w="4661" w:type="dxa"/>
            <w:noWrap/>
            <w:vAlign w:val="center"/>
          </w:tcPr>
          <w:p w:rsidR="004C429C" w:rsidRPr="00EA775E" w:rsidRDefault="004C429C" w:rsidP="005720B6">
            <w:r w:rsidRPr="00EA775E">
              <w:t>v tom: za každý subjekt verejnej správy zvlášť</w:t>
            </w:r>
          </w:p>
        </w:tc>
        <w:tc>
          <w:tcPr>
            <w:tcW w:w="1267" w:type="dxa"/>
            <w:noWrap/>
            <w:vAlign w:val="center"/>
          </w:tcPr>
          <w:p w:rsidR="004C429C" w:rsidRPr="00EA775E" w:rsidRDefault="004C429C" w:rsidP="005720B6">
            <w:pPr>
              <w:jc w:val="right"/>
            </w:pPr>
            <w:r w:rsidRPr="00EA775E">
              <w:t>0</w:t>
            </w:r>
          </w:p>
        </w:tc>
        <w:tc>
          <w:tcPr>
            <w:tcW w:w="1267" w:type="dxa"/>
            <w:noWrap/>
            <w:vAlign w:val="center"/>
          </w:tcPr>
          <w:p w:rsidR="004C429C" w:rsidRPr="00EA775E" w:rsidRDefault="004C429C" w:rsidP="005720B6">
            <w:pPr>
              <w:jc w:val="right"/>
            </w:pPr>
            <w:r w:rsidRPr="00EA775E">
              <w:t>0</w:t>
            </w:r>
          </w:p>
        </w:tc>
        <w:tc>
          <w:tcPr>
            <w:tcW w:w="1214" w:type="dxa"/>
            <w:noWrap/>
            <w:vAlign w:val="center"/>
          </w:tcPr>
          <w:p w:rsidR="004C429C" w:rsidRPr="00EA775E" w:rsidRDefault="004C429C" w:rsidP="005720B6">
            <w:pPr>
              <w:jc w:val="right"/>
            </w:pPr>
            <w:r w:rsidRPr="00EA775E">
              <w:t>0</w:t>
            </w:r>
          </w:p>
        </w:tc>
        <w:tc>
          <w:tcPr>
            <w:tcW w:w="1320" w:type="dxa"/>
            <w:noWrap/>
            <w:vAlign w:val="center"/>
          </w:tcPr>
          <w:p w:rsidR="004C429C" w:rsidRPr="00EA775E" w:rsidRDefault="004C429C" w:rsidP="005720B6">
            <w:pPr>
              <w:jc w:val="right"/>
            </w:pPr>
            <w:r w:rsidRPr="00EA775E">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xml:space="preserve">z toho:  </w:t>
            </w:r>
          </w:p>
        </w:tc>
        <w:tc>
          <w:tcPr>
            <w:tcW w:w="1267" w:type="dxa"/>
            <w:noWrap/>
            <w:vAlign w:val="center"/>
          </w:tcPr>
          <w:p w:rsidR="004C429C" w:rsidRPr="00EA775E" w:rsidRDefault="004C429C" w:rsidP="005720B6">
            <w:pPr>
              <w:jc w:val="right"/>
              <w:rPr>
                <w:b/>
                <w:bCs/>
                <w:iCs/>
              </w:rPr>
            </w:pPr>
          </w:p>
        </w:tc>
        <w:tc>
          <w:tcPr>
            <w:tcW w:w="1267" w:type="dxa"/>
            <w:noWrap/>
            <w:vAlign w:val="center"/>
          </w:tcPr>
          <w:p w:rsidR="004C429C" w:rsidRPr="00EA775E" w:rsidRDefault="004C429C" w:rsidP="005720B6">
            <w:pPr>
              <w:jc w:val="right"/>
              <w:rPr>
                <w:b/>
                <w:bCs/>
                <w:iCs/>
              </w:rPr>
            </w:pPr>
          </w:p>
        </w:tc>
        <w:tc>
          <w:tcPr>
            <w:tcW w:w="1214" w:type="dxa"/>
            <w:noWrap/>
            <w:vAlign w:val="center"/>
          </w:tcPr>
          <w:p w:rsidR="004C429C" w:rsidRPr="00EA775E" w:rsidRDefault="004C429C" w:rsidP="005720B6">
            <w:pPr>
              <w:jc w:val="right"/>
              <w:rPr>
                <w:b/>
                <w:bCs/>
                <w:iCs/>
              </w:rPr>
            </w:pPr>
          </w:p>
        </w:tc>
        <w:tc>
          <w:tcPr>
            <w:tcW w:w="1320" w:type="dxa"/>
            <w:noWrap/>
            <w:vAlign w:val="center"/>
          </w:tcPr>
          <w:p w:rsidR="004C429C" w:rsidRPr="00EA775E" w:rsidRDefault="004C429C" w:rsidP="005720B6">
            <w:pPr>
              <w:jc w:val="right"/>
              <w:rPr>
                <w:b/>
                <w:bCs/>
                <w:iCs/>
              </w:rPr>
            </w:pP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ŠR</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noWrap/>
            <w:vAlign w:val="center"/>
          </w:tcPr>
          <w:p w:rsidR="004C429C" w:rsidRPr="00EA775E" w:rsidRDefault="004C429C" w:rsidP="005720B6">
            <w:pPr>
              <w:ind w:left="259"/>
              <w:rPr>
                <w:b/>
                <w:bCs/>
                <w:i/>
                <w:iCs/>
              </w:rPr>
            </w:pPr>
            <w:r w:rsidRPr="00EA775E">
              <w:rPr>
                <w:bCs/>
                <w:i/>
                <w:iCs/>
              </w:rPr>
              <w:t>Rozpočtové prostriedky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noWrap/>
            <w:vAlign w:val="center"/>
          </w:tcPr>
          <w:p w:rsidR="004C429C" w:rsidRPr="00EA775E" w:rsidRDefault="004C429C" w:rsidP="005720B6">
            <w:pPr>
              <w:ind w:left="259"/>
              <w:rPr>
                <w:bCs/>
                <w:i/>
                <w:iCs/>
              </w:rPr>
            </w:pPr>
            <w:r w:rsidRPr="00EA775E">
              <w:rPr>
                <w:bCs/>
                <w:i/>
                <w:iCs/>
              </w:rPr>
              <w:t>EÚ zdroje</w:t>
            </w:r>
          </w:p>
        </w:tc>
        <w:tc>
          <w:tcPr>
            <w:tcW w:w="1267" w:type="dxa"/>
            <w:noWrap/>
            <w:vAlign w:val="center"/>
          </w:tcPr>
          <w:p w:rsidR="004C429C" w:rsidRPr="00EA775E" w:rsidRDefault="004C429C" w:rsidP="005720B6">
            <w:pPr>
              <w:jc w:val="right"/>
            </w:pPr>
            <w:r w:rsidRPr="00EA775E">
              <w:t>0</w:t>
            </w:r>
          </w:p>
        </w:tc>
        <w:tc>
          <w:tcPr>
            <w:tcW w:w="1267" w:type="dxa"/>
            <w:noWrap/>
            <w:vAlign w:val="center"/>
          </w:tcPr>
          <w:p w:rsidR="004C429C" w:rsidRPr="00EA775E" w:rsidRDefault="004C429C" w:rsidP="005720B6">
            <w:pPr>
              <w:jc w:val="right"/>
            </w:pPr>
            <w:r w:rsidRPr="00EA775E">
              <w:t>0</w:t>
            </w:r>
          </w:p>
        </w:tc>
        <w:tc>
          <w:tcPr>
            <w:tcW w:w="1214" w:type="dxa"/>
            <w:noWrap/>
            <w:vAlign w:val="center"/>
          </w:tcPr>
          <w:p w:rsidR="004C429C" w:rsidRPr="00EA775E" w:rsidRDefault="004C429C" w:rsidP="005720B6">
            <w:pPr>
              <w:jc w:val="right"/>
            </w:pPr>
            <w:r w:rsidRPr="00EA775E">
              <w:t>0</w:t>
            </w:r>
          </w:p>
        </w:tc>
        <w:tc>
          <w:tcPr>
            <w:tcW w:w="1320" w:type="dxa"/>
            <w:noWrap/>
            <w:vAlign w:val="center"/>
          </w:tcPr>
          <w:p w:rsidR="004C429C" w:rsidRPr="00EA775E" w:rsidRDefault="004C429C" w:rsidP="005720B6">
            <w:pPr>
              <w:jc w:val="right"/>
            </w:pPr>
            <w:r w:rsidRPr="00EA775E">
              <w:t>0</w:t>
            </w: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obce</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vyššie územné celky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ostatné subjekty verejnej správy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shd w:val="clear" w:color="auto" w:fill="C0C0C0"/>
            <w:noWrap/>
            <w:vAlign w:val="center"/>
          </w:tcPr>
          <w:p w:rsidR="004C429C" w:rsidRPr="00EA775E" w:rsidRDefault="004C429C" w:rsidP="005720B6">
            <w:pPr>
              <w:rPr>
                <w:b/>
                <w:bCs/>
              </w:rPr>
            </w:pPr>
            <w:r w:rsidRPr="00EA775E">
              <w:rPr>
                <w:b/>
                <w:bCs/>
              </w:rPr>
              <w:t>Výdavky verejnej správy celkom</w:t>
            </w:r>
          </w:p>
        </w:tc>
        <w:tc>
          <w:tcPr>
            <w:tcW w:w="1267" w:type="dxa"/>
            <w:shd w:val="clear" w:color="auto" w:fill="C0C0C0"/>
            <w:noWrap/>
            <w:vAlign w:val="center"/>
          </w:tcPr>
          <w:p w:rsidR="004C429C" w:rsidRPr="00EA775E" w:rsidRDefault="004C429C" w:rsidP="005720B6">
            <w:pPr>
              <w:jc w:val="right"/>
              <w:rPr>
                <w:b/>
                <w:bCs/>
              </w:rPr>
            </w:pPr>
            <w:r w:rsidRPr="00EA775E">
              <w:rPr>
                <w:b/>
                <w:bCs/>
              </w:rPr>
              <w:t>0</w:t>
            </w:r>
          </w:p>
        </w:tc>
        <w:tc>
          <w:tcPr>
            <w:tcW w:w="1267" w:type="dxa"/>
            <w:shd w:val="clear" w:color="auto" w:fill="C0C0C0"/>
            <w:noWrap/>
            <w:vAlign w:val="center"/>
          </w:tcPr>
          <w:p w:rsidR="004C429C" w:rsidRPr="00EA775E" w:rsidRDefault="004C429C" w:rsidP="005720B6">
            <w:pPr>
              <w:jc w:val="right"/>
              <w:rPr>
                <w:b/>
                <w:bCs/>
              </w:rPr>
            </w:pPr>
            <w:r w:rsidRPr="00EA775E">
              <w:rPr>
                <w:b/>
                <w:bCs/>
              </w:rPr>
              <w:t>7314</w:t>
            </w:r>
          </w:p>
        </w:tc>
        <w:tc>
          <w:tcPr>
            <w:tcW w:w="1214" w:type="dxa"/>
            <w:shd w:val="clear" w:color="auto" w:fill="C0C0C0"/>
            <w:noWrap/>
            <w:vAlign w:val="center"/>
          </w:tcPr>
          <w:p w:rsidR="004C429C" w:rsidRPr="00EA775E" w:rsidRDefault="004C429C" w:rsidP="005720B6">
            <w:pPr>
              <w:jc w:val="right"/>
              <w:rPr>
                <w:b/>
                <w:bCs/>
              </w:rPr>
            </w:pPr>
            <w:r w:rsidRPr="00EA775E">
              <w:rPr>
                <w:b/>
                <w:bCs/>
              </w:rPr>
              <w:t>7314</w:t>
            </w:r>
          </w:p>
        </w:tc>
        <w:tc>
          <w:tcPr>
            <w:tcW w:w="1320" w:type="dxa"/>
            <w:shd w:val="clear" w:color="auto" w:fill="C0C0C0"/>
            <w:noWrap/>
            <w:vAlign w:val="center"/>
          </w:tcPr>
          <w:p w:rsidR="004C429C" w:rsidRPr="00EA775E" w:rsidRDefault="004C429C" w:rsidP="005720B6">
            <w:pPr>
              <w:jc w:val="right"/>
              <w:rPr>
                <w:b/>
                <w:bCs/>
              </w:rPr>
            </w:pPr>
            <w:r w:rsidRPr="00EA775E">
              <w:rPr>
                <w:b/>
                <w:bCs/>
              </w:rPr>
              <w:t>7314</w:t>
            </w:r>
          </w:p>
        </w:tc>
      </w:tr>
      <w:tr w:rsidR="004C429C" w:rsidRPr="00EA775E" w:rsidTr="005720B6">
        <w:trPr>
          <w:trHeight w:val="70"/>
          <w:jc w:val="center"/>
        </w:trPr>
        <w:tc>
          <w:tcPr>
            <w:tcW w:w="4661" w:type="dxa"/>
            <w:noWrap/>
            <w:vAlign w:val="center"/>
          </w:tcPr>
          <w:p w:rsidR="004C429C" w:rsidRPr="00EA775E" w:rsidRDefault="004C429C" w:rsidP="005720B6">
            <w:r w:rsidRPr="00EA775E">
              <w:t>v tom: Ministerstvo obrany SR – program 096 – Obrana</w:t>
            </w:r>
          </w:p>
        </w:tc>
        <w:tc>
          <w:tcPr>
            <w:tcW w:w="1267" w:type="dxa"/>
            <w:noWrap/>
            <w:vAlign w:val="center"/>
          </w:tcPr>
          <w:p w:rsidR="004C429C" w:rsidRPr="00EA775E" w:rsidRDefault="004C429C" w:rsidP="005720B6">
            <w:pPr>
              <w:jc w:val="right"/>
              <w:rPr>
                <w:b/>
                <w:bCs/>
              </w:rPr>
            </w:pPr>
            <w:r w:rsidRPr="00EA775E">
              <w:rPr>
                <w:b/>
                <w:bCs/>
              </w:rPr>
              <w:t>0</w:t>
            </w:r>
          </w:p>
        </w:tc>
        <w:tc>
          <w:tcPr>
            <w:tcW w:w="1267" w:type="dxa"/>
            <w:noWrap/>
            <w:vAlign w:val="center"/>
          </w:tcPr>
          <w:p w:rsidR="004C429C" w:rsidRPr="00EA775E" w:rsidRDefault="004C429C" w:rsidP="005720B6">
            <w:pPr>
              <w:jc w:val="right"/>
              <w:rPr>
                <w:b/>
                <w:bCs/>
              </w:rPr>
            </w:pPr>
            <w:r w:rsidRPr="00EA775E">
              <w:rPr>
                <w:b/>
                <w:bCs/>
              </w:rPr>
              <w:t>7314</w:t>
            </w:r>
          </w:p>
        </w:tc>
        <w:tc>
          <w:tcPr>
            <w:tcW w:w="1214" w:type="dxa"/>
            <w:noWrap/>
            <w:vAlign w:val="center"/>
          </w:tcPr>
          <w:p w:rsidR="004C429C" w:rsidRPr="00EA775E" w:rsidRDefault="004C429C" w:rsidP="005720B6">
            <w:pPr>
              <w:jc w:val="right"/>
              <w:rPr>
                <w:b/>
                <w:bCs/>
              </w:rPr>
            </w:pPr>
            <w:r w:rsidRPr="00EA775E">
              <w:rPr>
                <w:b/>
                <w:bCs/>
              </w:rPr>
              <w:t>7314</w:t>
            </w:r>
          </w:p>
        </w:tc>
        <w:tc>
          <w:tcPr>
            <w:tcW w:w="1320" w:type="dxa"/>
            <w:noWrap/>
            <w:vAlign w:val="center"/>
          </w:tcPr>
          <w:p w:rsidR="004C429C" w:rsidRPr="00EA775E" w:rsidRDefault="004C429C" w:rsidP="005720B6">
            <w:pPr>
              <w:jc w:val="right"/>
              <w:rPr>
                <w:b/>
                <w:bCs/>
              </w:rPr>
            </w:pPr>
            <w:r w:rsidRPr="00EA775E">
              <w:rPr>
                <w:b/>
                <w:bCs/>
              </w:rPr>
              <w:t>7314</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xml:space="preserve">z toho: </w:t>
            </w:r>
          </w:p>
        </w:tc>
        <w:tc>
          <w:tcPr>
            <w:tcW w:w="1267" w:type="dxa"/>
            <w:noWrap/>
            <w:vAlign w:val="center"/>
          </w:tcPr>
          <w:p w:rsidR="004C429C" w:rsidRPr="00EA775E" w:rsidRDefault="004C429C" w:rsidP="005720B6">
            <w:pPr>
              <w:jc w:val="right"/>
              <w:rPr>
                <w:b/>
                <w:bCs/>
              </w:rPr>
            </w:pPr>
          </w:p>
        </w:tc>
        <w:tc>
          <w:tcPr>
            <w:tcW w:w="1267" w:type="dxa"/>
            <w:noWrap/>
            <w:vAlign w:val="center"/>
          </w:tcPr>
          <w:p w:rsidR="004C429C" w:rsidRPr="00EA775E" w:rsidRDefault="004C429C" w:rsidP="005720B6">
            <w:pPr>
              <w:jc w:val="right"/>
              <w:rPr>
                <w:b/>
                <w:bCs/>
              </w:rPr>
            </w:pPr>
          </w:p>
        </w:tc>
        <w:tc>
          <w:tcPr>
            <w:tcW w:w="1214" w:type="dxa"/>
            <w:noWrap/>
            <w:vAlign w:val="center"/>
          </w:tcPr>
          <w:p w:rsidR="004C429C" w:rsidRPr="00EA775E" w:rsidRDefault="004C429C" w:rsidP="005720B6">
            <w:pPr>
              <w:jc w:val="right"/>
              <w:rPr>
                <w:b/>
                <w:bCs/>
              </w:rPr>
            </w:pPr>
          </w:p>
        </w:tc>
        <w:tc>
          <w:tcPr>
            <w:tcW w:w="1320" w:type="dxa"/>
            <w:noWrap/>
            <w:vAlign w:val="center"/>
          </w:tcPr>
          <w:p w:rsidR="004C429C" w:rsidRPr="00EA775E" w:rsidRDefault="004C429C" w:rsidP="005720B6">
            <w:pPr>
              <w:jc w:val="right"/>
              <w:rPr>
                <w:b/>
                <w:bCs/>
              </w:rPr>
            </w:pP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ŠR</w:t>
            </w:r>
          </w:p>
        </w:tc>
        <w:tc>
          <w:tcPr>
            <w:tcW w:w="1267" w:type="dxa"/>
            <w:noWrap/>
            <w:vAlign w:val="center"/>
          </w:tcPr>
          <w:p w:rsidR="004C429C" w:rsidRPr="00EA775E" w:rsidRDefault="004C429C" w:rsidP="005720B6">
            <w:pPr>
              <w:jc w:val="right"/>
              <w:rPr>
                <w:b/>
                <w:bCs/>
              </w:rPr>
            </w:pPr>
            <w:r w:rsidRPr="00EA775E">
              <w:rPr>
                <w:b/>
                <w:bCs/>
              </w:rPr>
              <w:t>0</w:t>
            </w:r>
          </w:p>
        </w:tc>
        <w:tc>
          <w:tcPr>
            <w:tcW w:w="1267" w:type="dxa"/>
            <w:noWrap/>
            <w:vAlign w:val="center"/>
          </w:tcPr>
          <w:p w:rsidR="004C429C" w:rsidRPr="00EA775E" w:rsidRDefault="004C429C" w:rsidP="005720B6">
            <w:pPr>
              <w:jc w:val="right"/>
              <w:rPr>
                <w:b/>
                <w:bCs/>
              </w:rPr>
            </w:pPr>
            <w:r w:rsidRPr="00EA775E">
              <w:rPr>
                <w:b/>
                <w:bCs/>
              </w:rPr>
              <w:t>7314</w:t>
            </w:r>
          </w:p>
        </w:tc>
        <w:tc>
          <w:tcPr>
            <w:tcW w:w="1214" w:type="dxa"/>
            <w:noWrap/>
          </w:tcPr>
          <w:p w:rsidR="004C429C" w:rsidRPr="00EA775E" w:rsidRDefault="004C429C" w:rsidP="005720B6">
            <w:pPr>
              <w:jc w:val="right"/>
              <w:rPr>
                <w:b/>
              </w:rPr>
            </w:pPr>
            <w:r w:rsidRPr="00EA775E">
              <w:rPr>
                <w:b/>
                <w:bCs/>
              </w:rPr>
              <w:t>7314</w:t>
            </w:r>
          </w:p>
        </w:tc>
        <w:tc>
          <w:tcPr>
            <w:tcW w:w="1320" w:type="dxa"/>
            <w:noWrap/>
          </w:tcPr>
          <w:p w:rsidR="004C429C" w:rsidRPr="00EA775E" w:rsidRDefault="004C429C" w:rsidP="005720B6">
            <w:pPr>
              <w:jc w:val="right"/>
              <w:rPr>
                <w:b/>
              </w:rPr>
            </w:pPr>
            <w:r w:rsidRPr="00EA775E">
              <w:rPr>
                <w:b/>
              </w:rPr>
              <w:t>7314</w:t>
            </w:r>
          </w:p>
        </w:tc>
      </w:tr>
      <w:tr w:rsidR="004C429C" w:rsidRPr="00EA775E" w:rsidTr="005720B6">
        <w:trPr>
          <w:trHeight w:val="70"/>
          <w:jc w:val="center"/>
        </w:trPr>
        <w:tc>
          <w:tcPr>
            <w:tcW w:w="4661" w:type="dxa"/>
            <w:noWrap/>
            <w:vAlign w:val="center"/>
          </w:tcPr>
          <w:p w:rsidR="004C429C" w:rsidRPr="00EA775E" w:rsidRDefault="004C429C" w:rsidP="005720B6">
            <w:pPr>
              <w:ind w:left="259"/>
              <w:rPr>
                <w:b/>
                <w:bCs/>
                <w:i/>
                <w:iCs/>
              </w:rPr>
            </w:pPr>
            <w:r w:rsidRPr="00EA775E">
              <w:rPr>
                <w:bCs/>
                <w:i/>
                <w:iCs/>
              </w:rPr>
              <w:t>Rozpočtové prostriedky</w:t>
            </w:r>
          </w:p>
        </w:tc>
        <w:tc>
          <w:tcPr>
            <w:tcW w:w="1267" w:type="dxa"/>
            <w:noWrap/>
            <w:vAlign w:val="center"/>
          </w:tcPr>
          <w:p w:rsidR="004C429C" w:rsidRPr="00EA775E" w:rsidRDefault="004C429C" w:rsidP="005720B6">
            <w:pPr>
              <w:jc w:val="right"/>
              <w:rPr>
                <w:b/>
                <w:bCs/>
              </w:rPr>
            </w:pPr>
            <w:r w:rsidRPr="00EA775E">
              <w:rPr>
                <w:b/>
                <w:bCs/>
              </w:rPr>
              <w:t>0</w:t>
            </w:r>
          </w:p>
        </w:tc>
        <w:tc>
          <w:tcPr>
            <w:tcW w:w="1267" w:type="dxa"/>
            <w:noWrap/>
          </w:tcPr>
          <w:p w:rsidR="004C429C" w:rsidRPr="00EA775E" w:rsidRDefault="004C429C" w:rsidP="005720B6">
            <w:pPr>
              <w:jc w:val="right"/>
              <w:rPr>
                <w:b/>
              </w:rPr>
            </w:pPr>
            <w:r w:rsidRPr="00EA775E">
              <w:rPr>
                <w:b/>
              </w:rPr>
              <w:t>7314</w:t>
            </w:r>
          </w:p>
        </w:tc>
        <w:tc>
          <w:tcPr>
            <w:tcW w:w="1214" w:type="dxa"/>
            <w:noWrap/>
          </w:tcPr>
          <w:p w:rsidR="004C429C" w:rsidRPr="00EA775E" w:rsidRDefault="004C429C" w:rsidP="005720B6">
            <w:pPr>
              <w:jc w:val="right"/>
              <w:rPr>
                <w:b/>
              </w:rPr>
            </w:pPr>
            <w:r w:rsidRPr="00EA775E">
              <w:rPr>
                <w:b/>
              </w:rPr>
              <w:t>7314</w:t>
            </w:r>
          </w:p>
        </w:tc>
        <w:tc>
          <w:tcPr>
            <w:tcW w:w="1320" w:type="dxa"/>
            <w:noWrap/>
          </w:tcPr>
          <w:p w:rsidR="004C429C" w:rsidRPr="00EA775E" w:rsidRDefault="004C429C" w:rsidP="005720B6">
            <w:pPr>
              <w:jc w:val="right"/>
              <w:rPr>
                <w:b/>
              </w:rPr>
            </w:pPr>
            <w:r w:rsidRPr="00EA775E">
              <w:rPr>
                <w:b/>
              </w:rPr>
              <w:t>7314</w:t>
            </w:r>
          </w:p>
        </w:tc>
      </w:tr>
      <w:tr w:rsidR="004C429C" w:rsidRPr="00EA775E" w:rsidTr="005720B6">
        <w:trPr>
          <w:trHeight w:val="70"/>
          <w:jc w:val="center"/>
        </w:trPr>
        <w:tc>
          <w:tcPr>
            <w:tcW w:w="4661" w:type="dxa"/>
            <w:noWrap/>
            <w:vAlign w:val="center"/>
          </w:tcPr>
          <w:p w:rsidR="004C429C" w:rsidRPr="00EA775E" w:rsidRDefault="004C429C" w:rsidP="005720B6">
            <w:pPr>
              <w:rPr>
                <w:bCs/>
                <w:i/>
                <w:iCs/>
              </w:rPr>
            </w:pPr>
            <w:r w:rsidRPr="00EA775E">
              <w:rPr>
                <w:bCs/>
                <w:i/>
                <w:iCs/>
              </w:rPr>
              <w:t xml:space="preserve">    EÚ zdroje</w:t>
            </w:r>
          </w:p>
        </w:tc>
        <w:tc>
          <w:tcPr>
            <w:tcW w:w="1267" w:type="dxa"/>
            <w:noWrap/>
            <w:vAlign w:val="center"/>
          </w:tcPr>
          <w:p w:rsidR="004C429C" w:rsidRPr="00EA775E" w:rsidRDefault="004C429C" w:rsidP="005720B6">
            <w:pPr>
              <w:jc w:val="right"/>
            </w:pPr>
            <w:r w:rsidRPr="00EA775E">
              <w:t>0</w:t>
            </w:r>
          </w:p>
        </w:tc>
        <w:tc>
          <w:tcPr>
            <w:tcW w:w="1267" w:type="dxa"/>
            <w:noWrap/>
            <w:vAlign w:val="center"/>
          </w:tcPr>
          <w:p w:rsidR="004C429C" w:rsidRPr="00EA775E" w:rsidRDefault="004C429C" w:rsidP="005720B6">
            <w:pPr>
              <w:jc w:val="right"/>
            </w:pPr>
            <w:r w:rsidRPr="00EA775E">
              <w:t>0</w:t>
            </w:r>
          </w:p>
        </w:tc>
        <w:tc>
          <w:tcPr>
            <w:tcW w:w="1214" w:type="dxa"/>
            <w:noWrap/>
            <w:vAlign w:val="center"/>
          </w:tcPr>
          <w:p w:rsidR="004C429C" w:rsidRPr="00EA775E" w:rsidRDefault="004C429C" w:rsidP="005720B6">
            <w:pPr>
              <w:jc w:val="right"/>
            </w:pPr>
            <w:r w:rsidRPr="00EA775E">
              <w:t>0</w:t>
            </w:r>
          </w:p>
        </w:tc>
        <w:tc>
          <w:tcPr>
            <w:tcW w:w="1320" w:type="dxa"/>
            <w:noWrap/>
            <w:vAlign w:val="center"/>
          </w:tcPr>
          <w:p w:rsidR="004C429C" w:rsidRPr="00EA775E" w:rsidRDefault="004C429C" w:rsidP="005720B6">
            <w:pPr>
              <w:jc w:val="right"/>
            </w:pPr>
            <w:r w:rsidRPr="00EA775E">
              <w:t>0</w:t>
            </w:r>
          </w:p>
        </w:tc>
      </w:tr>
      <w:tr w:rsidR="004C429C" w:rsidRPr="00EA775E" w:rsidTr="005720B6">
        <w:trPr>
          <w:trHeight w:val="70"/>
          <w:jc w:val="center"/>
        </w:trPr>
        <w:tc>
          <w:tcPr>
            <w:tcW w:w="4661" w:type="dxa"/>
            <w:noWrap/>
            <w:vAlign w:val="center"/>
          </w:tcPr>
          <w:p w:rsidR="004C429C" w:rsidRPr="00EA775E" w:rsidRDefault="004C429C" w:rsidP="005720B6">
            <w:pPr>
              <w:rPr>
                <w:bCs/>
                <w:i/>
                <w:iCs/>
              </w:rPr>
            </w:pPr>
            <w:r w:rsidRPr="00EA775E">
              <w:rPr>
                <w:bCs/>
                <w:i/>
                <w:iCs/>
              </w:rPr>
              <w:t xml:space="preserve">    Spolufinancovanie</w:t>
            </w:r>
          </w:p>
        </w:tc>
        <w:tc>
          <w:tcPr>
            <w:tcW w:w="1267" w:type="dxa"/>
            <w:noWrap/>
            <w:vAlign w:val="center"/>
          </w:tcPr>
          <w:p w:rsidR="004C429C" w:rsidRPr="00EA775E" w:rsidRDefault="004C429C" w:rsidP="005720B6">
            <w:pPr>
              <w:jc w:val="right"/>
            </w:pPr>
            <w:r w:rsidRPr="00EA775E">
              <w:t>0</w:t>
            </w:r>
          </w:p>
        </w:tc>
        <w:tc>
          <w:tcPr>
            <w:tcW w:w="1267" w:type="dxa"/>
            <w:noWrap/>
            <w:vAlign w:val="center"/>
          </w:tcPr>
          <w:p w:rsidR="004C429C" w:rsidRPr="00EA775E" w:rsidRDefault="004C429C" w:rsidP="005720B6">
            <w:pPr>
              <w:jc w:val="right"/>
            </w:pPr>
            <w:r w:rsidRPr="00EA775E">
              <w:t>0</w:t>
            </w:r>
          </w:p>
        </w:tc>
        <w:tc>
          <w:tcPr>
            <w:tcW w:w="1214" w:type="dxa"/>
            <w:noWrap/>
            <w:vAlign w:val="center"/>
          </w:tcPr>
          <w:p w:rsidR="004C429C" w:rsidRPr="00EA775E" w:rsidRDefault="004C429C" w:rsidP="005720B6">
            <w:pPr>
              <w:jc w:val="right"/>
            </w:pPr>
            <w:r w:rsidRPr="00EA775E">
              <w:t>0</w:t>
            </w:r>
          </w:p>
        </w:tc>
        <w:tc>
          <w:tcPr>
            <w:tcW w:w="1320" w:type="dxa"/>
            <w:noWrap/>
            <w:vAlign w:val="center"/>
          </w:tcPr>
          <w:p w:rsidR="004C429C" w:rsidRPr="00EA775E" w:rsidRDefault="004C429C" w:rsidP="005720B6">
            <w:pPr>
              <w:jc w:val="right"/>
            </w:pPr>
            <w:r w:rsidRPr="00EA775E">
              <w:t>0</w:t>
            </w: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obce</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125"/>
          <w:jc w:val="center"/>
        </w:trPr>
        <w:tc>
          <w:tcPr>
            <w:tcW w:w="4661" w:type="dxa"/>
            <w:noWrap/>
            <w:vAlign w:val="center"/>
          </w:tcPr>
          <w:p w:rsidR="004C429C" w:rsidRPr="00EA775E" w:rsidRDefault="004C429C" w:rsidP="005720B6">
            <w:pPr>
              <w:rPr>
                <w:b/>
                <w:bCs/>
                <w:i/>
                <w:iCs/>
              </w:rPr>
            </w:pPr>
            <w:r w:rsidRPr="00EA775E">
              <w:rPr>
                <w:b/>
                <w:bCs/>
                <w:i/>
                <w:iCs/>
              </w:rPr>
              <w:t>- vplyv na vyššie územné celky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rPr>
            </w:pPr>
            <w:r w:rsidRPr="00EA775E">
              <w:rPr>
                <w:b/>
                <w:bCs/>
                <w:i/>
                <w:iCs/>
              </w:rPr>
              <w:t>- vplyv na ostatné subjekty verejnej správy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shd w:val="clear" w:color="auto" w:fill="BFBFBF" w:themeFill="background1" w:themeFillShade="BF"/>
            <w:noWrap/>
            <w:vAlign w:val="center"/>
          </w:tcPr>
          <w:p w:rsidR="004C429C" w:rsidRPr="00EA775E" w:rsidRDefault="004C429C" w:rsidP="005720B6">
            <w:pPr>
              <w:rPr>
                <w:b/>
                <w:bCs/>
              </w:rPr>
            </w:pPr>
            <w:r w:rsidRPr="00EA775E">
              <w:rPr>
                <w:b/>
                <w:bCs/>
              </w:rPr>
              <w:t xml:space="preserve">Vplyv na počet zamestnancov </w:t>
            </w:r>
          </w:p>
        </w:tc>
        <w:tc>
          <w:tcPr>
            <w:tcW w:w="1267"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267"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214"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320"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ŠR</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obce</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vyššie územné celky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ostatné subjekty verejnej správy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shd w:val="clear" w:color="auto" w:fill="BFBFBF" w:themeFill="background1" w:themeFillShade="BF"/>
            <w:noWrap/>
            <w:vAlign w:val="center"/>
          </w:tcPr>
          <w:p w:rsidR="004C429C" w:rsidRPr="00EA775E" w:rsidRDefault="004C429C" w:rsidP="005720B6">
            <w:pPr>
              <w:rPr>
                <w:b/>
              </w:rPr>
            </w:pPr>
            <w:r w:rsidRPr="00EA775E">
              <w:rPr>
                <w:b/>
              </w:rPr>
              <w:t>Vplyv na mzdové výdavky</w:t>
            </w:r>
          </w:p>
        </w:tc>
        <w:tc>
          <w:tcPr>
            <w:tcW w:w="1267" w:type="dxa"/>
            <w:shd w:val="clear" w:color="auto" w:fill="BFBFBF" w:themeFill="background1" w:themeFillShade="BF"/>
            <w:noWrap/>
            <w:vAlign w:val="center"/>
          </w:tcPr>
          <w:p w:rsidR="004C429C" w:rsidRPr="00EA775E" w:rsidRDefault="004C429C" w:rsidP="005720B6">
            <w:pPr>
              <w:jc w:val="right"/>
              <w:rPr>
                <w:b/>
              </w:rPr>
            </w:pPr>
            <w:r w:rsidRPr="00EA775E">
              <w:rPr>
                <w:b/>
              </w:rPr>
              <w:t>0</w:t>
            </w:r>
          </w:p>
        </w:tc>
        <w:tc>
          <w:tcPr>
            <w:tcW w:w="1267" w:type="dxa"/>
            <w:shd w:val="clear" w:color="auto" w:fill="BFBFBF" w:themeFill="background1" w:themeFillShade="BF"/>
            <w:noWrap/>
            <w:vAlign w:val="center"/>
          </w:tcPr>
          <w:p w:rsidR="004C429C" w:rsidRPr="00EA775E" w:rsidRDefault="004C429C" w:rsidP="005720B6">
            <w:pPr>
              <w:jc w:val="right"/>
              <w:rPr>
                <w:b/>
              </w:rPr>
            </w:pPr>
            <w:r w:rsidRPr="00EA775E">
              <w:rPr>
                <w:b/>
              </w:rPr>
              <w:t>0</w:t>
            </w:r>
          </w:p>
        </w:tc>
        <w:tc>
          <w:tcPr>
            <w:tcW w:w="1214" w:type="dxa"/>
            <w:shd w:val="clear" w:color="auto" w:fill="BFBFBF" w:themeFill="background1" w:themeFillShade="BF"/>
            <w:noWrap/>
            <w:vAlign w:val="center"/>
          </w:tcPr>
          <w:p w:rsidR="004C429C" w:rsidRPr="00EA775E" w:rsidRDefault="004C429C" w:rsidP="005720B6">
            <w:pPr>
              <w:jc w:val="right"/>
              <w:rPr>
                <w:b/>
              </w:rPr>
            </w:pPr>
            <w:r w:rsidRPr="00EA775E">
              <w:rPr>
                <w:b/>
              </w:rPr>
              <w:t>0</w:t>
            </w:r>
          </w:p>
        </w:tc>
        <w:tc>
          <w:tcPr>
            <w:tcW w:w="1320" w:type="dxa"/>
            <w:shd w:val="clear" w:color="auto" w:fill="BFBFBF" w:themeFill="background1" w:themeFillShade="BF"/>
            <w:noWrap/>
            <w:vAlign w:val="center"/>
          </w:tcPr>
          <w:p w:rsidR="004C429C" w:rsidRPr="00EA775E" w:rsidRDefault="004C429C" w:rsidP="005720B6">
            <w:pPr>
              <w:jc w:val="right"/>
              <w:rPr>
                <w:b/>
              </w:rPr>
            </w:pPr>
            <w:r w:rsidRPr="00EA775E">
              <w:rPr>
                <w:b/>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ŠR</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obce</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i/>
                <w:iCs/>
              </w:rPr>
            </w:pPr>
            <w:r w:rsidRPr="00EA775E">
              <w:rPr>
                <w:b/>
                <w:bCs/>
                <w:i/>
                <w:iCs/>
              </w:rPr>
              <w:t>- vplyv na vyššie územné celky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noWrap/>
            <w:vAlign w:val="center"/>
          </w:tcPr>
          <w:p w:rsidR="004C429C" w:rsidRPr="00EA775E" w:rsidRDefault="004C429C" w:rsidP="005720B6">
            <w:pPr>
              <w:rPr>
                <w:b/>
                <w:bCs/>
              </w:rPr>
            </w:pPr>
            <w:r w:rsidRPr="00EA775E">
              <w:rPr>
                <w:b/>
                <w:bCs/>
                <w:i/>
                <w:iCs/>
              </w:rPr>
              <w:t>- vplyv na ostatné subjekty verejnej správy</w:t>
            </w:r>
          </w:p>
        </w:tc>
        <w:tc>
          <w:tcPr>
            <w:tcW w:w="1267" w:type="dxa"/>
            <w:noWrap/>
            <w:vAlign w:val="center"/>
          </w:tcPr>
          <w:p w:rsidR="004C429C" w:rsidRPr="00EA775E" w:rsidRDefault="004C429C" w:rsidP="005720B6">
            <w:pPr>
              <w:jc w:val="right"/>
              <w:rPr>
                <w:b/>
                <w:bCs/>
                <w:iCs/>
              </w:rPr>
            </w:pPr>
            <w:r w:rsidRPr="00EA775E">
              <w:rPr>
                <w:b/>
                <w:bCs/>
                <w:iCs/>
              </w:rPr>
              <w:t>0</w:t>
            </w:r>
          </w:p>
        </w:tc>
        <w:tc>
          <w:tcPr>
            <w:tcW w:w="1267" w:type="dxa"/>
            <w:noWrap/>
            <w:vAlign w:val="center"/>
          </w:tcPr>
          <w:p w:rsidR="004C429C" w:rsidRPr="00EA775E" w:rsidRDefault="004C429C" w:rsidP="005720B6">
            <w:pPr>
              <w:jc w:val="right"/>
              <w:rPr>
                <w:b/>
                <w:bCs/>
                <w:iCs/>
              </w:rPr>
            </w:pPr>
            <w:r w:rsidRPr="00EA775E">
              <w:rPr>
                <w:b/>
                <w:bCs/>
                <w:iCs/>
              </w:rPr>
              <w:t>0</w:t>
            </w:r>
          </w:p>
        </w:tc>
        <w:tc>
          <w:tcPr>
            <w:tcW w:w="1214" w:type="dxa"/>
            <w:noWrap/>
            <w:vAlign w:val="center"/>
          </w:tcPr>
          <w:p w:rsidR="004C429C" w:rsidRPr="00EA775E" w:rsidRDefault="004C429C" w:rsidP="005720B6">
            <w:pPr>
              <w:jc w:val="right"/>
              <w:rPr>
                <w:b/>
                <w:bCs/>
                <w:iCs/>
              </w:rPr>
            </w:pPr>
            <w:r w:rsidRPr="00EA775E">
              <w:rPr>
                <w:b/>
                <w:bCs/>
                <w:iCs/>
              </w:rPr>
              <w:t>0</w:t>
            </w:r>
          </w:p>
        </w:tc>
        <w:tc>
          <w:tcPr>
            <w:tcW w:w="1320" w:type="dxa"/>
            <w:noWrap/>
            <w:vAlign w:val="center"/>
          </w:tcPr>
          <w:p w:rsidR="004C429C" w:rsidRPr="00EA775E" w:rsidRDefault="004C429C" w:rsidP="005720B6">
            <w:pPr>
              <w:jc w:val="right"/>
              <w:rPr>
                <w:b/>
                <w:bCs/>
                <w:iCs/>
              </w:rPr>
            </w:pPr>
            <w:r w:rsidRPr="00EA775E">
              <w:rPr>
                <w:b/>
                <w:bCs/>
                <w:iCs/>
              </w:rPr>
              <w:t>0</w:t>
            </w:r>
          </w:p>
        </w:tc>
      </w:tr>
      <w:tr w:rsidR="004C429C" w:rsidRPr="00EA775E" w:rsidTr="005720B6">
        <w:trPr>
          <w:trHeight w:val="70"/>
          <w:jc w:val="center"/>
        </w:trPr>
        <w:tc>
          <w:tcPr>
            <w:tcW w:w="4661" w:type="dxa"/>
            <w:shd w:val="clear" w:color="auto" w:fill="C0C0C0"/>
            <w:noWrap/>
            <w:vAlign w:val="center"/>
          </w:tcPr>
          <w:p w:rsidR="004C429C" w:rsidRPr="00EA775E" w:rsidRDefault="004C429C" w:rsidP="005720B6">
            <w:pPr>
              <w:rPr>
                <w:b/>
                <w:bCs/>
              </w:rPr>
            </w:pPr>
            <w:r w:rsidRPr="00EA775E">
              <w:rPr>
                <w:b/>
                <w:bCs/>
              </w:rPr>
              <w:t>Financovanie zabezpečené v rozpočte</w:t>
            </w:r>
          </w:p>
        </w:tc>
        <w:tc>
          <w:tcPr>
            <w:tcW w:w="1267" w:type="dxa"/>
            <w:shd w:val="clear" w:color="auto" w:fill="C0C0C0"/>
            <w:noWrap/>
            <w:vAlign w:val="center"/>
          </w:tcPr>
          <w:p w:rsidR="004C429C" w:rsidRPr="00EA775E" w:rsidRDefault="004C429C" w:rsidP="005720B6">
            <w:pPr>
              <w:jc w:val="right"/>
              <w:rPr>
                <w:b/>
                <w:bCs/>
              </w:rPr>
            </w:pPr>
            <w:r w:rsidRPr="00EA775E">
              <w:rPr>
                <w:b/>
                <w:bCs/>
              </w:rPr>
              <w:t>0</w:t>
            </w:r>
          </w:p>
        </w:tc>
        <w:tc>
          <w:tcPr>
            <w:tcW w:w="1267" w:type="dxa"/>
            <w:shd w:val="clear" w:color="auto" w:fill="C0C0C0"/>
            <w:noWrap/>
          </w:tcPr>
          <w:p w:rsidR="004C429C" w:rsidRPr="00EA775E" w:rsidRDefault="004C429C" w:rsidP="005720B6">
            <w:pPr>
              <w:jc w:val="right"/>
              <w:rPr>
                <w:b/>
              </w:rPr>
            </w:pPr>
            <w:r w:rsidRPr="00EA775E">
              <w:rPr>
                <w:b/>
              </w:rPr>
              <w:t>7314</w:t>
            </w:r>
          </w:p>
        </w:tc>
        <w:tc>
          <w:tcPr>
            <w:tcW w:w="1214" w:type="dxa"/>
            <w:shd w:val="clear" w:color="auto" w:fill="C0C0C0"/>
            <w:noWrap/>
          </w:tcPr>
          <w:p w:rsidR="004C429C" w:rsidRPr="00EA775E" w:rsidRDefault="004C429C" w:rsidP="005720B6">
            <w:pPr>
              <w:jc w:val="right"/>
              <w:rPr>
                <w:b/>
              </w:rPr>
            </w:pPr>
            <w:r w:rsidRPr="00EA775E">
              <w:rPr>
                <w:b/>
              </w:rPr>
              <w:t>7314</w:t>
            </w:r>
          </w:p>
        </w:tc>
        <w:tc>
          <w:tcPr>
            <w:tcW w:w="1320" w:type="dxa"/>
            <w:shd w:val="clear" w:color="auto" w:fill="C0C0C0"/>
            <w:noWrap/>
          </w:tcPr>
          <w:p w:rsidR="004C429C" w:rsidRPr="00EA775E" w:rsidRDefault="004C429C" w:rsidP="005720B6">
            <w:pPr>
              <w:jc w:val="right"/>
              <w:rPr>
                <w:b/>
              </w:rPr>
            </w:pPr>
            <w:r w:rsidRPr="00EA775E">
              <w:rPr>
                <w:b/>
              </w:rPr>
              <w:t>7314</w:t>
            </w:r>
          </w:p>
        </w:tc>
      </w:tr>
      <w:tr w:rsidR="004C429C" w:rsidRPr="00EA775E" w:rsidTr="005720B6">
        <w:trPr>
          <w:trHeight w:val="70"/>
          <w:jc w:val="center"/>
        </w:trPr>
        <w:tc>
          <w:tcPr>
            <w:tcW w:w="4661" w:type="dxa"/>
            <w:noWrap/>
            <w:vAlign w:val="center"/>
          </w:tcPr>
          <w:p w:rsidR="004C429C" w:rsidRPr="00EA775E" w:rsidRDefault="004C429C" w:rsidP="005720B6">
            <w:r w:rsidRPr="00EA775E">
              <w:t>v tom: Ministerstvo obrany SR - program 096 – Obrana</w:t>
            </w:r>
          </w:p>
        </w:tc>
        <w:tc>
          <w:tcPr>
            <w:tcW w:w="1267" w:type="dxa"/>
            <w:noWrap/>
            <w:vAlign w:val="center"/>
          </w:tcPr>
          <w:p w:rsidR="004C429C" w:rsidRPr="00EA775E" w:rsidRDefault="004C429C" w:rsidP="005720B6">
            <w:pPr>
              <w:jc w:val="right"/>
              <w:rPr>
                <w:b/>
                <w:bCs/>
              </w:rPr>
            </w:pPr>
            <w:r w:rsidRPr="00EA775E">
              <w:rPr>
                <w:b/>
                <w:bCs/>
              </w:rPr>
              <w:t>0</w:t>
            </w:r>
          </w:p>
        </w:tc>
        <w:tc>
          <w:tcPr>
            <w:tcW w:w="1267" w:type="dxa"/>
            <w:noWrap/>
            <w:vAlign w:val="center"/>
          </w:tcPr>
          <w:p w:rsidR="004C429C" w:rsidRPr="00EA775E" w:rsidRDefault="004C429C" w:rsidP="005720B6">
            <w:pPr>
              <w:jc w:val="right"/>
              <w:rPr>
                <w:b/>
                <w:bCs/>
              </w:rPr>
            </w:pPr>
            <w:r w:rsidRPr="00EA775E">
              <w:rPr>
                <w:b/>
                <w:bCs/>
              </w:rPr>
              <w:t>7314</w:t>
            </w:r>
          </w:p>
        </w:tc>
        <w:tc>
          <w:tcPr>
            <w:tcW w:w="1214" w:type="dxa"/>
            <w:noWrap/>
            <w:vAlign w:val="center"/>
          </w:tcPr>
          <w:p w:rsidR="004C429C" w:rsidRPr="00EA775E" w:rsidRDefault="004C429C" w:rsidP="005720B6">
            <w:pPr>
              <w:jc w:val="right"/>
              <w:rPr>
                <w:b/>
                <w:bCs/>
              </w:rPr>
            </w:pPr>
            <w:r w:rsidRPr="00EA775E">
              <w:rPr>
                <w:b/>
                <w:bCs/>
              </w:rPr>
              <w:t>7314</w:t>
            </w:r>
          </w:p>
        </w:tc>
        <w:tc>
          <w:tcPr>
            <w:tcW w:w="1320" w:type="dxa"/>
            <w:noWrap/>
            <w:vAlign w:val="center"/>
          </w:tcPr>
          <w:p w:rsidR="004C429C" w:rsidRPr="00EA775E" w:rsidRDefault="004C429C" w:rsidP="005720B6">
            <w:pPr>
              <w:jc w:val="right"/>
              <w:rPr>
                <w:b/>
                <w:bCs/>
              </w:rPr>
            </w:pPr>
            <w:r w:rsidRPr="00EA775E">
              <w:rPr>
                <w:b/>
                <w:bCs/>
              </w:rPr>
              <w:t>7314</w:t>
            </w:r>
          </w:p>
        </w:tc>
      </w:tr>
      <w:tr w:rsidR="004C429C" w:rsidRPr="00EA775E" w:rsidTr="005720B6">
        <w:trPr>
          <w:trHeight w:val="70"/>
          <w:jc w:val="center"/>
        </w:trPr>
        <w:tc>
          <w:tcPr>
            <w:tcW w:w="4661" w:type="dxa"/>
            <w:shd w:val="clear" w:color="auto" w:fill="BFBFBF" w:themeFill="background1" w:themeFillShade="BF"/>
            <w:noWrap/>
            <w:vAlign w:val="center"/>
          </w:tcPr>
          <w:p w:rsidR="004C429C" w:rsidRPr="00EA775E" w:rsidRDefault="004C429C" w:rsidP="005720B6">
            <w:pPr>
              <w:rPr>
                <w:b/>
              </w:rPr>
            </w:pPr>
            <w:r w:rsidRPr="00EA775E">
              <w:rPr>
                <w:b/>
              </w:rPr>
              <w:t>Iné ako rozpočtové zdroje</w:t>
            </w:r>
          </w:p>
        </w:tc>
        <w:tc>
          <w:tcPr>
            <w:tcW w:w="1267"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267"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214"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c>
          <w:tcPr>
            <w:tcW w:w="1320" w:type="dxa"/>
            <w:shd w:val="clear" w:color="auto" w:fill="BFBFBF" w:themeFill="background1" w:themeFillShade="BF"/>
            <w:noWrap/>
            <w:vAlign w:val="center"/>
          </w:tcPr>
          <w:p w:rsidR="004C429C" w:rsidRPr="00EA775E" w:rsidRDefault="004C429C" w:rsidP="005720B6">
            <w:pPr>
              <w:jc w:val="right"/>
              <w:rPr>
                <w:b/>
                <w:bCs/>
              </w:rPr>
            </w:pPr>
            <w:r w:rsidRPr="00EA775E">
              <w:rPr>
                <w:b/>
                <w:bCs/>
              </w:rPr>
              <w:t>0</w:t>
            </w:r>
          </w:p>
        </w:tc>
      </w:tr>
      <w:tr w:rsidR="004C429C" w:rsidRPr="00EA775E" w:rsidTr="005720B6">
        <w:trPr>
          <w:trHeight w:val="70"/>
          <w:jc w:val="center"/>
        </w:trPr>
        <w:tc>
          <w:tcPr>
            <w:tcW w:w="4661" w:type="dxa"/>
            <w:shd w:val="clear" w:color="auto" w:fill="A6A6A6" w:themeFill="background1" w:themeFillShade="A6"/>
            <w:noWrap/>
            <w:vAlign w:val="center"/>
          </w:tcPr>
          <w:p w:rsidR="004C429C" w:rsidRPr="00EA775E" w:rsidRDefault="004C429C" w:rsidP="005720B6">
            <w:pPr>
              <w:rPr>
                <w:b/>
                <w:bCs/>
              </w:rPr>
            </w:pPr>
            <w:r w:rsidRPr="00EA775E">
              <w:rPr>
                <w:b/>
                <w:bCs/>
              </w:rPr>
              <w:t>Rozpočtovo nekrytý vplyv / úspora</w:t>
            </w:r>
          </w:p>
        </w:tc>
        <w:tc>
          <w:tcPr>
            <w:tcW w:w="1267" w:type="dxa"/>
            <w:shd w:val="clear" w:color="auto" w:fill="A6A6A6" w:themeFill="background1" w:themeFillShade="A6"/>
            <w:noWrap/>
            <w:vAlign w:val="center"/>
          </w:tcPr>
          <w:p w:rsidR="004C429C" w:rsidRPr="00EA775E" w:rsidRDefault="004C429C" w:rsidP="005720B6">
            <w:pPr>
              <w:jc w:val="right"/>
              <w:rPr>
                <w:b/>
                <w:bCs/>
              </w:rPr>
            </w:pPr>
            <w:r w:rsidRPr="00EA775E">
              <w:rPr>
                <w:b/>
                <w:bCs/>
              </w:rPr>
              <w:t>0</w:t>
            </w:r>
          </w:p>
        </w:tc>
        <w:tc>
          <w:tcPr>
            <w:tcW w:w="1267" w:type="dxa"/>
            <w:shd w:val="clear" w:color="auto" w:fill="A6A6A6" w:themeFill="background1" w:themeFillShade="A6"/>
            <w:noWrap/>
            <w:vAlign w:val="center"/>
          </w:tcPr>
          <w:p w:rsidR="004C429C" w:rsidRPr="00EA775E" w:rsidRDefault="004C429C" w:rsidP="005720B6">
            <w:pPr>
              <w:jc w:val="right"/>
              <w:rPr>
                <w:b/>
                <w:bCs/>
              </w:rPr>
            </w:pPr>
            <w:r w:rsidRPr="00EA775E">
              <w:rPr>
                <w:b/>
                <w:bCs/>
              </w:rPr>
              <w:t>0</w:t>
            </w:r>
          </w:p>
        </w:tc>
        <w:tc>
          <w:tcPr>
            <w:tcW w:w="1214" w:type="dxa"/>
            <w:shd w:val="clear" w:color="auto" w:fill="A6A6A6" w:themeFill="background1" w:themeFillShade="A6"/>
            <w:noWrap/>
            <w:vAlign w:val="center"/>
          </w:tcPr>
          <w:p w:rsidR="004C429C" w:rsidRPr="00EA775E" w:rsidRDefault="004C429C" w:rsidP="005720B6">
            <w:pPr>
              <w:jc w:val="right"/>
              <w:rPr>
                <w:b/>
                <w:bCs/>
              </w:rPr>
            </w:pPr>
            <w:r w:rsidRPr="00EA775E">
              <w:rPr>
                <w:b/>
                <w:bCs/>
              </w:rPr>
              <w:t>0</w:t>
            </w:r>
          </w:p>
        </w:tc>
        <w:tc>
          <w:tcPr>
            <w:tcW w:w="1320" w:type="dxa"/>
            <w:shd w:val="clear" w:color="auto" w:fill="A6A6A6" w:themeFill="background1" w:themeFillShade="A6"/>
            <w:noWrap/>
            <w:vAlign w:val="center"/>
          </w:tcPr>
          <w:p w:rsidR="004C429C" w:rsidRPr="00EA775E" w:rsidRDefault="004C429C" w:rsidP="005720B6">
            <w:pPr>
              <w:jc w:val="right"/>
              <w:rPr>
                <w:b/>
                <w:bCs/>
              </w:rPr>
            </w:pPr>
            <w:r w:rsidRPr="00EA775E">
              <w:rPr>
                <w:b/>
                <w:bCs/>
              </w:rPr>
              <w:t>0</w:t>
            </w:r>
          </w:p>
        </w:tc>
      </w:tr>
      <w:bookmarkEnd w:id="1"/>
    </w:tbl>
    <w:p w:rsidR="004C429C" w:rsidRPr="00EA775E" w:rsidRDefault="004C429C" w:rsidP="004C429C">
      <w:pPr>
        <w:rPr>
          <w:b/>
          <w:bCs/>
        </w:rPr>
      </w:pPr>
    </w:p>
    <w:p w:rsidR="004C429C" w:rsidRPr="00EA775E" w:rsidRDefault="004C429C" w:rsidP="004C429C">
      <w:pPr>
        <w:rPr>
          <w:b/>
          <w:bCs/>
        </w:rPr>
      </w:pPr>
    </w:p>
    <w:p w:rsidR="004C429C" w:rsidRPr="00EA775E" w:rsidRDefault="004C429C" w:rsidP="004C429C">
      <w:pPr>
        <w:jc w:val="both"/>
        <w:rPr>
          <w:b/>
          <w:bCs/>
        </w:rPr>
      </w:pPr>
    </w:p>
    <w:p w:rsidR="004C429C" w:rsidRPr="00EA775E" w:rsidRDefault="004C429C" w:rsidP="004C429C">
      <w:pPr>
        <w:jc w:val="both"/>
        <w:rPr>
          <w:b/>
          <w:bCs/>
        </w:rPr>
      </w:pPr>
    </w:p>
    <w:p w:rsidR="004C429C" w:rsidRPr="00EA775E" w:rsidRDefault="004C429C" w:rsidP="004C429C">
      <w:pPr>
        <w:jc w:val="both"/>
        <w:rPr>
          <w:b/>
          <w:bCs/>
        </w:rPr>
      </w:pPr>
    </w:p>
    <w:p w:rsidR="004C429C" w:rsidRPr="00EA775E" w:rsidRDefault="004C429C" w:rsidP="004C429C">
      <w:pPr>
        <w:jc w:val="both"/>
        <w:rPr>
          <w:b/>
          <w:bCs/>
        </w:rPr>
      </w:pPr>
    </w:p>
    <w:p w:rsidR="004C429C" w:rsidRPr="00EA775E" w:rsidRDefault="004C429C" w:rsidP="004C429C">
      <w:pPr>
        <w:jc w:val="both"/>
        <w:rPr>
          <w:b/>
          <w:bCs/>
        </w:rPr>
      </w:pPr>
      <w:r w:rsidRPr="00EA775E">
        <w:rPr>
          <w:b/>
          <w:bCs/>
        </w:rPr>
        <w:lastRenderedPageBreak/>
        <w:t>2.1.1. Financovanie návrhu - Návrh na riešenie úbytku príjmov alebo zvýšených výdavkov podľa § 33 ods. 1 zákona č. 523/2004 Z. z. o rozpočtových pravidlách verejnej správy:</w:t>
      </w:r>
    </w:p>
    <w:p w:rsidR="004C429C" w:rsidRPr="00EA775E" w:rsidRDefault="004C429C" w:rsidP="004C429C">
      <w:pPr>
        <w:jc w:val="both"/>
        <w:rPr>
          <w:b/>
          <w:bCs/>
        </w:rPr>
      </w:pPr>
    </w:p>
    <w:p w:rsidR="004C429C" w:rsidRPr="00EA775E" w:rsidRDefault="004C429C" w:rsidP="004C429C">
      <w:pPr>
        <w:jc w:val="both"/>
        <w:rPr>
          <w:b/>
          <w:bCs/>
          <w:sz w:val="12"/>
        </w:rPr>
      </w:pPr>
    </w:p>
    <w:p w:rsidR="004C429C" w:rsidRPr="00EA775E" w:rsidRDefault="004C429C" w:rsidP="004C429C">
      <w:pPr>
        <w:pBdr>
          <w:top w:val="single" w:sz="4" w:space="1" w:color="auto"/>
          <w:left w:val="single" w:sz="4" w:space="4" w:color="auto"/>
          <w:bottom w:val="single" w:sz="4" w:space="0" w:color="auto"/>
          <w:right w:val="single" w:sz="4" w:space="4" w:color="auto"/>
        </w:pBdr>
        <w:jc w:val="both"/>
        <w:rPr>
          <w:b/>
          <w:bCs/>
        </w:rPr>
      </w:pPr>
      <w:r w:rsidRPr="00EA775E">
        <w:rPr>
          <w:bCs/>
        </w:rPr>
        <w:t>Návrh novely zákona bude mať negatívny vplyv na rozpočet kapitoly Ministerstva obrany Slovenskej republiky na roky 2022 až 2024, ktorý bude rozpočtovo zabezpečený v rámci limitov pridelených kapitole štátneho rozpočtu Ministerstva obrany Slovenskej republiky.</w:t>
      </w:r>
    </w:p>
    <w:p w:rsidR="004C429C" w:rsidRPr="00EA775E" w:rsidRDefault="004C429C" w:rsidP="004C429C">
      <w:pPr>
        <w:pBdr>
          <w:top w:val="single" w:sz="4" w:space="1" w:color="auto"/>
          <w:left w:val="single" w:sz="4" w:space="4" w:color="auto"/>
          <w:bottom w:val="single" w:sz="4" w:space="0" w:color="auto"/>
          <w:right w:val="single" w:sz="4" w:space="4" w:color="auto"/>
        </w:pBdr>
        <w:jc w:val="both"/>
        <w:rPr>
          <w:b/>
          <w:bCs/>
        </w:rPr>
      </w:pPr>
    </w:p>
    <w:p w:rsidR="004C429C" w:rsidRPr="00EA775E" w:rsidRDefault="004C429C" w:rsidP="004C429C">
      <w:pPr>
        <w:rPr>
          <w:b/>
          <w:bCs/>
        </w:rPr>
      </w:pPr>
    </w:p>
    <w:p w:rsidR="004C429C" w:rsidRPr="00EA775E" w:rsidRDefault="004C429C" w:rsidP="004C429C">
      <w:pPr>
        <w:rPr>
          <w:b/>
          <w:bCs/>
        </w:rPr>
      </w:pPr>
      <w:r w:rsidRPr="00EA775E">
        <w:rPr>
          <w:b/>
          <w:bCs/>
        </w:rPr>
        <w:t>2.2. Popis a charakteristika návrhu</w:t>
      </w:r>
    </w:p>
    <w:p w:rsidR="004C429C" w:rsidRPr="00EA775E" w:rsidRDefault="004C429C" w:rsidP="004C429C"/>
    <w:p w:rsidR="004C429C" w:rsidRPr="00EA775E" w:rsidRDefault="004C429C" w:rsidP="004C429C">
      <w:pPr>
        <w:jc w:val="both"/>
        <w:rPr>
          <w:b/>
          <w:bCs/>
        </w:rPr>
      </w:pPr>
      <w:r w:rsidRPr="00EA775E">
        <w:rPr>
          <w:b/>
          <w:bCs/>
        </w:rPr>
        <w:t>2.2.1. Popis návrhu:</w:t>
      </w:r>
    </w:p>
    <w:p w:rsidR="004C429C" w:rsidRPr="00EA775E" w:rsidRDefault="004C429C" w:rsidP="004C429C">
      <w:pPr>
        <w:jc w:val="both"/>
        <w:rPr>
          <w:b/>
          <w:bCs/>
        </w:rPr>
      </w:pPr>
    </w:p>
    <w:p w:rsidR="004C429C" w:rsidRPr="00EA775E" w:rsidRDefault="004C429C" w:rsidP="004C429C">
      <w:pPr>
        <w:ind w:firstLine="851"/>
        <w:jc w:val="both"/>
        <w:rPr>
          <w:bCs/>
        </w:rPr>
      </w:pPr>
      <w:r w:rsidRPr="00EA775E">
        <w:rPr>
          <w:iCs/>
        </w:rPr>
        <w:t>Navrhovanou právnou úpravou sa upravujú nároky poskytované občanom v aktívnych zálohách a prostredníctvom možnosti povyšovania sa zavádza v kariére vojaka v aktívnej zálohe motivačný faktor, ktorý reflektuje skutočnosť, že účasťou na pravidelnom cvičení alebo na plnení úloh ozbrojených síl sa zvyšuje odborná spôsobilosť vojaka v zálohe.</w:t>
      </w:r>
    </w:p>
    <w:p w:rsidR="004C429C" w:rsidRPr="00EA775E" w:rsidRDefault="004C429C" w:rsidP="004C429C"/>
    <w:p w:rsidR="004C429C" w:rsidRPr="00EA775E" w:rsidRDefault="004C429C" w:rsidP="004C429C">
      <w:pPr>
        <w:rPr>
          <w:b/>
          <w:bCs/>
        </w:rPr>
      </w:pPr>
      <w:r w:rsidRPr="00EA775E">
        <w:rPr>
          <w:b/>
          <w:bCs/>
        </w:rPr>
        <w:t>2.2.2. Charakteristika návrhu:</w:t>
      </w:r>
    </w:p>
    <w:p w:rsidR="004C429C" w:rsidRPr="00EA775E" w:rsidRDefault="004C429C" w:rsidP="004C429C"/>
    <w:p w:rsidR="004C429C" w:rsidRPr="00EA775E" w:rsidRDefault="004C429C" w:rsidP="004C429C">
      <w:r w:rsidRPr="00EA775E">
        <w:rPr>
          <w:b/>
          <w:bdr w:val="single" w:sz="4" w:space="0" w:color="auto"/>
        </w:rPr>
        <w:t xml:space="preserve">     </w:t>
      </w:r>
      <w:r w:rsidRPr="00EA775E">
        <w:rPr>
          <w:b/>
        </w:rPr>
        <w:t xml:space="preserve">  </w:t>
      </w:r>
      <w:r w:rsidRPr="00EA775E">
        <w:t>zmena sadzby</w:t>
      </w:r>
    </w:p>
    <w:p w:rsidR="004C429C" w:rsidRPr="00EA775E" w:rsidRDefault="004C429C" w:rsidP="004C429C">
      <w:r w:rsidRPr="00EA775E">
        <w:rPr>
          <w:bdr w:val="single" w:sz="4" w:space="0" w:color="auto"/>
        </w:rPr>
        <w:t xml:space="preserve">  </w:t>
      </w:r>
      <w:r w:rsidRPr="00EA775E">
        <w:rPr>
          <w:b/>
          <w:bdr w:val="single" w:sz="4" w:space="0" w:color="auto"/>
        </w:rPr>
        <w:t>x</w:t>
      </w:r>
      <w:r w:rsidRPr="00EA775E">
        <w:rPr>
          <w:bdr w:val="single" w:sz="4" w:space="0" w:color="auto"/>
        </w:rPr>
        <w:t xml:space="preserve"> </w:t>
      </w:r>
      <w:r w:rsidRPr="00EA775E">
        <w:t xml:space="preserve">  zmena v nároku</w:t>
      </w:r>
    </w:p>
    <w:p w:rsidR="004C429C" w:rsidRPr="00EA775E" w:rsidRDefault="004C429C" w:rsidP="004C429C">
      <w:r w:rsidRPr="00EA775E">
        <w:rPr>
          <w:bdr w:val="single" w:sz="4" w:space="0" w:color="auto"/>
        </w:rPr>
        <w:t xml:space="preserve">     </w:t>
      </w:r>
      <w:r w:rsidRPr="00EA775E">
        <w:t xml:space="preserve">  nová služba alebo nariadenie (alebo ich zrušenie)</w:t>
      </w:r>
    </w:p>
    <w:p w:rsidR="004C429C" w:rsidRPr="00EA775E" w:rsidRDefault="004C429C" w:rsidP="004C429C">
      <w:r w:rsidRPr="00EA775E">
        <w:rPr>
          <w:bdr w:val="single" w:sz="4" w:space="0" w:color="auto"/>
        </w:rPr>
        <w:t xml:space="preserve">     </w:t>
      </w:r>
      <w:r w:rsidRPr="00EA775E">
        <w:t xml:space="preserve">  kombinovaný návrh</w:t>
      </w:r>
    </w:p>
    <w:p w:rsidR="004C429C" w:rsidRPr="00EA775E" w:rsidRDefault="004C429C" w:rsidP="004C429C">
      <w:r w:rsidRPr="00EA775E">
        <w:rPr>
          <w:bdr w:val="single" w:sz="4" w:space="0" w:color="auto"/>
        </w:rPr>
        <w:t xml:space="preserve">     </w:t>
      </w:r>
      <w:r w:rsidRPr="00EA775E">
        <w:t xml:space="preserve">  iné </w:t>
      </w:r>
    </w:p>
    <w:p w:rsidR="004C429C" w:rsidRPr="00EA775E" w:rsidRDefault="004C429C" w:rsidP="004C429C"/>
    <w:p w:rsidR="004C429C" w:rsidRPr="00EA775E" w:rsidRDefault="004C429C" w:rsidP="004C429C">
      <w:r w:rsidRPr="00EA775E">
        <w:rPr>
          <w:b/>
          <w:bCs/>
        </w:rPr>
        <w:t>2.2.3. Predpoklady vývoja objemu aktivít:</w:t>
      </w:r>
    </w:p>
    <w:p w:rsidR="004C429C" w:rsidRPr="00EA775E" w:rsidRDefault="004C429C" w:rsidP="004C429C"/>
    <w:p w:rsidR="004C429C" w:rsidRPr="00EA775E" w:rsidRDefault="004C429C" w:rsidP="004C429C">
      <w:pPr>
        <w:ind w:firstLine="708"/>
        <w:jc w:val="both"/>
      </w:pPr>
      <w:r w:rsidRPr="00EA775E">
        <w:t>Jasne popíšte, v prípade potreby použite nižšie uvedenú tabuľku. Uveďte aj odhady základov daní a/alebo poplatkov, ak sa ich táto zmena týka.</w:t>
      </w:r>
    </w:p>
    <w:p w:rsidR="004C429C" w:rsidRPr="00EA775E" w:rsidRDefault="004C429C" w:rsidP="004C429C">
      <w:pPr>
        <w:jc w:val="right"/>
        <w:rPr>
          <w:sz w:val="20"/>
          <w:szCs w:val="20"/>
        </w:rPr>
      </w:pPr>
      <w:r w:rsidRPr="00EA775E">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4C429C" w:rsidRPr="00EA775E" w:rsidTr="005720B6">
        <w:trPr>
          <w:cantSplit/>
          <w:trHeight w:val="70"/>
        </w:trPr>
        <w:tc>
          <w:tcPr>
            <w:tcW w:w="4530" w:type="dxa"/>
            <w:vMerge w:val="restart"/>
            <w:shd w:val="clear" w:color="auto" w:fill="BFBFBF" w:themeFill="background1" w:themeFillShade="BF"/>
            <w:vAlign w:val="center"/>
          </w:tcPr>
          <w:p w:rsidR="004C429C" w:rsidRPr="00EA775E" w:rsidRDefault="004C429C" w:rsidP="005720B6">
            <w:pPr>
              <w:autoSpaceDE w:val="0"/>
              <w:autoSpaceDN w:val="0"/>
              <w:adjustRightInd w:val="0"/>
              <w:jc w:val="center"/>
              <w:rPr>
                <w:b/>
                <w:bCs/>
              </w:rPr>
            </w:pPr>
            <w:r w:rsidRPr="00EA775E">
              <w:rPr>
                <w:b/>
                <w:bCs/>
              </w:rPr>
              <w:t>Objem aktivít</w:t>
            </w:r>
          </w:p>
        </w:tc>
        <w:tc>
          <w:tcPr>
            <w:tcW w:w="4536" w:type="dxa"/>
            <w:gridSpan w:val="4"/>
            <w:shd w:val="clear" w:color="auto" w:fill="BFBFBF" w:themeFill="background1" w:themeFillShade="BF"/>
            <w:vAlign w:val="center"/>
          </w:tcPr>
          <w:p w:rsidR="004C429C" w:rsidRPr="00EA775E" w:rsidRDefault="004C429C" w:rsidP="005720B6">
            <w:pPr>
              <w:autoSpaceDE w:val="0"/>
              <w:autoSpaceDN w:val="0"/>
              <w:adjustRightInd w:val="0"/>
              <w:jc w:val="center"/>
              <w:rPr>
                <w:b/>
                <w:bCs/>
              </w:rPr>
            </w:pPr>
            <w:r w:rsidRPr="00EA775E">
              <w:rPr>
                <w:b/>
                <w:bCs/>
              </w:rPr>
              <w:t>Odhadované objemy</w:t>
            </w:r>
          </w:p>
        </w:tc>
      </w:tr>
      <w:tr w:rsidR="004C429C" w:rsidRPr="00EA775E" w:rsidTr="005720B6">
        <w:trPr>
          <w:cantSplit/>
          <w:trHeight w:val="70"/>
        </w:trPr>
        <w:tc>
          <w:tcPr>
            <w:tcW w:w="4530" w:type="dxa"/>
            <w:vMerge/>
            <w:shd w:val="clear" w:color="auto" w:fill="BFBFBF" w:themeFill="background1" w:themeFillShade="BF"/>
          </w:tcPr>
          <w:p w:rsidR="004C429C" w:rsidRPr="00EA775E" w:rsidRDefault="004C429C" w:rsidP="005720B6">
            <w:pPr>
              <w:autoSpaceDE w:val="0"/>
              <w:autoSpaceDN w:val="0"/>
              <w:adjustRightInd w:val="0"/>
              <w:jc w:val="center"/>
              <w:rPr>
                <w:b/>
                <w:bCs/>
              </w:rPr>
            </w:pPr>
          </w:p>
        </w:tc>
        <w:tc>
          <w:tcPr>
            <w:tcW w:w="1134" w:type="dxa"/>
            <w:shd w:val="clear" w:color="auto" w:fill="BFBFBF" w:themeFill="background1" w:themeFillShade="BF"/>
            <w:vAlign w:val="center"/>
          </w:tcPr>
          <w:p w:rsidR="004C429C" w:rsidRPr="00EA775E" w:rsidRDefault="004C429C" w:rsidP="005720B6">
            <w:pPr>
              <w:jc w:val="center"/>
              <w:rPr>
                <w:b/>
                <w:bCs/>
              </w:rPr>
            </w:pPr>
            <w:r w:rsidRPr="00EA775E">
              <w:rPr>
                <w:b/>
                <w:bCs/>
              </w:rPr>
              <w:t>2021</w:t>
            </w:r>
          </w:p>
        </w:tc>
        <w:tc>
          <w:tcPr>
            <w:tcW w:w="1134" w:type="dxa"/>
            <w:shd w:val="clear" w:color="auto" w:fill="BFBFBF" w:themeFill="background1" w:themeFillShade="BF"/>
            <w:vAlign w:val="center"/>
          </w:tcPr>
          <w:p w:rsidR="004C429C" w:rsidRPr="00EA775E" w:rsidRDefault="004C429C" w:rsidP="005720B6">
            <w:pPr>
              <w:jc w:val="center"/>
              <w:rPr>
                <w:b/>
                <w:bCs/>
              </w:rPr>
            </w:pPr>
            <w:r w:rsidRPr="00EA775E">
              <w:rPr>
                <w:b/>
                <w:bCs/>
              </w:rPr>
              <w:t>2022</w:t>
            </w:r>
          </w:p>
        </w:tc>
        <w:tc>
          <w:tcPr>
            <w:tcW w:w="1134" w:type="dxa"/>
            <w:shd w:val="clear" w:color="auto" w:fill="BFBFBF" w:themeFill="background1" w:themeFillShade="BF"/>
            <w:vAlign w:val="center"/>
          </w:tcPr>
          <w:p w:rsidR="004C429C" w:rsidRPr="00EA775E" w:rsidRDefault="004C429C" w:rsidP="005720B6">
            <w:pPr>
              <w:jc w:val="center"/>
              <w:rPr>
                <w:b/>
                <w:bCs/>
              </w:rPr>
            </w:pPr>
            <w:r w:rsidRPr="00EA775E">
              <w:rPr>
                <w:b/>
                <w:bCs/>
              </w:rPr>
              <w:t>2023</w:t>
            </w:r>
          </w:p>
        </w:tc>
        <w:tc>
          <w:tcPr>
            <w:tcW w:w="1134" w:type="dxa"/>
            <w:shd w:val="clear" w:color="auto" w:fill="BFBFBF" w:themeFill="background1" w:themeFillShade="BF"/>
            <w:vAlign w:val="center"/>
          </w:tcPr>
          <w:p w:rsidR="004C429C" w:rsidRPr="00EA775E" w:rsidRDefault="004C429C" w:rsidP="005720B6">
            <w:pPr>
              <w:jc w:val="center"/>
              <w:rPr>
                <w:b/>
                <w:bCs/>
              </w:rPr>
            </w:pPr>
            <w:r w:rsidRPr="00EA775E">
              <w:rPr>
                <w:b/>
                <w:bCs/>
              </w:rPr>
              <w:t>2024</w:t>
            </w:r>
          </w:p>
        </w:tc>
      </w:tr>
      <w:tr w:rsidR="004C429C" w:rsidRPr="00EA775E" w:rsidTr="005720B6">
        <w:trPr>
          <w:trHeight w:val="70"/>
        </w:trPr>
        <w:tc>
          <w:tcPr>
            <w:tcW w:w="4530" w:type="dxa"/>
          </w:tcPr>
          <w:p w:rsidR="004C429C" w:rsidRPr="00EA775E" w:rsidRDefault="004C429C" w:rsidP="005720B6">
            <w:pPr>
              <w:autoSpaceDE w:val="0"/>
              <w:autoSpaceDN w:val="0"/>
              <w:adjustRightInd w:val="0"/>
            </w:pPr>
            <w:r w:rsidRPr="00EA775E">
              <w:t>Indikátor ABC</w:t>
            </w: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r>
      <w:tr w:rsidR="004C429C" w:rsidRPr="00EA775E" w:rsidTr="005720B6">
        <w:trPr>
          <w:trHeight w:val="70"/>
        </w:trPr>
        <w:tc>
          <w:tcPr>
            <w:tcW w:w="4530" w:type="dxa"/>
          </w:tcPr>
          <w:p w:rsidR="004C429C" w:rsidRPr="00EA775E" w:rsidRDefault="004C429C" w:rsidP="005720B6">
            <w:pPr>
              <w:autoSpaceDE w:val="0"/>
              <w:autoSpaceDN w:val="0"/>
              <w:adjustRightInd w:val="0"/>
            </w:pPr>
            <w:r w:rsidRPr="00EA775E">
              <w:t>Indikátor KLM</w:t>
            </w: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r>
      <w:tr w:rsidR="004C429C" w:rsidRPr="00EA775E" w:rsidTr="005720B6">
        <w:trPr>
          <w:trHeight w:val="70"/>
        </w:trPr>
        <w:tc>
          <w:tcPr>
            <w:tcW w:w="4530" w:type="dxa"/>
          </w:tcPr>
          <w:p w:rsidR="004C429C" w:rsidRPr="00EA775E" w:rsidRDefault="004C429C" w:rsidP="005720B6">
            <w:pPr>
              <w:autoSpaceDE w:val="0"/>
              <w:autoSpaceDN w:val="0"/>
              <w:adjustRightInd w:val="0"/>
            </w:pPr>
            <w:r w:rsidRPr="00EA775E">
              <w:t>Indikátor XYZ</w:t>
            </w: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c>
          <w:tcPr>
            <w:tcW w:w="1134" w:type="dxa"/>
          </w:tcPr>
          <w:p w:rsidR="004C429C" w:rsidRPr="00EA775E" w:rsidRDefault="004C429C" w:rsidP="005720B6">
            <w:pPr>
              <w:autoSpaceDE w:val="0"/>
              <w:autoSpaceDN w:val="0"/>
              <w:adjustRightInd w:val="0"/>
              <w:jc w:val="right"/>
            </w:pPr>
          </w:p>
        </w:tc>
      </w:tr>
    </w:tbl>
    <w:p w:rsidR="004C429C" w:rsidRPr="00EA775E" w:rsidRDefault="004C429C" w:rsidP="004C429C"/>
    <w:p w:rsidR="004C429C" w:rsidRPr="00EA775E" w:rsidRDefault="004C429C" w:rsidP="004C429C">
      <w:pPr>
        <w:jc w:val="both"/>
      </w:pPr>
    </w:p>
    <w:p w:rsidR="004C429C" w:rsidRPr="00EA775E" w:rsidRDefault="004C429C" w:rsidP="004C429C">
      <w:pPr>
        <w:tabs>
          <w:tab w:val="num" w:pos="1080"/>
        </w:tabs>
        <w:jc w:val="both"/>
        <w:rPr>
          <w:bCs/>
        </w:rPr>
      </w:pPr>
    </w:p>
    <w:p w:rsidR="004C429C" w:rsidRPr="00EA775E" w:rsidRDefault="004C429C" w:rsidP="004C429C">
      <w:pPr>
        <w:tabs>
          <w:tab w:val="num" w:pos="1080"/>
        </w:tabs>
        <w:jc w:val="both"/>
        <w:rPr>
          <w:bCs/>
        </w:rPr>
      </w:pPr>
    </w:p>
    <w:p w:rsidR="004C429C" w:rsidRPr="00EA775E" w:rsidRDefault="004C429C" w:rsidP="004C429C">
      <w:pPr>
        <w:tabs>
          <w:tab w:val="num" w:pos="1080"/>
        </w:tabs>
        <w:jc w:val="both"/>
        <w:rPr>
          <w:bCs/>
        </w:rPr>
      </w:pPr>
    </w:p>
    <w:p w:rsidR="004C429C" w:rsidRPr="00EA775E" w:rsidRDefault="004C429C" w:rsidP="004C429C">
      <w:pPr>
        <w:tabs>
          <w:tab w:val="num" w:pos="1080"/>
        </w:tabs>
        <w:jc w:val="both"/>
        <w:rPr>
          <w:bCs/>
          <w:szCs w:val="20"/>
        </w:rPr>
      </w:pPr>
    </w:p>
    <w:p w:rsidR="004C429C" w:rsidRPr="00EA775E" w:rsidRDefault="004C429C" w:rsidP="004C429C">
      <w:pPr>
        <w:tabs>
          <w:tab w:val="num" w:pos="1080"/>
        </w:tabs>
        <w:jc w:val="both"/>
        <w:rPr>
          <w:bCs/>
          <w:szCs w:val="20"/>
        </w:rPr>
        <w:sectPr w:rsidR="004C429C" w:rsidRPr="00EA775E" w:rsidSect="002F6B4D">
          <w:footerReference w:type="default" r:id="rId11"/>
          <w:pgSz w:w="11906" w:h="16838"/>
          <w:pgMar w:top="1417" w:right="1417" w:bottom="709" w:left="1417" w:header="708" w:footer="708" w:gutter="0"/>
          <w:pgNumType w:start="1"/>
          <w:cols w:space="708"/>
          <w:titlePg/>
          <w:docGrid w:linePitch="360"/>
        </w:sectPr>
      </w:pPr>
    </w:p>
    <w:p w:rsidR="004C429C" w:rsidRPr="00EA775E" w:rsidRDefault="004C429C" w:rsidP="004C429C">
      <w:pPr>
        <w:rPr>
          <w:b/>
          <w:bCs/>
        </w:rPr>
      </w:pPr>
      <w:r w:rsidRPr="00EA775E">
        <w:rPr>
          <w:b/>
          <w:bCs/>
        </w:rPr>
        <w:lastRenderedPageBreak/>
        <w:t>2.2.4. Výpočty vplyvov na verejné financie</w:t>
      </w:r>
    </w:p>
    <w:p w:rsidR="004C429C" w:rsidRPr="00EA775E" w:rsidRDefault="004C429C" w:rsidP="004C429C"/>
    <w:p w:rsidR="004C429C" w:rsidRPr="00EA775E" w:rsidRDefault="004C429C" w:rsidP="004C429C">
      <w:pPr>
        <w:jc w:val="both"/>
      </w:pPr>
      <w:r w:rsidRPr="00EA775E">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4C429C" w:rsidRPr="00EA775E" w:rsidRDefault="004C429C" w:rsidP="004C429C">
      <w:pPr>
        <w:tabs>
          <w:tab w:val="num" w:pos="1080"/>
        </w:tabs>
        <w:jc w:val="right"/>
        <w:rPr>
          <w:bCs/>
        </w:rPr>
      </w:pPr>
    </w:p>
    <w:p w:rsidR="004C429C" w:rsidRPr="00EA775E" w:rsidRDefault="004C429C" w:rsidP="004C429C">
      <w:pPr>
        <w:tabs>
          <w:tab w:val="num" w:pos="1080"/>
        </w:tabs>
        <w:jc w:val="right"/>
        <w:rPr>
          <w:bCs/>
          <w:szCs w:val="20"/>
        </w:rPr>
      </w:pPr>
      <w:r w:rsidRPr="00EA775E">
        <w:rPr>
          <w:bCs/>
        </w:rPr>
        <w:t xml:space="preserve">Tabuľka č. 3 </w:t>
      </w:r>
    </w:p>
    <w:tbl>
      <w:tblPr>
        <w:tblpPr w:leftFromText="141" w:rightFromText="141" w:vertAnchor="page" w:horzAnchor="margin" w:tblpY="3199"/>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4C429C" w:rsidRPr="00EA775E" w:rsidTr="005720B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429C" w:rsidRPr="00EA775E" w:rsidRDefault="004C429C" w:rsidP="005720B6">
            <w:pPr>
              <w:jc w:val="center"/>
              <w:rPr>
                <w:b/>
                <w:bCs/>
              </w:rPr>
            </w:pPr>
            <w:r w:rsidRPr="00EA775E">
              <w:rPr>
                <w:b/>
                <w:bCs/>
              </w:rPr>
              <w:t>poznámka</w:t>
            </w:r>
          </w:p>
        </w:tc>
      </w:tr>
      <w:tr w:rsidR="004C429C" w:rsidRPr="00EA775E" w:rsidTr="005720B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4C429C" w:rsidRPr="00EA775E" w:rsidRDefault="004C429C" w:rsidP="005720B6">
            <w:pPr>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rsidR="004C429C" w:rsidRPr="00EA775E" w:rsidRDefault="004C429C" w:rsidP="005720B6">
            <w:pPr>
              <w:rPr>
                <w:b/>
                <w:bCs/>
              </w:rPr>
            </w:pP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tcPr>
          <w:p w:rsidR="004C429C" w:rsidRPr="00EA775E" w:rsidRDefault="004C429C" w:rsidP="005720B6">
            <w:pPr>
              <w:rPr>
                <w:b/>
                <w:bCs/>
                <w:vertAlign w:val="superscript"/>
              </w:rPr>
            </w:pPr>
            <w:r w:rsidRPr="00EA775E">
              <w:rPr>
                <w:b/>
                <w:bCs/>
              </w:rPr>
              <w:t>Daňové príjmy (100)</w:t>
            </w:r>
            <w:r w:rsidRPr="00EA775E">
              <w:rPr>
                <w:b/>
                <w:bCs/>
                <w:vertAlign w:val="superscript"/>
              </w:rPr>
              <w:t>1</w:t>
            </w: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3000"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Nedaňové príjmy (200)</w:t>
            </w:r>
            <w:r w:rsidRPr="00EA775E">
              <w:rPr>
                <w:b/>
                <w:bCs/>
                <w:vertAlign w:val="superscript"/>
              </w:rPr>
              <w:t>1</w:t>
            </w: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3000"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Granty a transfery (300)</w:t>
            </w:r>
            <w:r w:rsidRPr="00EA775E">
              <w:rPr>
                <w:b/>
                <w:bCs/>
                <w:vertAlign w:val="superscript"/>
              </w:rPr>
              <w:t>1</w:t>
            </w: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1500" w:type="dxa"/>
            <w:tcBorders>
              <w:top w:val="nil"/>
              <w:left w:val="nil"/>
              <w:bottom w:val="single" w:sz="4" w:space="0" w:color="auto"/>
              <w:right w:val="single" w:sz="4" w:space="0" w:color="auto"/>
            </w:tcBorders>
          </w:tcPr>
          <w:p w:rsidR="004C429C" w:rsidRPr="00EA775E" w:rsidRDefault="004C429C" w:rsidP="005720B6">
            <w:pPr>
              <w:jc w:val="center"/>
              <w:rPr>
                <w:b/>
                <w:bCs/>
              </w:rPr>
            </w:pPr>
          </w:p>
        </w:tc>
        <w:tc>
          <w:tcPr>
            <w:tcW w:w="3000"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3000"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150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
                <w:bCs/>
              </w:rPr>
            </w:pPr>
            <w:r w:rsidRPr="00EA775E">
              <w:rPr>
                <w:b/>
                <w:bCs/>
              </w:rPr>
              <w:t> </w:t>
            </w:r>
          </w:p>
        </w:tc>
        <w:tc>
          <w:tcPr>
            <w:tcW w:w="3000"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4C429C" w:rsidRPr="00EA775E" w:rsidRDefault="004C429C" w:rsidP="005720B6">
            <w:pPr>
              <w:rPr>
                <w:b/>
                <w:bCs/>
              </w:rPr>
            </w:pPr>
            <w:r w:rsidRPr="00EA775E">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4C429C" w:rsidRPr="00EA775E" w:rsidRDefault="004C429C" w:rsidP="005720B6">
            <w:r w:rsidRPr="00EA775E">
              <w:t> </w:t>
            </w:r>
          </w:p>
        </w:tc>
      </w:tr>
    </w:tbl>
    <w:p w:rsidR="004C429C" w:rsidRPr="00EA775E" w:rsidRDefault="004C429C" w:rsidP="004C429C">
      <w:pPr>
        <w:tabs>
          <w:tab w:val="num" w:pos="1080"/>
        </w:tabs>
        <w:ind w:right="-578"/>
        <w:jc w:val="right"/>
        <w:rPr>
          <w:bCs/>
        </w:rPr>
      </w:pPr>
    </w:p>
    <w:p w:rsidR="004C429C" w:rsidRPr="00EA775E" w:rsidRDefault="004C429C" w:rsidP="004C429C">
      <w:pPr>
        <w:tabs>
          <w:tab w:val="num" w:pos="1080"/>
        </w:tabs>
        <w:jc w:val="both"/>
        <w:rPr>
          <w:bCs/>
          <w:sz w:val="20"/>
          <w:szCs w:val="20"/>
        </w:rPr>
      </w:pPr>
      <w:r w:rsidRPr="00EA775E">
        <w:rPr>
          <w:bCs/>
          <w:sz w:val="20"/>
          <w:szCs w:val="20"/>
        </w:rPr>
        <w:t>1 –  príjmy rozpísať až do položiek platnej ekonomickej klasifikácie</w:t>
      </w:r>
    </w:p>
    <w:p w:rsidR="004C429C" w:rsidRPr="00EA775E" w:rsidRDefault="004C429C" w:rsidP="004C429C">
      <w:pPr>
        <w:tabs>
          <w:tab w:val="num" w:pos="1080"/>
        </w:tabs>
        <w:jc w:val="both"/>
        <w:rPr>
          <w:bCs/>
          <w:szCs w:val="20"/>
        </w:rPr>
      </w:pPr>
    </w:p>
    <w:p w:rsidR="004C429C" w:rsidRPr="00EA775E" w:rsidRDefault="004C429C" w:rsidP="004C429C">
      <w:pPr>
        <w:tabs>
          <w:tab w:val="num" w:pos="1080"/>
        </w:tabs>
        <w:jc w:val="both"/>
        <w:rPr>
          <w:b/>
          <w:bCs/>
          <w:szCs w:val="20"/>
        </w:rPr>
      </w:pPr>
      <w:r w:rsidRPr="00EA775E">
        <w:rPr>
          <w:b/>
          <w:bCs/>
          <w:szCs w:val="20"/>
        </w:rPr>
        <w:t>Poznámka:</w:t>
      </w:r>
    </w:p>
    <w:p w:rsidR="004C429C" w:rsidRPr="00EA775E" w:rsidRDefault="004C429C" w:rsidP="004C429C">
      <w:pPr>
        <w:tabs>
          <w:tab w:val="num" w:pos="1080"/>
        </w:tabs>
        <w:jc w:val="both"/>
        <w:rPr>
          <w:bCs/>
          <w:szCs w:val="20"/>
        </w:rPr>
      </w:pPr>
      <w:r w:rsidRPr="00EA775E">
        <w:rPr>
          <w:bCs/>
          <w:szCs w:val="20"/>
        </w:rPr>
        <w:t>Ak sa vplyv týka viacerých subjektov verejnej správy, vypĺňa sa samostatná tabuľka za každý subjekt.</w:t>
      </w:r>
    </w:p>
    <w:p w:rsidR="004C429C" w:rsidRPr="00EA775E" w:rsidRDefault="004C429C" w:rsidP="004C429C">
      <w:pPr>
        <w:tabs>
          <w:tab w:val="num" w:pos="1080"/>
        </w:tabs>
        <w:ind w:right="-578"/>
        <w:jc w:val="right"/>
        <w:rPr>
          <w:bCs/>
        </w:rPr>
      </w:pPr>
    </w:p>
    <w:p w:rsidR="004C429C" w:rsidRPr="00EA775E" w:rsidRDefault="004C429C" w:rsidP="004C429C">
      <w:pPr>
        <w:spacing w:after="160" w:line="259" w:lineRule="auto"/>
        <w:rPr>
          <w:bCs/>
        </w:rPr>
      </w:pPr>
      <w:r w:rsidRPr="00EA775E">
        <w:rPr>
          <w:bCs/>
        </w:rPr>
        <w:br w:type="page"/>
      </w:r>
    </w:p>
    <w:p w:rsidR="004C429C" w:rsidRPr="00EA775E" w:rsidRDefault="004C429C" w:rsidP="004C429C">
      <w:pPr>
        <w:tabs>
          <w:tab w:val="num" w:pos="1080"/>
        </w:tabs>
        <w:ind w:right="-32"/>
        <w:jc w:val="right"/>
        <w:rPr>
          <w:bCs/>
        </w:rPr>
      </w:pPr>
      <w:r w:rsidRPr="00EA775E">
        <w:rPr>
          <w:bCs/>
        </w:rPr>
        <w:lastRenderedPageBreak/>
        <w:t xml:space="preserve">Tabuľka č. 4 </w:t>
      </w:r>
    </w:p>
    <w:p w:rsidR="004C429C" w:rsidRPr="00EA775E" w:rsidRDefault="004C429C" w:rsidP="004C429C">
      <w:pPr>
        <w:tabs>
          <w:tab w:val="num" w:pos="1080"/>
        </w:tabs>
        <w:jc w:val="both"/>
        <w:rPr>
          <w:bCs/>
          <w:szCs w:val="20"/>
        </w:rPr>
      </w:pPr>
    </w:p>
    <w:tbl>
      <w:tblPr>
        <w:tblpPr w:leftFromText="141" w:rightFromText="141" w:vertAnchor="text" w:horzAnchor="page" w:tblpX="1408" w:tblpY="2"/>
        <w:tblW w:w="14104" w:type="dxa"/>
        <w:tblCellMar>
          <w:left w:w="70" w:type="dxa"/>
          <w:right w:w="70" w:type="dxa"/>
        </w:tblCellMar>
        <w:tblLook w:val="0000" w:firstRow="0" w:lastRow="0" w:firstColumn="0" w:lastColumn="0" w:noHBand="0" w:noVBand="0"/>
      </w:tblPr>
      <w:tblGrid>
        <w:gridCol w:w="6865"/>
        <w:gridCol w:w="1508"/>
        <w:gridCol w:w="1508"/>
        <w:gridCol w:w="1508"/>
        <w:gridCol w:w="1508"/>
        <w:gridCol w:w="1207"/>
      </w:tblGrid>
      <w:tr w:rsidR="004C429C" w:rsidRPr="00EA775E" w:rsidTr="005720B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C429C" w:rsidRPr="00EA775E" w:rsidRDefault="004C429C" w:rsidP="005720B6">
            <w:pPr>
              <w:jc w:val="center"/>
              <w:rPr>
                <w:b/>
                <w:bCs/>
                <w:sz w:val="20"/>
                <w:szCs w:val="20"/>
              </w:rPr>
            </w:pPr>
            <w:r w:rsidRPr="00EA775E">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sz w:val="20"/>
                <w:szCs w:val="20"/>
              </w:rPr>
            </w:pPr>
            <w:r w:rsidRPr="00EA775E">
              <w:rPr>
                <w:b/>
                <w:bCs/>
                <w:sz w:val="20"/>
                <w:szCs w:val="20"/>
              </w:rPr>
              <w:t>Vplyv na rozpočet verejnej správy</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429C" w:rsidRPr="00EA775E" w:rsidRDefault="004C429C" w:rsidP="005720B6">
            <w:pPr>
              <w:jc w:val="center"/>
              <w:rPr>
                <w:b/>
                <w:bCs/>
              </w:rPr>
            </w:pPr>
            <w:r w:rsidRPr="00EA775E">
              <w:rPr>
                <w:b/>
                <w:bCs/>
              </w:rPr>
              <w:t>poznámka</w:t>
            </w:r>
          </w:p>
        </w:tc>
      </w:tr>
      <w:tr w:rsidR="004C429C" w:rsidRPr="00EA775E" w:rsidTr="005720B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C429C" w:rsidRPr="00EA775E" w:rsidRDefault="004C429C" w:rsidP="005720B6">
            <w:pPr>
              <w:rPr>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2024</w:t>
            </w:r>
          </w:p>
        </w:tc>
        <w:tc>
          <w:tcPr>
            <w:tcW w:w="874" w:type="dxa"/>
            <w:vMerge/>
            <w:tcBorders>
              <w:top w:val="single" w:sz="4" w:space="0" w:color="auto"/>
              <w:left w:val="single" w:sz="4" w:space="0" w:color="auto"/>
              <w:bottom w:val="single" w:sz="4" w:space="0" w:color="auto"/>
              <w:right w:val="single" w:sz="4" w:space="0" w:color="auto"/>
            </w:tcBorders>
            <w:vAlign w:val="center"/>
          </w:tcPr>
          <w:p w:rsidR="004C429C" w:rsidRPr="00EA775E" w:rsidRDefault="004C429C" w:rsidP="005720B6">
            <w:pPr>
              <w:rPr>
                <w:b/>
                <w:bCs/>
              </w:rPr>
            </w:pP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b/>
                <w:bCs/>
                <w:sz w:val="20"/>
                <w:szCs w:val="20"/>
              </w:rPr>
            </w:pPr>
            <w:r w:rsidRPr="00EA775E">
              <w:rPr>
                <w:b/>
                <w:bCs/>
                <w:sz w:val="20"/>
                <w:szCs w:val="20"/>
              </w:rPr>
              <w:t>Bežné výdavky (600)</w:t>
            </w:r>
          </w:p>
        </w:tc>
        <w:tc>
          <w:tcPr>
            <w:tcW w:w="1540" w:type="dxa"/>
            <w:tcBorders>
              <w:top w:val="nil"/>
              <w:left w:val="nil"/>
              <w:bottom w:val="single" w:sz="4" w:space="0" w:color="auto"/>
              <w:right w:val="single" w:sz="4" w:space="0" w:color="auto"/>
            </w:tcBorders>
            <w:vAlign w:val="center"/>
          </w:tcPr>
          <w:p w:rsidR="004C429C" w:rsidRPr="00EA775E" w:rsidRDefault="004C429C" w:rsidP="005720B6">
            <w:pPr>
              <w:jc w:val="center"/>
              <w:rPr>
                <w:b/>
                <w:bCs/>
              </w:rPr>
            </w:pPr>
            <w:r w:rsidRPr="00EA775E">
              <w:rPr>
                <w:b/>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
              </w:rPr>
            </w:pPr>
            <w:r w:rsidRPr="00EA775E">
              <w:rPr>
                <w:b/>
              </w:rPr>
              <w:t>7314</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
              </w:rPr>
            </w:pPr>
            <w:r w:rsidRPr="00EA775E">
              <w:rPr>
                <w:b/>
              </w:rPr>
              <w:t>7314</w:t>
            </w:r>
          </w:p>
        </w:tc>
        <w:tc>
          <w:tcPr>
            <w:tcW w:w="1540" w:type="dxa"/>
            <w:tcBorders>
              <w:top w:val="nil"/>
              <w:left w:val="nil"/>
              <w:bottom w:val="single" w:sz="4" w:space="0" w:color="auto"/>
              <w:right w:val="single" w:sz="4" w:space="0" w:color="auto"/>
            </w:tcBorders>
            <w:vAlign w:val="center"/>
          </w:tcPr>
          <w:p w:rsidR="004C429C" w:rsidRPr="00EA775E" w:rsidRDefault="004C429C" w:rsidP="005720B6">
            <w:pPr>
              <w:jc w:val="center"/>
              <w:rPr>
                <w:b/>
                <w:bCs/>
              </w:rPr>
            </w:pPr>
            <w:r w:rsidRPr="00EA775E">
              <w:rPr>
                <w:b/>
                <w:bCs/>
              </w:rPr>
              <w:t>7314</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rPr>
            </w:pPr>
            <w:r w:rsidRPr="00EA775E">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vertAlign w:val="superscript"/>
              </w:rPr>
            </w:pPr>
            <w:r w:rsidRPr="00EA775E">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vertAlign w:val="superscript"/>
              </w:rPr>
            </w:pPr>
            <w:r w:rsidRPr="00EA775E">
              <w:rPr>
                <w:sz w:val="20"/>
                <w:szCs w:val="20"/>
              </w:rPr>
              <w:t xml:space="preserve">  Tovary a služby (630)</w:t>
            </w:r>
            <w:r w:rsidRPr="00EA775E">
              <w:rPr>
                <w:sz w:val="20"/>
                <w:szCs w:val="20"/>
                <w:vertAlign w:val="superscript"/>
              </w:rPr>
              <w:t>2</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rPr>
            </w:pPr>
            <w:r w:rsidRPr="00EA775E">
              <w:rPr>
                <w:sz w:val="20"/>
                <w:szCs w:val="20"/>
              </w:rPr>
              <w:t xml:space="preserve">  Bežné transfery (640 - 642)</w:t>
            </w:r>
            <w:r w:rsidRPr="00EA775E">
              <w:rPr>
                <w:sz w:val="20"/>
                <w:szCs w:val="20"/>
                <w:vertAlign w:val="superscript"/>
              </w:rPr>
              <w:t>2</w:t>
            </w:r>
          </w:p>
        </w:tc>
        <w:tc>
          <w:tcPr>
            <w:tcW w:w="1540" w:type="dxa"/>
            <w:tcBorders>
              <w:top w:val="nil"/>
              <w:left w:val="nil"/>
              <w:bottom w:val="single" w:sz="4" w:space="0" w:color="auto"/>
              <w:right w:val="single" w:sz="4" w:space="0" w:color="auto"/>
            </w:tcBorders>
            <w:vAlign w:val="center"/>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pPr>
            <w:r w:rsidRPr="00EA775E">
              <w:t>7314</w:t>
            </w:r>
          </w:p>
        </w:tc>
        <w:tc>
          <w:tcPr>
            <w:tcW w:w="1540" w:type="dxa"/>
            <w:tcBorders>
              <w:top w:val="nil"/>
              <w:left w:val="nil"/>
              <w:bottom w:val="single" w:sz="4" w:space="0" w:color="auto"/>
              <w:right w:val="single" w:sz="4" w:space="0" w:color="auto"/>
            </w:tcBorders>
          </w:tcPr>
          <w:p w:rsidR="004C429C" w:rsidRPr="00EA775E" w:rsidRDefault="004C429C" w:rsidP="005720B6">
            <w:pPr>
              <w:jc w:val="center"/>
            </w:pPr>
            <w:r w:rsidRPr="00EA775E">
              <w:t>7314</w:t>
            </w:r>
          </w:p>
        </w:tc>
        <w:tc>
          <w:tcPr>
            <w:tcW w:w="1540" w:type="dxa"/>
            <w:tcBorders>
              <w:top w:val="nil"/>
              <w:left w:val="nil"/>
              <w:bottom w:val="single" w:sz="4" w:space="0" w:color="auto"/>
              <w:right w:val="single" w:sz="4" w:space="0" w:color="auto"/>
            </w:tcBorders>
          </w:tcPr>
          <w:p w:rsidR="004C429C" w:rsidRPr="00EA775E" w:rsidRDefault="004C429C" w:rsidP="005720B6">
            <w:pPr>
              <w:jc w:val="center"/>
            </w:pPr>
            <w:r w:rsidRPr="00EA775E">
              <w:t>7314</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vAlign w:val="center"/>
          </w:tcPr>
          <w:p w:rsidR="004C429C" w:rsidRPr="00EA775E" w:rsidRDefault="004C429C" w:rsidP="005720B6">
            <w:pPr>
              <w:rPr>
                <w:sz w:val="20"/>
                <w:szCs w:val="20"/>
              </w:rPr>
            </w:pPr>
            <w:r w:rsidRPr="00EA775E">
              <w:rPr>
                <w:sz w:val="20"/>
                <w:szCs w:val="20"/>
              </w:rPr>
              <w:t xml:space="preserve">  Splácanie úrokov a ostatné platby súvisiace s </w:t>
            </w:r>
            <w:r w:rsidRPr="00EA775E">
              <w:t xml:space="preserve"> </w:t>
            </w:r>
            <w:r w:rsidRPr="00EA775E">
              <w:rPr>
                <w:sz w:val="20"/>
                <w:szCs w:val="20"/>
              </w:rPr>
              <w:t>úverom, pôžičkou, návratnou finančnou výpomocou a finančným prenájmom (650)</w:t>
            </w:r>
            <w:r w:rsidRPr="00EA775E">
              <w:rPr>
                <w:sz w:val="20"/>
                <w:szCs w:val="20"/>
                <w:vertAlign w:val="superscript"/>
              </w:rPr>
              <w:t>2</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b/>
                <w:bCs/>
                <w:sz w:val="20"/>
                <w:szCs w:val="20"/>
              </w:rPr>
            </w:pPr>
            <w:r w:rsidRPr="00EA775E">
              <w:rPr>
                <w:b/>
                <w:bCs/>
                <w:sz w:val="20"/>
                <w:szCs w:val="20"/>
              </w:rPr>
              <w:t>Kapitálové výdavky (700)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rPr>
            </w:pPr>
            <w:r w:rsidRPr="00EA775E">
              <w:rPr>
                <w:sz w:val="20"/>
                <w:szCs w:val="20"/>
              </w:rPr>
              <w:t xml:space="preserve">  Obstarávanie kapitálových aktív (710)</w:t>
            </w:r>
            <w:r w:rsidRPr="00EA775E">
              <w:rPr>
                <w:sz w:val="20"/>
                <w:szCs w:val="20"/>
                <w:vertAlign w:val="superscript"/>
              </w:rPr>
              <w:t>2</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sz w:val="20"/>
                <w:szCs w:val="20"/>
              </w:rPr>
            </w:pPr>
            <w:r w:rsidRPr="00EA775E">
              <w:rPr>
                <w:sz w:val="20"/>
                <w:szCs w:val="20"/>
              </w:rPr>
              <w:t xml:space="preserve">  Kapitálové transfery (720)</w:t>
            </w:r>
            <w:r w:rsidRPr="00EA775E">
              <w:rPr>
                <w:sz w:val="20"/>
                <w:szCs w:val="20"/>
                <w:vertAlign w:val="superscript"/>
              </w:rPr>
              <w:t>2</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nil"/>
              <w:left w:val="single" w:sz="4" w:space="0" w:color="auto"/>
              <w:bottom w:val="single" w:sz="4" w:space="0" w:color="auto"/>
              <w:right w:val="single" w:sz="4" w:space="0" w:color="auto"/>
            </w:tcBorders>
          </w:tcPr>
          <w:p w:rsidR="004C429C" w:rsidRPr="00EA775E" w:rsidRDefault="004C429C" w:rsidP="005720B6">
            <w:pPr>
              <w:rPr>
                <w:b/>
                <w:bCs/>
                <w:sz w:val="20"/>
                <w:szCs w:val="20"/>
              </w:rPr>
            </w:pPr>
            <w:r w:rsidRPr="00EA775E">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Cs/>
              </w:rPr>
            </w:pPr>
            <w:r w:rsidRPr="00EA775E">
              <w:rPr>
                <w:bCs/>
              </w:rPr>
              <w:t>0</w:t>
            </w:r>
          </w:p>
        </w:tc>
        <w:tc>
          <w:tcPr>
            <w:tcW w:w="1540" w:type="dxa"/>
            <w:tcBorders>
              <w:top w:val="nil"/>
              <w:left w:val="nil"/>
              <w:bottom w:val="single" w:sz="4" w:space="0" w:color="auto"/>
              <w:right w:val="single" w:sz="4" w:space="0" w:color="auto"/>
            </w:tcBorders>
            <w:shd w:val="clear" w:color="auto" w:fill="FFFF99"/>
          </w:tcPr>
          <w:p w:rsidR="004C429C" w:rsidRPr="00EA775E" w:rsidRDefault="004C429C" w:rsidP="005720B6">
            <w:pPr>
              <w:jc w:val="center"/>
              <w:rPr>
                <w:bCs/>
              </w:rPr>
            </w:pPr>
            <w:r w:rsidRPr="00EA775E">
              <w:rPr>
                <w:bCs/>
              </w:rPr>
              <w:t>0</w:t>
            </w:r>
          </w:p>
        </w:tc>
        <w:tc>
          <w:tcPr>
            <w:tcW w:w="874"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429C" w:rsidRPr="00EA775E" w:rsidRDefault="004C429C" w:rsidP="005720B6">
            <w:pPr>
              <w:rPr>
                <w:b/>
                <w:bCs/>
                <w:sz w:val="20"/>
                <w:szCs w:val="20"/>
              </w:rPr>
            </w:pPr>
            <w:r w:rsidRPr="00EA775E">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rPr>
            </w:pPr>
            <w:r w:rsidRPr="00EA775E">
              <w:rPr>
                <w:b/>
              </w:rPr>
              <w:t>7314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rPr>
            </w:pPr>
            <w:r w:rsidRPr="00EA775E">
              <w:rPr>
                <w:b/>
              </w:rPr>
              <w:t>7314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rPr>
            </w:pPr>
            <w:r w:rsidRPr="00EA775E">
              <w:rPr>
                <w:b/>
              </w:rPr>
              <w:t>7314</w:t>
            </w:r>
          </w:p>
        </w:tc>
        <w:tc>
          <w:tcPr>
            <w:tcW w:w="87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C429C" w:rsidRPr="00EA775E" w:rsidRDefault="004C429C" w:rsidP="005720B6">
            <w:r w:rsidRPr="00EA775E">
              <w:t> </w:t>
            </w:r>
          </w:p>
        </w:tc>
      </w:tr>
    </w:tbl>
    <w:p w:rsidR="004C429C" w:rsidRPr="00EA775E" w:rsidRDefault="004C429C" w:rsidP="004C429C">
      <w:pPr>
        <w:tabs>
          <w:tab w:val="num" w:pos="1080"/>
        </w:tabs>
        <w:jc w:val="both"/>
        <w:rPr>
          <w:bCs/>
          <w:sz w:val="20"/>
          <w:szCs w:val="20"/>
        </w:rPr>
      </w:pPr>
      <w:r w:rsidRPr="00EA775E">
        <w:rPr>
          <w:bCs/>
          <w:sz w:val="20"/>
          <w:szCs w:val="20"/>
        </w:rPr>
        <w:t>2 –  výdavky rozpísať až do položiek platnej ekonomickej klasifikácie</w:t>
      </w:r>
    </w:p>
    <w:p w:rsidR="004C429C" w:rsidRPr="00EA775E" w:rsidRDefault="004C429C" w:rsidP="004C429C">
      <w:pPr>
        <w:tabs>
          <w:tab w:val="num" w:pos="1080"/>
        </w:tabs>
        <w:ind w:left="-900"/>
        <w:jc w:val="both"/>
        <w:rPr>
          <w:bCs/>
          <w:szCs w:val="20"/>
        </w:rPr>
      </w:pPr>
    </w:p>
    <w:p w:rsidR="004C429C" w:rsidRPr="00EA775E" w:rsidRDefault="004C429C" w:rsidP="004C429C">
      <w:pPr>
        <w:tabs>
          <w:tab w:val="num" w:pos="1080"/>
        </w:tabs>
        <w:jc w:val="both"/>
        <w:rPr>
          <w:b/>
          <w:bCs/>
          <w:sz w:val="20"/>
          <w:szCs w:val="20"/>
        </w:rPr>
      </w:pPr>
      <w:r w:rsidRPr="00EA775E">
        <w:rPr>
          <w:b/>
          <w:bCs/>
          <w:szCs w:val="20"/>
        </w:rPr>
        <w:t>Poznámka:</w:t>
      </w:r>
    </w:p>
    <w:p w:rsidR="004C429C" w:rsidRPr="00EA775E" w:rsidRDefault="004C429C" w:rsidP="004C429C">
      <w:pPr>
        <w:tabs>
          <w:tab w:val="num" w:pos="1080"/>
        </w:tabs>
        <w:jc w:val="both"/>
        <w:rPr>
          <w:bCs/>
          <w:szCs w:val="20"/>
        </w:rPr>
      </w:pPr>
      <w:r w:rsidRPr="00EA775E">
        <w:rPr>
          <w:bCs/>
          <w:szCs w:val="20"/>
        </w:rPr>
        <w:t>Ak sa vplyv týka viacerých subjektov verejnej správy, vypĺňa sa samostatná tabuľka za každý subjekt.</w:t>
      </w:r>
    </w:p>
    <w:p w:rsidR="004C429C" w:rsidRPr="00EA775E" w:rsidRDefault="004C429C" w:rsidP="004C429C">
      <w:pPr>
        <w:tabs>
          <w:tab w:val="num" w:pos="1080"/>
        </w:tabs>
        <w:jc w:val="both"/>
        <w:rPr>
          <w:bCs/>
          <w:sz w:val="20"/>
          <w:szCs w:val="20"/>
        </w:rPr>
      </w:pPr>
    </w:p>
    <w:p w:rsidR="004C429C" w:rsidRPr="00EA775E" w:rsidRDefault="004C429C" w:rsidP="004C429C">
      <w:pPr>
        <w:tabs>
          <w:tab w:val="num" w:pos="1080"/>
        </w:tabs>
        <w:jc w:val="both"/>
        <w:rPr>
          <w:bCs/>
          <w:szCs w:val="20"/>
        </w:rPr>
      </w:pPr>
      <w:r w:rsidRPr="00EA775E">
        <w:rPr>
          <w:bCs/>
          <w:szCs w:val="20"/>
        </w:rPr>
        <w:t>Komentár k tabuľke č. 4</w:t>
      </w:r>
    </w:p>
    <w:p w:rsidR="004C429C" w:rsidRPr="00EA775E" w:rsidRDefault="004C429C" w:rsidP="004C429C">
      <w:pPr>
        <w:tabs>
          <w:tab w:val="num" w:pos="1080"/>
        </w:tabs>
        <w:jc w:val="both"/>
        <w:rPr>
          <w:bCs/>
          <w:szCs w:val="20"/>
        </w:rPr>
      </w:pPr>
      <w:r w:rsidRPr="00EA775E">
        <w:rPr>
          <w:bCs/>
          <w:szCs w:val="20"/>
        </w:rPr>
        <w:t>Pri výpočte  vplyvu na rozpočet verejnej správy  Ministerstvo obrany Slovenskej republiky vychádzalo  :</w:t>
      </w:r>
    </w:p>
    <w:p w:rsidR="004C429C" w:rsidRPr="00EA775E" w:rsidRDefault="004C429C" w:rsidP="004C429C">
      <w:pPr>
        <w:pStyle w:val="Odsekzoznamu"/>
        <w:numPr>
          <w:ilvl w:val="0"/>
          <w:numId w:val="2"/>
        </w:numPr>
        <w:spacing w:after="0" w:line="240" w:lineRule="auto"/>
        <w:ind w:left="426"/>
        <w:jc w:val="both"/>
        <w:rPr>
          <w:rFonts w:ascii="Times New Roman" w:hAnsi="Times New Roman"/>
          <w:bCs/>
          <w:sz w:val="24"/>
          <w:szCs w:val="20"/>
        </w:rPr>
      </w:pPr>
      <w:r w:rsidRPr="00EA775E">
        <w:rPr>
          <w:rFonts w:ascii="Times New Roman" w:hAnsi="Times New Roman"/>
          <w:bCs/>
          <w:sz w:val="24"/>
          <w:szCs w:val="20"/>
        </w:rPr>
        <w:t>z počtu  vojakov v zálohe zaradených do aktívnych záloh, ktorí spĺňajú podmienky na povýšenie do vojenskej hodnosti,</w:t>
      </w:r>
    </w:p>
    <w:p w:rsidR="004C429C" w:rsidRPr="00EA775E" w:rsidRDefault="004C429C" w:rsidP="004C429C">
      <w:pPr>
        <w:pStyle w:val="Odsekzoznamu"/>
        <w:numPr>
          <w:ilvl w:val="0"/>
          <w:numId w:val="2"/>
        </w:numPr>
        <w:spacing w:after="0" w:line="240" w:lineRule="auto"/>
        <w:ind w:left="426"/>
        <w:jc w:val="both"/>
        <w:rPr>
          <w:rFonts w:ascii="Times New Roman" w:hAnsi="Times New Roman"/>
          <w:bCs/>
          <w:sz w:val="24"/>
          <w:szCs w:val="20"/>
        </w:rPr>
      </w:pPr>
      <w:r w:rsidRPr="00EA775E">
        <w:rPr>
          <w:rFonts w:ascii="Times New Roman" w:hAnsi="Times New Roman"/>
          <w:bCs/>
          <w:sz w:val="24"/>
          <w:szCs w:val="20"/>
        </w:rPr>
        <w:t>z rozdielu hodnostného platu z vojenskej  hodnosti, do ktorej môže byť vojak v zálohe zaradený do aktívnych záloh povýšený,  a hodnostného platu z vojenskej hodnosti, ktorú tento vojak dosiahol,</w:t>
      </w:r>
    </w:p>
    <w:p w:rsidR="004C429C" w:rsidRPr="00EA775E" w:rsidRDefault="004C429C" w:rsidP="004C429C">
      <w:pPr>
        <w:pStyle w:val="Odsekzoznamu"/>
        <w:numPr>
          <w:ilvl w:val="0"/>
          <w:numId w:val="2"/>
        </w:numPr>
        <w:spacing w:after="0" w:line="240" w:lineRule="auto"/>
        <w:ind w:left="426"/>
        <w:jc w:val="both"/>
        <w:rPr>
          <w:rFonts w:ascii="Times New Roman" w:hAnsi="Times New Roman"/>
          <w:bCs/>
          <w:sz w:val="24"/>
          <w:szCs w:val="20"/>
        </w:rPr>
      </w:pPr>
      <w:r w:rsidRPr="00EA775E">
        <w:rPr>
          <w:rFonts w:ascii="Times New Roman" w:hAnsi="Times New Roman"/>
          <w:bCs/>
          <w:sz w:val="24"/>
          <w:szCs w:val="20"/>
        </w:rPr>
        <w:t xml:space="preserve">z dĺžky pravidelného cvičenia a plnenia úloh ozbrojených síl Slovenskej republiky v kalendárnom roku (podľa  § 14d  zákona č. 570/2005 Z. z. najviac  30 dní). </w:t>
      </w:r>
    </w:p>
    <w:p w:rsidR="004C429C" w:rsidRPr="00EA775E" w:rsidRDefault="004C429C" w:rsidP="004C429C">
      <w:pPr>
        <w:tabs>
          <w:tab w:val="num" w:pos="1080"/>
        </w:tabs>
        <w:jc w:val="both"/>
        <w:rPr>
          <w:bCs/>
          <w:szCs w:val="20"/>
        </w:rPr>
      </w:pPr>
    </w:p>
    <w:p w:rsidR="004C429C" w:rsidRPr="00EA775E" w:rsidRDefault="004C429C" w:rsidP="004C429C">
      <w:pPr>
        <w:tabs>
          <w:tab w:val="num" w:pos="1080"/>
        </w:tabs>
        <w:jc w:val="both"/>
        <w:rPr>
          <w:bCs/>
          <w:szCs w:val="20"/>
        </w:rPr>
      </w:pPr>
      <w:r w:rsidRPr="00EA775E">
        <w:rPr>
          <w:bCs/>
          <w:szCs w:val="20"/>
        </w:rPr>
        <w:t xml:space="preserve">Výdavky v EK 640-642  zahŕňajú výdavky na plat  podľa bodu 2 na  počet vojakov zaradených do aktívnych záloh, ktorí môžu byť povýšení.    </w:t>
      </w:r>
    </w:p>
    <w:p w:rsidR="004C429C" w:rsidRPr="00EA775E" w:rsidRDefault="004C429C" w:rsidP="004C429C">
      <w:pPr>
        <w:tabs>
          <w:tab w:val="num" w:pos="1080"/>
        </w:tabs>
        <w:jc w:val="both"/>
        <w:rPr>
          <w:bCs/>
          <w:szCs w:val="20"/>
        </w:rPr>
      </w:pPr>
      <w:r w:rsidRPr="00EA775E">
        <w:rPr>
          <w:bCs/>
          <w:szCs w:val="20"/>
        </w:rPr>
        <w:t>Predpokladané počty vojakov v zálohe zaradených do aktívnych záloh v roku 2021 až 2024 a výdavky na plat sú nasledovné:</w:t>
      </w:r>
    </w:p>
    <w:p w:rsidR="004C429C" w:rsidRPr="00EA775E" w:rsidRDefault="004C429C" w:rsidP="004C429C">
      <w:pPr>
        <w:tabs>
          <w:tab w:val="num" w:pos="4820"/>
        </w:tabs>
        <w:jc w:val="both"/>
        <w:rPr>
          <w:bCs/>
          <w:szCs w:val="20"/>
        </w:rPr>
      </w:pPr>
      <w:r w:rsidRPr="00EA775E">
        <w:rPr>
          <w:bCs/>
          <w:szCs w:val="20"/>
        </w:rPr>
        <w:t>V roku  2021 sa neplánuje  povyšovanie do vojenskej hodnosti vojakov v zálohe zaradených do aktívnych záloh vzhľadom na termíny pravidelného cvičenia a navrhovanú účinnosť  návrhu zákona.</w:t>
      </w:r>
    </w:p>
    <w:p w:rsidR="004C429C" w:rsidRPr="00EA775E" w:rsidRDefault="004C429C" w:rsidP="004C429C">
      <w:pPr>
        <w:jc w:val="both"/>
        <w:rPr>
          <w:bCs/>
          <w:szCs w:val="20"/>
        </w:rPr>
      </w:pPr>
      <w:r w:rsidRPr="00EA775E">
        <w:rPr>
          <w:bCs/>
          <w:szCs w:val="20"/>
        </w:rPr>
        <w:lastRenderedPageBreak/>
        <w:t xml:space="preserve">V roku 2022  môže byť povýšených do vojenskej hodnosti 53 vojakov v zálohe zaradených do aktívnych záloh z toho </w:t>
      </w:r>
    </w:p>
    <w:p w:rsidR="004C429C" w:rsidRPr="00EA775E" w:rsidRDefault="004C429C" w:rsidP="004C429C">
      <w:pPr>
        <w:pStyle w:val="Odsekzoznamu"/>
        <w:numPr>
          <w:ilvl w:val="0"/>
          <w:numId w:val="3"/>
        </w:numPr>
        <w:spacing w:after="0" w:line="240" w:lineRule="auto"/>
        <w:ind w:left="1560"/>
        <w:contextualSpacing w:val="0"/>
        <w:jc w:val="both"/>
        <w:rPr>
          <w:bCs/>
        </w:rPr>
      </w:pPr>
      <w:r w:rsidRPr="00EA775E">
        <w:rPr>
          <w:rFonts w:ascii="Times New Roman" w:hAnsi="Times New Roman"/>
          <w:bCs/>
          <w:sz w:val="24"/>
          <w:szCs w:val="24"/>
        </w:rPr>
        <w:t xml:space="preserve">25 do vojenskej hodnosti slobodník </w:t>
      </w:r>
      <w:r w:rsidRPr="00EA775E">
        <w:rPr>
          <w:rFonts w:ascii="Times New Roman" w:hAnsi="Times New Roman"/>
          <w:bCs/>
          <w:sz w:val="24"/>
          <w:szCs w:val="24"/>
        </w:rPr>
        <w:tab/>
        <w:t xml:space="preserve">2 250€ (25 x 90€), </w:t>
      </w:r>
    </w:p>
    <w:p w:rsidR="004C429C" w:rsidRPr="00EA775E" w:rsidRDefault="004C429C" w:rsidP="004C429C">
      <w:pPr>
        <w:pStyle w:val="Odsekzoznamu"/>
        <w:numPr>
          <w:ilvl w:val="0"/>
          <w:numId w:val="3"/>
        </w:numPr>
        <w:spacing w:after="0" w:line="240" w:lineRule="auto"/>
        <w:ind w:left="1560"/>
        <w:contextualSpacing w:val="0"/>
        <w:jc w:val="both"/>
        <w:rPr>
          <w:bCs/>
        </w:rPr>
      </w:pPr>
      <w:r w:rsidRPr="00EA775E">
        <w:rPr>
          <w:rFonts w:ascii="Times New Roman" w:hAnsi="Times New Roman"/>
          <w:bCs/>
          <w:sz w:val="24"/>
          <w:szCs w:val="24"/>
        </w:rPr>
        <w:t>8 do vojenskej hodnosti desiatnik</w:t>
      </w:r>
      <w:r w:rsidRPr="00EA775E">
        <w:rPr>
          <w:rFonts w:ascii="Times New Roman" w:hAnsi="Times New Roman"/>
          <w:bCs/>
          <w:sz w:val="24"/>
          <w:szCs w:val="24"/>
        </w:rPr>
        <w:tab/>
      </w:r>
      <w:r w:rsidRPr="00EA775E">
        <w:rPr>
          <w:rFonts w:ascii="Times New Roman" w:hAnsi="Times New Roman"/>
          <w:bCs/>
          <w:sz w:val="24"/>
          <w:szCs w:val="24"/>
        </w:rPr>
        <w:tab/>
        <w:t xml:space="preserve">   800€ (8 x 100€),</w:t>
      </w:r>
    </w:p>
    <w:p w:rsidR="004C429C" w:rsidRPr="00EA775E" w:rsidRDefault="004C429C" w:rsidP="004C429C">
      <w:pPr>
        <w:pStyle w:val="Odsekzoznamu"/>
        <w:numPr>
          <w:ilvl w:val="0"/>
          <w:numId w:val="3"/>
        </w:numPr>
        <w:spacing w:after="0" w:line="240" w:lineRule="auto"/>
        <w:ind w:left="1560"/>
        <w:contextualSpacing w:val="0"/>
        <w:jc w:val="both"/>
        <w:rPr>
          <w:bCs/>
          <w:sz w:val="24"/>
          <w:szCs w:val="24"/>
        </w:rPr>
      </w:pPr>
      <w:r w:rsidRPr="00EA775E">
        <w:rPr>
          <w:rFonts w:ascii="Times New Roman" w:hAnsi="Times New Roman"/>
          <w:bCs/>
          <w:sz w:val="24"/>
          <w:szCs w:val="24"/>
        </w:rPr>
        <w:t>6 do vojenskej hodnosti čatár</w:t>
      </w:r>
      <w:r w:rsidRPr="00EA775E">
        <w:rPr>
          <w:rFonts w:ascii="Times New Roman" w:hAnsi="Times New Roman"/>
          <w:bCs/>
          <w:sz w:val="24"/>
          <w:szCs w:val="24"/>
        </w:rPr>
        <w:tab/>
      </w:r>
      <w:r w:rsidRPr="00EA775E">
        <w:rPr>
          <w:rFonts w:ascii="Times New Roman" w:hAnsi="Times New Roman"/>
          <w:bCs/>
          <w:sz w:val="24"/>
          <w:szCs w:val="24"/>
        </w:rPr>
        <w:tab/>
        <w:t xml:space="preserve">   600€ (6 x 100€),</w:t>
      </w:r>
    </w:p>
    <w:p w:rsidR="004C429C" w:rsidRPr="00EA775E" w:rsidRDefault="004C429C" w:rsidP="004C429C">
      <w:pPr>
        <w:pStyle w:val="Odsekzoznamu"/>
        <w:numPr>
          <w:ilvl w:val="0"/>
          <w:numId w:val="3"/>
        </w:numPr>
        <w:spacing w:after="0" w:line="240" w:lineRule="auto"/>
        <w:ind w:left="1560"/>
        <w:contextualSpacing w:val="0"/>
        <w:jc w:val="both"/>
        <w:rPr>
          <w:bCs/>
          <w:sz w:val="24"/>
          <w:szCs w:val="24"/>
        </w:rPr>
      </w:pPr>
      <w:r w:rsidRPr="00EA775E">
        <w:rPr>
          <w:rFonts w:ascii="Times New Roman" w:hAnsi="Times New Roman"/>
          <w:bCs/>
          <w:sz w:val="24"/>
          <w:szCs w:val="24"/>
        </w:rPr>
        <w:t xml:space="preserve">4 do vojenskej hodnosti rotný </w:t>
      </w:r>
      <w:r w:rsidRPr="00EA775E">
        <w:rPr>
          <w:rFonts w:ascii="Times New Roman" w:hAnsi="Times New Roman"/>
          <w:bCs/>
          <w:sz w:val="24"/>
          <w:szCs w:val="24"/>
        </w:rPr>
        <w:tab/>
      </w:r>
      <w:r w:rsidRPr="00EA775E">
        <w:rPr>
          <w:rFonts w:ascii="Times New Roman" w:hAnsi="Times New Roman"/>
          <w:bCs/>
          <w:sz w:val="24"/>
          <w:szCs w:val="24"/>
        </w:rPr>
        <w:tab/>
        <w:t xml:space="preserve">   440€ (4 x 110€),</w:t>
      </w:r>
    </w:p>
    <w:p w:rsidR="004C429C" w:rsidRPr="00EA775E" w:rsidRDefault="004C429C" w:rsidP="004C429C">
      <w:pPr>
        <w:pStyle w:val="Odsekzoznamu"/>
        <w:numPr>
          <w:ilvl w:val="0"/>
          <w:numId w:val="3"/>
        </w:numPr>
        <w:spacing w:after="0" w:line="240" w:lineRule="auto"/>
        <w:ind w:left="1560"/>
        <w:contextualSpacing w:val="0"/>
        <w:jc w:val="both"/>
        <w:rPr>
          <w:bCs/>
          <w:sz w:val="24"/>
          <w:szCs w:val="24"/>
        </w:rPr>
      </w:pPr>
      <w:r w:rsidRPr="00EA775E">
        <w:rPr>
          <w:rFonts w:ascii="Times New Roman" w:hAnsi="Times New Roman"/>
          <w:bCs/>
          <w:sz w:val="24"/>
          <w:szCs w:val="24"/>
        </w:rPr>
        <w:t xml:space="preserve">1 do vojenskej hodnosti  rotmajster  </w:t>
      </w:r>
      <w:r w:rsidRPr="00EA775E">
        <w:rPr>
          <w:rFonts w:ascii="Times New Roman" w:hAnsi="Times New Roman"/>
          <w:bCs/>
          <w:sz w:val="24"/>
          <w:szCs w:val="24"/>
        </w:rPr>
        <w:tab/>
        <w:t xml:space="preserve">   120€,     </w:t>
      </w:r>
    </w:p>
    <w:p w:rsidR="004C429C" w:rsidRPr="00EA775E" w:rsidRDefault="004C429C" w:rsidP="004C429C">
      <w:pPr>
        <w:pStyle w:val="Odsekzoznamu"/>
        <w:numPr>
          <w:ilvl w:val="0"/>
          <w:numId w:val="3"/>
        </w:numPr>
        <w:spacing w:after="0" w:line="240" w:lineRule="auto"/>
        <w:ind w:left="1560"/>
        <w:contextualSpacing w:val="0"/>
        <w:jc w:val="both"/>
        <w:rPr>
          <w:bCs/>
          <w:sz w:val="24"/>
          <w:szCs w:val="24"/>
        </w:rPr>
      </w:pPr>
      <w:r w:rsidRPr="00EA775E">
        <w:rPr>
          <w:rFonts w:ascii="Times New Roman" w:hAnsi="Times New Roman"/>
          <w:bCs/>
          <w:sz w:val="24"/>
          <w:szCs w:val="24"/>
        </w:rPr>
        <w:t xml:space="preserve">7 do vojenskej hodnosti nadrotmajster </w:t>
      </w:r>
      <w:r w:rsidRPr="00EA775E">
        <w:rPr>
          <w:rFonts w:ascii="Times New Roman" w:hAnsi="Times New Roman"/>
          <w:bCs/>
          <w:sz w:val="24"/>
          <w:szCs w:val="24"/>
        </w:rPr>
        <w:tab/>
        <w:t xml:space="preserve">   910€ (7 x 130€),</w:t>
      </w:r>
    </w:p>
    <w:p w:rsidR="004C429C" w:rsidRPr="00EA775E" w:rsidRDefault="004C429C" w:rsidP="004C429C">
      <w:pPr>
        <w:pStyle w:val="Odsekzoznamu"/>
        <w:numPr>
          <w:ilvl w:val="0"/>
          <w:numId w:val="3"/>
        </w:numPr>
        <w:spacing w:after="0" w:line="240" w:lineRule="auto"/>
        <w:ind w:left="1560"/>
        <w:contextualSpacing w:val="0"/>
        <w:jc w:val="both"/>
        <w:rPr>
          <w:bCs/>
          <w:sz w:val="24"/>
          <w:szCs w:val="24"/>
        </w:rPr>
      </w:pPr>
      <w:r w:rsidRPr="00EA775E">
        <w:rPr>
          <w:rFonts w:ascii="Times New Roman" w:hAnsi="Times New Roman"/>
          <w:bCs/>
          <w:sz w:val="24"/>
          <w:szCs w:val="24"/>
        </w:rPr>
        <w:t xml:space="preserve">2 do vojenskej hodnosti nadporučík - </w:t>
      </w:r>
      <w:r w:rsidRPr="00EA775E">
        <w:rPr>
          <w:rFonts w:ascii="Times New Roman" w:hAnsi="Times New Roman"/>
          <w:bCs/>
          <w:sz w:val="24"/>
          <w:szCs w:val="24"/>
        </w:rPr>
        <w:tab/>
        <w:t xml:space="preserve">   290€ (2 x 145€).</w:t>
      </w:r>
    </w:p>
    <w:p w:rsidR="004C429C" w:rsidRPr="00EA775E" w:rsidRDefault="004C429C" w:rsidP="004C429C">
      <w:pPr>
        <w:rPr>
          <w:bCs/>
          <w:sz w:val="20"/>
          <w:szCs w:val="20"/>
        </w:rPr>
      </w:pPr>
    </w:p>
    <w:p w:rsidR="004C429C" w:rsidRPr="00EA775E" w:rsidRDefault="004C429C" w:rsidP="004C429C">
      <w:pPr>
        <w:rPr>
          <w:bCs/>
          <w:szCs w:val="20"/>
        </w:rPr>
      </w:pPr>
      <w:r w:rsidRPr="00EA775E">
        <w:t>Celkové náklady v roku 2022 – 7314€</w:t>
      </w:r>
      <w:r w:rsidRPr="00EA775E">
        <w:rPr>
          <w:bCs/>
          <w:szCs w:val="20"/>
        </w:rPr>
        <w:t>. vrátane odvodov zamestnávateľa do Sociálnej poisťovne 25,20%  a do zdravotnej poisťovne 10%.V nasledujúcich rokoch 2023 a 2024 budú celkové náklady rovnaké ako v roku 2022.</w:t>
      </w:r>
    </w:p>
    <w:p w:rsidR="004C429C" w:rsidRPr="00EA775E" w:rsidRDefault="004C429C" w:rsidP="004C429C">
      <w:pPr>
        <w:tabs>
          <w:tab w:val="num" w:pos="1080"/>
        </w:tabs>
        <w:jc w:val="right"/>
        <w:rPr>
          <w:bCs/>
        </w:rPr>
      </w:pPr>
      <w:r w:rsidRPr="00EA775E">
        <w:rPr>
          <w:bCs/>
        </w:rPr>
        <w:t xml:space="preserve">               Tabuľka č. 5 </w:t>
      </w:r>
    </w:p>
    <w:tbl>
      <w:tblPr>
        <w:tblW w:w="14354" w:type="dxa"/>
        <w:tblInd w:w="70" w:type="dxa"/>
        <w:tblCellMar>
          <w:left w:w="70" w:type="dxa"/>
          <w:right w:w="70" w:type="dxa"/>
        </w:tblCellMar>
        <w:tblLook w:val="0000" w:firstRow="0" w:lastRow="0" w:firstColumn="0" w:lastColumn="0" w:noHBand="0" w:noVBand="0"/>
      </w:tblPr>
      <w:tblGrid>
        <w:gridCol w:w="5898"/>
        <w:gridCol w:w="1623"/>
        <w:gridCol w:w="1709"/>
        <w:gridCol w:w="692"/>
        <w:gridCol w:w="1623"/>
        <w:gridCol w:w="910"/>
        <w:gridCol w:w="1739"/>
        <w:gridCol w:w="160"/>
      </w:tblGrid>
      <w:tr w:rsidR="004C429C" w:rsidRPr="00EA775E" w:rsidTr="005720B6">
        <w:trPr>
          <w:gridAfter w:val="1"/>
          <w:wAfter w:w="160" w:type="dxa"/>
          <w:cantSplit/>
          <w:trHeight w:val="255"/>
        </w:trPr>
        <w:tc>
          <w:tcPr>
            <w:tcW w:w="58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Zamestnanosť</w:t>
            </w:r>
          </w:p>
        </w:tc>
        <w:tc>
          <w:tcPr>
            <w:tcW w:w="6557"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
                <w:bCs/>
              </w:rPr>
            </w:pPr>
            <w:r w:rsidRPr="00EA775E">
              <w:rPr>
                <w:b/>
                <w:bCs/>
              </w:rPr>
              <w:t>Vplyv na rozpočet verejnej správy</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429C" w:rsidRPr="00EA775E" w:rsidRDefault="004C429C" w:rsidP="005720B6">
            <w:pPr>
              <w:ind w:right="257"/>
              <w:jc w:val="center"/>
              <w:rPr>
                <w:b/>
                <w:bCs/>
              </w:rPr>
            </w:pPr>
            <w:r w:rsidRPr="00EA775E">
              <w:rPr>
                <w:b/>
                <w:bCs/>
              </w:rPr>
              <w:t>poznámka</w:t>
            </w:r>
          </w:p>
        </w:tc>
      </w:tr>
      <w:tr w:rsidR="004C429C" w:rsidRPr="00EA775E" w:rsidTr="005720B6">
        <w:trPr>
          <w:gridAfter w:val="1"/>
          <w:wAfter w:w="160" w:type="dxa"/>
          <w:cantSplit/>
          <w:trHeight w:val="255"/>
        </w:trPr>
        <w:tc>
          <w:tcPr>
            <w:tcW w:w="58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429C" w:rsidRPr="00EA775E" w:rsidRDefault="004C429C" w:rsidP="005720B6">
            <w:pPr>
              <w:rPr>
                <w:b/>
                <w:bCs/>
              </w:rPr>
            </w:pPr>
          </w:p>
        </w:tc>
        <w:tc>
          <w:tcPr>
            <w:tcW w:w="1623"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2021</w:t>
            </w:r>
          </w:p>
        </w:tc>
        <w:tc>
          <w:tcPr>
            <w:tcW w:w="1709"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2022</w:t>
            </w:r>
          </w:p>
        </w:tc>
        <w:tc>
          <w:tcPr>
            <w:tcW w:w="2315" w:type="dxa"/>
            <w:gridSpan w:val="2"/>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2023</w:t>
            </w:r>
          </w:p>
        </w:tc>
        <w:tc>
          <w:tcPr>
            <w:tcW w:w="910" w:type="dxa"/>
            <w:tcBorders>
              <w:top w:val="nil"/>
              <w:left w:val="nil"/>
              <w:bottom w:val="single" w:sz="4" w:space="0" w:color="auto"/>
              <w:right w:val="single" w:sz="4" w:space="0" w:color="auto"/>
            </w:tcBorders>
            <w:shd w:val="clear" w:color="auto" w:fill="BFBFBF" w:themeFill="background1" w:themeFillShade="BF"/>
            <w:vAlign w:val="center"/>
          </w:tcPr>
          <w:p w:rsidR="004C429C" w:rsidRPr="00EA775E" w:rsidRDefault="004C429C" w:rsidP="005720B6">
            <w:pPr>
              <w:jc w:val="center"/>
              <w:rPr>
                <w:b/>
                <w:bCs/>
              </w:rPr>
            </w:pPr>
            <w:r w:rsidRPr="00EA775E">
              <w:rPr>
                <w:b/>
                <w:bCs/>
              </w:rPr>
              <w:t>2024</w:t>
            </w:r>
          </w:p>
        </w:tc>
        <w:tc>
          <w:tcPr>
            <w:tcW w:w="17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429C" w:rsidRPr="00EA775E" w:rsidRDefault="004C429C" w:rsidP="005720B6">
            <w:pPr>
              <w:rPr>
                <w:b/>
                <w:bCs/>
              </w:rPr>
            </w:pP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Počet zamestnancov celkom</w:t>
            </w:r>
          </w:p>
        </w:tc>
        <w:tc>
          <w:tcPr>
            <w:tcW w:w="1623"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 xml:space="preserve">   z toho vplyv na ŠR</w:t>
            </w:r>
          </w:p>
        </w:tc>
        <w:tc>
          <w:tcPr>
            <w:tcW w:w="1623"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Priemerný mzdový výdavok (v eurách)</w:t>
            </w:r>
          </w:p>
        </w:tc>
        <w:tc>
          <w:tcPr>
            <w:tcW w:w="1623"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r w:rsidRPr="00EA775E">
              <w:rPr>
                <w:b/>
                <w:bCs/>
              </w:rPr>
              <w:t xml:space="preserve">   z toho vplyv na ŠR</w:t>
            </w:r>
          </w:p>
        </w:tc>
        <w:tc>
          <w:tcPr>
            <w:tcW w:w="1623"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single" w:sz="4" w:space="0" w:color="auto"/>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pPr>
              <w:ind w:right="-42"/>
            </w:pPr>
            <w:r w:rsidRPr="00EA775E">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shd w:val="clear" w:color="auto" w:fill="BFBFBF" w:themeFill="background1" w:themeFillShade="BF"/>
          </w:tcPr>
          <w:p w:rsidR="004C429C" w:rsidRPr="00EA775E" w:rsidRDefault="004C429C" w:rsidP="005720B6">
            <w:pPr>
              <w:rPr>
                <w:b/>
                <w:bCs/>
              </w:rPr>
            </w:pPr>
            <w:r w:rsidRPr="00EA775E">
              <w:rPr>
                <w:b/>
                <w:bCs/>
              </w:rPr>
              <w:t>Osobné výdavky celkom (v eurách)</w:t>
            </w:r>
          </w:p>
        </w:tc>
        <w:tc>
          <w:tcPr>
            <w:tcW w:w="1623"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shd w:val="clear" w:color="auto" w:fill="BFBFBF" w:themeFill="background1" w:themeFillShade="BF"/>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shd w:val="clear" w:color="auto" w:fill="BFBFBF" w:themeFill="background1" w:themeFillShade="BF"/>
            <w:noWrap/>
            <w:vAlign w:val="bottom"/>
          </w:tcPr>
          <w:p w:rsidR="004C429C" w:rsidRPr="00EA775E" w:rsidRDefault="004C429C" w:rsidP="005720B6">
            <w:pPr>
              <w:rPr>
                <w:b/>
                <w:bCs/>
              </w:rPr>
            </w:pPr>
            <w:r w:rsidRPr="00EA775E">
              <w:rPr>
                <w:b/>
                <w:bCs/>
              </w:rPr>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Mzdy, platy, služobné príjmy a ostatné osobné vyrovnania (610)</w:t>
            </w:r>
          </w:p>
        </w:tc>
        <w:tc>
          <w:tcPr>
            <w:tcW w:w="1623"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pPr>
              <w:rPr>
                <w:b/>
                <w:bCs/>
              </w:rPr>
            </w:pPr>
            <w:r w:rsidRPr="00EA775E">
              <w:rPr>
                <w:b/>
                <w:bCs/>
              </w:rPr>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r w:rsidRPr="00EA775E">
              <w:rPr>
                <w:b/>
                <w:bCs/>
              </w:rPr>
              <w:t xml:space="preserve">   z toho vplyv na ŠR</w:t>
            </w:r>
          </w:p>
        </w:tc>
        <w:tc>
          <w:tcPr>
            <w:tcW w:w="1623"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pPr>
              <w:rPr>
                <w:b/>
                <w:bCs/>
              </w:rPr>
            </w:pPr>
            <w:r w:rsidRPr="00EA775E">
              <w:rPr>
                <w:b/>
                <w:bCs/>
              </w:rPr>
              <w:t>Poistné a príspevok do poisťovní (620)</w:t>
            </w:r>
          </w:p>
        </w:tc>
        <w:tc>
          <w:tcPr>
            <w:tcW w:w="1623"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pPr>
              <w:rPr>
                <w:b/>
                <w:bCs/>
              </w:rPr>
            </w:pPr>
            <w:r w:rsidRPr="00EA775E">
              <w:rPr>
                <w:b/>
                <w:bCs/>
              </w:rPr>
              <w:t> </w:t>
            </w:r>
          </w:p>
        </w:tc>
      </w:tr>
      <w:tr w:rsidR="004C429C" w:rsidRPr="00EA775E" w:rsidTr="005720B6">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4C429C" w:rsidRPr="00EA775E" w:rsidRDefault="004C429C" w:rsidP="005720B6">
            <w:r w:rsidRPr="00EA775E">
              <w:rPr>
                <w:b/>
                <w:bCs/>
              </w:rPr>
              <w:t xml:space="preserve">   z toho vplyv na ŠR</w:t>
            </w:r>
          </w:p>
        </w:tc>
        <w:tc>
          <w:tcPr>
            <w:tcW w:w="1623"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09"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2315" w:type="dxa"/>
            <w:gridSpan w:val="2"/>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910" w:type="dxa"/>
            <w:tcBorders>
              <w:top w:val="nil"/>
              <w:left w:val="nil"/>
              <w:bottom w:val="single" w:sz="4" w:space="0" w:color="auto"/>
              <w:right w:val="single" w:sz="4" w:space="0" w:color="auto"/>
            </w:tcBorders>
          </w:tcPr>
          <w:p w:rsidR="004C429C" w:rsidRPr="00EA775E" w:rsidRDefault="004C429C" w:rsidP="005720B6">
            <w:pPr>
              <w:jc w:val="center"/>
              <w:rPr>
                <w:bCs/>
              </w:rPr>
            </w:pPr>
            <w:r w:rsidRPr="00EA775E">
              <w:rPr>
                <w:bCs/>
              </w:rPr>
              <w:t>0</w:t>
            </w:r>
          </w:p>
        </w:tc>
        <w:tc>
          <w:tcPr>
            <w:tcW w:w="1739" w:type="dxa"/>
            <w:tcBorders>
              <w:top w:val="nil"/>
              <w:left w:val="nil"/>
              <w:bottom w:val="single" w:sz="4" w:space="0" w:color="auto"/>
              <w:right w:val="single" w:sz="4" w:space="0" w:color="auto"/>
            </w:tcBorders>
            <w:noWrap/>
            <w:vAlign w:val="bottom"/>
          </w:tcPr>
          <w:p w:rsidR="004C429C" w:rsidRPr="00EA775E" w:rsidRDefault="004C429C" w:rsidP="005720B6">
            <w:r w:rsidRPr="00EA775E">
              <w:t> </w:t>
            </w:r>
          </w:p>
        </w:tc>
      </w:tr>
      <w:tr w:rsidR="004C429C" w:rsidRPr="00EA775E" w:rsidTr="005720B6">
        <w:trPr>
          <w:gridAfter w:val="1"/>
          <w:wAfter w:w="160" w:type="dxa"/>
          <w:trHeight w:val="255"/>
        </w:trPr>
        <w:tc>
          <w:tcPr>
            <w:tcW w:w="5898" w:type="dxa"/>
            <w:tcBorders>
              <w:top w:val="nil"/>
              <w:left w:val="nil"/>
              <w:bottom w:val="nil"/>
              <w:right w:val="nil"/>
            </w:tcBorders>
          </w:tcPr>
          <w:p w:rsidR="004C429C" w:rsidRPr="00EA775E" w:rsidRDefault="004C429C" w:rsidP="005720B6">
            <w:pPr>
              <w:rPr>
                <w:b/>
                <w:bCs/>
              </w:rPr>
            </w:pPr>
            <w:r w:rsidRPr="00EA775E">
              <w:rPr>
                <w:b/>
                <w:bCs/>
              </w:rPr>
              <w:t>Poznámky:</w:t>
            </w:r>
          </w:p>
        </w:tc>
        <w:tc>
          <w:tcPr>
            <w:tcW w:w="1623" w:type="dxa"/>
            <w:tcBorders>
              <w:top w:val="nil"/>
              <w:left w:val="nil"/>
              <w:bottom w:val="nil"/>
              <w:right w:val="nil"/>
            </w:tcBorders>
            <w:noWrap/>
            <w:vAlign w:val="bottom"/>
          </w:tcPr>
          <w:p w:rsidR="004C429C" w:rsidRPr="00EA775E" w:rsidRDefault="004C429C" w:rsidP="005720B6"/>
        </w:tc>
        <w:tc>
          <w:tcPr>
            <w:tcW w:w="1709" w:type="dxa"/>
            <w:tcBorders>
              <w:top w:val="nil"/>
              <w:left w:val="nil"/>
              <w:bottom w:val="nil"/>
              <w:right w:val="nil"/>
            </w:tcBorders>
            <w:noWrap/>
            <w:vAlign w:val="bottom"/>
          </w:tcPr>
          <w:p w:rsidR="004C429C" w:rsidRPr="00EA775E" w:rsidRDefault="004C429C" w:rsidP="005720B6"/>
        </w:tc>
        <w:tc>
          <w:tcPr>
            <w:tcW w:w="2315" w:type="dxa"/>
            <w:gridSpan w:val="2"/>
            <w:tcBorders>
              <w:top w:val="nil"/>
              <w:left w:val="nil"/>
              <w:bottom w:val="nil"/>
              <w:right w:val="nil"/>
            </w:tcBorders>
            <w:noWrap/>
            <w:vAlign w:val="bottom"/>
          </w:tcPr>
          <w:p w:rsidR="004C429C" w:rsidRPr="00EA775E" w:rsidRDefault="004C429C" w:rsidP="005720B6"/>
        </w:tc>
        <w:tc>
          <w:tcPr>
            <w:tcW w:w="910" w:type="dxa"/>
            <w:tcBorders>
              <w:top w:val="nil"/>
              <w:left w:val="nil"/>
              <w:bottom w:val="nil"/>
              <w:right w:val="nil"/>
            </w:tcBorders>
            <w:noWrap/>
            <w:vAlign w:val="bottom"/>
          </w:tcPr>
          <w:p w:rsidR="004C429C" w:rsidRPr="00EA775E" w:rsidRDefault="004C429C" w:rsidP="005720B6"/>
        </w:tc>
        <w:tc>
          <w:tcPr>
            <w:tcW w:w="1739" w:type="dxa"/>
            <w:tcBorders>
              <w:top w:val="nil"/>
              <w:left w:val="nil"/>
              <w:bottom w:val="nil"/>
              <w:right w:val="nil"/>
            </w:tcBorders>
            <w:noWrap/>
            <w:vAlign w:val="bottom"/>
          </w:tcPr>
          <w:p w:rsidR="004C429C" w:rsidRPr="00EA775E" w:rsidRDefault="004C429C" w:rsidP="005720B6"/>
        </w:tc>
      </w:tr>
      <w:tr w:rsidR="004C429C" w:rsidRPr="00EA775E" w:rsidTr="005720B6">
        <w:trPr>
          <w:gridAfter w:val="1"/>
          <w:wAfter w:w="160" w:type="dxa"/>
          <w:trHeight w:val="255"/>
        </w:trPr>
        <w:tc>
          <w:tcPr>
            <w:tcW w:w="12455" w:type="dxa"/>
            <w:gridSpan w:val="6"/>
            <w:tcBorders>
              <w:top w:val="nil"/>
              <w:left w:val="nil"/>
              <w:bottom w:val="nil"/>
              <w:right w:val="nil"/>
            </w:tcBorders>
            <w:noWrap/>
          </w:tcPr>
          <w:p w:rsidR="004C429C" w:rsidRPr="00EA775E" w:rsidRDefault="004C429C" w:rsidP="005720B6">
            <w:pPr>
              <w:tabs>
                <w:tab w:val="num" w:pos="1080"/>
              </w:tabs>
              <w:ind w:right="-17"/>
              <w:jc w:val="both"/>
              <w:rPr>
                <w:bCs/>
                <w:szCs w:val="20"/>
              </w:rPr>
            </w:pPr>
            <w:r w:rsidRPr="00EA775E">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C429C" w:rsidRDefault="004C429C" w:rsidP="005720B6">
            <w:pPr>
              <w:ind w:right="-1643"/>
            </w:pPr>
            <w:r w:rsidRPr="00EA775E">
              <w:t xml:space="preserve">Priemerný mzdový výdavok je tvorený podielom mzdových výdavkov na jedného zamestnanca na jeden kalendárny mesiac </w:t>
            </w:r>
          </w:p>
          <w:p w:rsidR="004C429C" w:rsidRPr="00EA775E" w:rsidRDefault="004C429C" w:rsidP="005720B6">
            <w:pPr>
              <w:ind w:right="-1643"/>
            </w:pPr>
            <w:r w:rsidRPr="00EA775E">
              <w:t>bežného roka.</w:t>
            </w:r>
          </w:p>
        </w:tc>
        <w:tc>
          <w:tcPr>
            <w:tcW w:w="1739" w:type="dxa"/>
            <w:tcBorders>
              <w:top w:val="nil"/>
              <w:left w:val="nil"/>
              <w:bottom w:val="nil"/>
              <w:right w:val="nil"/>
            </w:tcBorders>
            <w:noWrap/>
            <w:vAlign w:val="bottom"/>
          </w:tcPr>
          <w:p w:rsidR="004C429C" w:rsidRPr="00EA775E" w:rsidRDefault="004C429C" w:rsidP="005720B6"/>
        </w:tc>
      </w:tr>
      <w:tr w:rsidR="004C429C" w:rsidRPr="00EA775E" w:rsidTr="005720B6">
        <w:trPr>
          <w:trHeight w:val="255"/>
        </w:trPr>
        <w:tc>
          <w:tcPr>
            <w:tcW w:w="9922" w:type="dxa"/>
            <w:gridSpan w:val="4"/>
            <w:tcBorders>
              <w:top w:val="nil"/>
              <w:left w:val="nil"/>
              <w:bottom w:val="nil"/>
              <w:right w:val="nil"/>
            </w:tcBorders>
            <w:noWrap/>
            <w:vAlign w:val="bottom"/>
          </w:tcPr>
          <w:p w:rsidR="004C429C" w:rsidRPr="00EA775E" w:rsidRDefault="004C429C" w:rsidP="005720B6">
            <w:r w:rsidRPr="00EA775E">
              <w:t>Kategórie 610 a 620 sú z tejto prílohy prenášané do príslušných kategórií prílohy „výdavky“.</w:t>
            </w:r>
          </w:p>
        </w:tc>
        <w:tc>
          <w:tcPr>
            <w:tcW w:w="1623" w:type="dxa"/>
            <w:tcBorders>
              <w:top w:val="nil"/>
              <w:left w:val="nil"/>
              <w:bottom w:val="nil"/>
              <w:right w:val="nil"/>
            </w:tcBorders>
            <w:noWrap/>
            <w:vAlign w:val="bottom"/>
          </w:tcPr>
          <w:p w:rsidR="004C429C" w:rsidRPr="00EA775E" w:rsidRDefault="004C429C" w:rsidP="005720B6"/>
        </w:tc>
        <w:tc>
          <w:tcPr>
            <w:tcW w:w="2649" w:type="dxa"/>
            <w:gridSpan w:val="2"/>
            <w:tcBorders>
              <w:top w:val="nil"/>
              <w:left w:val="nil"/>
              <w:bottom w:val="nil"/>
              <w:right w:val="nil"/>
            </w:tcBorders>
            <w:noWrap/>
            <w:vAlign w:val="bottom"/>
          </w:tcPr>
          <w:p w:rsidR="004C429C" w:rsidRPr="00EA775E" w:rsidRDefault="004C429C" w:rsidP="005720B6"/>
        </w:tc>
        <w:tc>
          <w:tcPr>
            <w:tcW w:w="160" w:type="dxa"/>
            <w:tcBorders>
              <w:top w:val="nil"/>
              <w:left w:val="nil"/>
              <w:bottom w:val="nil"/>
              <w:right w:val="nil"/>
            </w:tcBorders>
            <w:noWrap/>
            <w:vAlign w:val="bottom"/>
          </w:tcPr>
          <w:p w:rsidR="004C429C" w:rsidRPr="00EA775E" w:rsidRDefault="004C429C" w:rsidP="005720B6"/>
        </w:tc>
      </w:tr>
    </w:tbl>
    <w:p w:rsidR="004C429C" w:rsidRPr="00EA775E" w:rsidRDefault="004C429C" w:rsidP="004C429C">
      <w:pPr>
        <w:spacing w:after="200" w:line="276" w:lineRule="auto"/>
        <w:sectPr w:rsidR="004C429C" w:rsidRPr="00EA775E" w:rsidSect="0017259B">
          <w:pgSz w:w="16838" w:h="11906" w:orient="landscape"/>
          <w:pgMar w:top="1417" w:right="1387" w:bottom="1417" w:left="1417" w:header="708" w:footer="708"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30"/>
        <w:gridCol w:w="974"/>
        <w:gridCol w:w="4804"/>
      </w:tblGrid>
      <w:tr w:rsidR="004C429C" w:rsidRPr="00EA775E" w:rsidTr="005720B6">
        <w:trPr>
          <w:trHeight w:val="759"/>
          <w:jc w:val="center"/>
        </w:trPr>
        <w:tc>
          <w:tcPr>
            <w:tcW w:w="5000" w:type="pct"/>
            <w:gridSpan w:val="3"/>
            <w:shd w:val="clear" w:color="auto" w:fill="D9D9D9"/>
          </w:tcPr>
          <w:p w:rsidR="004C429C" w:rsidRPr="00EA775E" w:rsidRDefault="004C429C" w:rsidP="005720B6">
            <w:pPr>
              <w:ind w:left="-284" w:firstLine="284"/>
              <w:jc w:val="center"/>
              <w:rPr>
                <w:b/>
                <w:sz w:val="22"/>
                <w:szCs w:val="22"/>
              </w:rPr>
            </w:pPr>
            <w:r w:rsidRPr="00EA775E">
              <w:rPr>
                <w:b/>
                <w:sz w:val="28"/>
                <w:szCs w:val="22"/>
              </w:rPr>
              <w:lastRenderedPageBreak/>
              <w:t>Analýza sociálnych vplyvov</w:t>
            </w:r>
          </w:p>
          <w:p w:rsidR="004C429C" w:rsidRPr="00EA775E" w:rsidRDefault="004C429C" w:rsidP="005720B6">
            <w:pPr>
              <w:jc w:val="both"/>
            </w:pPr>
            <w:r w:rsidRPr="00EA775E">
              <w:rPr>
                <w:b/>
                <w:szCs w:val="22"/>
              </w:rPr>
              <w:t>Vplyvy na hospodárenie domácností, prístup k zdrojom, právam, tovarom a službám, sociálnu inklúziu, rovnosť príležitostí a rodovú rovnosť a vplyvy na zamestnanosť</w:t>
            </w:r>
          </w:p>
        </w:tc>
      </w:tr>
      <w:tr w:rsidR="004C429C" w:rsidRPr="00EA775E" w:rsidTr="005720B6">
        <w:trPr>
          <w:trHeight w:val="759"/>
          <w:jc w:val="center"/>
        </w:trPr>
        <w:tc>
          <w:tcPr>
            <w:tcW w:w="5000" w:type="pct"/>
            <w:gridSpan w:val="3"/>
            <w:shd w:val="clear" w:color="auto" w:fill="D9D9D9"/>
          </w:tcPr>
          <w:p w:rsidR="004C429C" w:rsidRPr="00EA775E" w:rsidRDefault="004C429C" w:rsidP="005720B6">
            <w:pPr>
              <w:jc w:val="both"/>
            </w:pPr>
            <w:r w:rsidRPr="00EA775E">
              <w:rPr>
                <w:b/>
                <w:sz w:val="22"/>
                <w:szCs w:val="22"/>
              </w:rPr>
              <w:t xml:space="preserve">4.1 </w:t>
            </w:r>
            <w:r w:rsidRPr="00EA775E">
              <w:rPr>
                <w:b/>
                <w:szCs w:val="22"/>
              </w:rPr>
              <w:t>Identifikujte, popíšte a kvantifikujte vplyv na hospodárenie domácností a špecifikujte ovplyvnené skupiny domácností, ktoré budú pozitívne/negatívne ovplyvnené.</w:t>
            </w:r>
          </w:p>
        </w:tc>
      </w:tr>
      <w:tr w:rsidR="004C429C" w:rsidRPr="00EA775E" w:rsidTr="005720B6">
        <w:trPr>
          <w:trHeight w:val="759"/>
          <w:jc w:val="center"/>
        </w:trPr>
        <w:tc>
          <w:tcPr>
            <w:tcW w:w="5000" w:type="pct"/>
            <w:gridSpan w:val="3"/>
            <w:shd w:val="clear" w:color="auto" w:fill="F2F2F2"/>
          </w:tcPr>
          <w:p w:rsidR="004C429C" w:rsidRPr="00EA775E" w:rsidRDefault="004C429C" w:rsidP="005720B6">
            <w:pPr>
              <w:jc w:val="both"/>
              <w:rPr>
                <w:i/>
                <w:sz w:val="20"/>
                <w:szCs w:val="20"/>
              </w:rPr>
            </w:pPr>
            <w:r w:rsidRPr="00EA775E">
              <w:rPr>
                <w:i/>
                <w:sz w:val="20"/>
                <w:szCs w:val="20"/>
              </w:rPr>
              <w:t xml:space="preserve">Vedie návrh k zvýšeniu alebo zníženiu príjmov alebo výdavkov domácností? </w:t>
            </w:r>
          </w:p>
          <w:p w:rsidR="004C429C" w:rsidRPr="00EA775E" w:rsidRDefault="004C429C" w:rsidP="005720B6">
            <w:pPr>
              <w:jc w:val="both"/>
              <w:rPr>
                <w:i/>
                <w:sz w:val="20"/>
                <w:szCs w:val="20"/>
              </w:rPr>
            </w:pPr>
            <w:r w:rsidRPr="00EA775E">
              <w:rPr>
                <w:i/>
                <w:sz w:val="20"/>
                <w:szCs w:val="20"/>
              </w:rPr>
              <w:t xml:space="preserve">Ktoré skupiny domácností/obyvateľstva sú takto ovplyvnené a akým spôsobom? </w:t>
            </w:r>
          </w:p>
          <w:p w:rsidR="004C429C" w:rsidRPr="00EA775E" w:rsidRDefault="004C429C" w:rsidP="005720B6">
            <w:pPr>
              <w:jc w:val="both"/>
            </w:pPr>
            <w:r w:rsidRPr="00EA775E">
              <w:rPr>
                <w:i/>
                <w:sz w:val="20"/>
                <w:szCs w:val="20"/>
              </w:rPr>
              <w:t>Sú medzi potenciálne ovplyvnenými skupinami skupiny v riziku chudoby alebo sociálneho vylúčenia?</w:t>
            </w:r>
          </w:p>
        </w:tc>
      </w:tr>
      <w:tr w:rsidR="004C429C" w:rsidRPr="00EA775E" w:rsidTr="005720B6">
        <w:trPr>
          <w:trHeight w:val="759"/>
          <w:jc w:val="center"/>
        </w:trPr>
        <w:tc>
          <w:tcPr>
            <w:tcW w:w="2500" w:type="pct"/>
            <w:gridSpan w:val="2"/>
            <w:tcBorders>
              <w:bottom w:val="dotted" w:sz="4" w:space="0" w:color="auto"/>
            </w:tcBorders>
          </w:tcPr>
          <w:p w:rsidR="004C429C" w:rsidRPr="00EA775E" w:rsidRDefault="004C429C" w:rsidP="005720B6">
            <w:pPr>
              <w:rPr>
                <w:i/>
                <w:sz w:val="20"/>
                <w:szCs w:val="20"/>
              </w:rPr>
            </w:pPr>
            <w:r w:rsidRPr="00EA775E">
              <w:rPr>
                <w:i/>
                <w:sz w:val="20"/>
                <w:szCs w:val="20"/>
              </w:rPr>
              <w:t xml:space="preserve">Popíšte </w:t>
            </w:r>
            <w:r w:rsidRPr="00EA775E">
              <w:rPr>
                <w:b/>
                <w:i/>
                <w:sz w:val="20"/>
                <w:szCs w:val="20"/>
              </w:rPr>
              <w:t>pozitívny</w:t>
            </w:r>
            <w:r w:rsidRPr="00EA775E">
              <w:rPr>
                <w:i/>
                <w:sz w:val="20"/>
                <w:szCs w:val="20"/>
              </w:rPr>
              <w:t xml:space="preserve"> vplyv na hospodárenie domácností s uvedením, či ide o zvýšenie príjmov alebo zníženie výdavkov:</w:t>
            </w:r>
          </w:p>
        </w:tc>
        <w:tc>
          <w:tcPr>
            <w:tcW w:w="2500" w:type="pct"/>
            <w:tcBorders>
              <w:bottom w:val="dotted" w:sz="4" w:space="0" w:color="auto"/>
            </w:tcBorders>
          </w:tcPr>
          <w:p w:rsidR="004C429C" w:rsidRPr="00EA775E" w:rsidRDefault="004C429C" w:rsidP="005720B6">
            <w:pPr>
              <w:jc w:val="both"/>
              <w:rPr>
                <w:sz w:val="20"/>
                <w:szCs w:val="20"/>
              </w:rPr>
            </w:pPr>
            <w:r w:rsidRPr="00EA775E">
              <w:rPr>
                <w:sz w:val="20"/>
                <w:szCs w:val="20"/>
              </w:rPr>
              <w:t>Návrhom zákona sa vojakom v zálohe zaradeným do aktívnych záloh, ktorí budú povýšení do vojenskej hodnosti zvýši pomerná časť hodnostného platu za čas pravidelného cvičenia a plnenia úloh ozbrojených síl SR, čo predstavuje pozitívny vplyv na hospodárenie dotknutých skupín domácností.</w:t>
            </w:r>
          </w:p>
        </w:tc>
      </w:tr>
      <w:tr w:rsidR="004C429C" w:rsidRPr="00EA775E" w:rsidTr="005720B6">
        <w:trPr>
          <w:trHeight w:val="624"/>
          <w:jc w:val="center"/>
        </w:trPr>
        <w:tc>
          <w:tcPr>
            <w:tcW w:w="2500" w:type="pct"/>
            <w:gridSpan w:val="2"/>
            <w:tcBorders>
              <w:top w:val="dotted" w:sz="4" w:space="0" w:color="auto"/>
            </w:tcBorders>
          </w:tcPr>
          <w:p w:rsidR="004C429C" w:rsidRPr="00EA775E" w:rsidRDefault="004C429C" w:rsidP="005720B6">
            <w:pPr>
              <w:rPr>
                <w:i/>
                <w:sz w:val="20"/>
                <w:szCs w:val="20"/>
              </w:rPr>
            </w:pPr>
            <w:r w:rsidRPr="00EA775E">
              <w:rPr>
                <w:i/>
                <w:sz w:val="20"/>
                <w:szCs w:val="20"/>
              </w:rPr>
              <w:t xml:space="preserve">Špecifikujte </w:t>
            </w:r>
            <w:r w:rsidRPr="00EA775E">
              <w:rPr>
                <w:b/>
                <w:i/>
                <w:sz w:val="20"/>
                <w:szCs w:val="20"/>
              </w:rPr>
              <w:t>pozitívne</w:t>
            </w:r>
            <w:r w:rsidRPr="00EA775E">
              <w:rPr>
                <w:i/>
                <w:sz w:val="20"/>
                <w:szCs w:val="20"/>
              </w:rPr>
              <w:t xml:space="preserve"> ovplyvnené skupiny:</w:t>
            </w:r>
          </w:p>
        </w:tc>
        <w:tc>
          <w:tcPr>
            <w:tcW w:w="2500" w:type="pct"/>
            <w:tcBorders>
              <w:top w:val="dotted" w:sz="4" w:space="0" w:color="auto"/>
            </w:tcBorders>
          </w:tcPr>
          <w:p w:rsidR="004C429C" w:rsidRPr="00EA775E" w:rsidRDefault="004C429C" w:rsidP="005720B6">
            <w:pPr>
              <w:jc w:val="both"/>
              <w:rPr>
                <w:sz w:val="20"/>
                <w:szCs w:val="20"/>
              </w:rPr>
            </w:pPr>
            <w:r w:rsidRPr="00EA775E">
              <w:rPr>
                <w:sz w:val="20"/>
                <w:szCs w:val="20"/>
              </w:rPr>
              <w:t>Návrh zákona bude mať pozitívny vplyv na hospodárenie domácností tých občanov Slovenskej republiky, ktorí sú ako vojaci v zálohe zaradení do aktívnych záloh a budú povýšení do vojenskej hodnosti. Pozitívny vplyv sa prejaví zvýšením disponibilných príjmov týchto občanov Slovenskej republiky.</w:t>
            </w:r>
          </w:p>
        </w:tc>
      </w:tr>
      <w:tr w:rsidR="004C429C" w:rsidRPr="00EA775E" w:rsidTr="005720B6">
        <w:trPr>
          <w:trHeight w:val="759"/>
          <w:jc w:val="center"/>
        </w:trPr>
        <w:tc>
          <w:tcPr>
            <w:tcW w:w="2500" w:type="pct"/>
            <w:gridSpan w:val="2"/>
          </w:tcPr>
          <w:p w:rsidR="004C429C" w:rsidRPr="00EA775E" w:rsidRDefault="004C429C" w:rsidP="005720B6">
            <w:pPr>
              <w:rPr>
                <w:i/>
                <w:sz w:val="20"/>
                <w:szCs w:val="20"/>
              </w:rPr>
            </w:pPr>
            <w:r w:rsidRPr="00EA775E">
              <w:rPr>
                <w:i/>
                <w:sz w:val="20"/>
                <w:szCs w:val="20"/>
              </w:rPr>
              <w:t xml:space="preserve">Popíšte </w:t>
            </w:r>
            <w:r w:rsidRPr="00EA775E">
              <w:rPr>
                <w:b/>
                <w:i/>
                <w:sz w:val="20"/>
                <w:szCs w:val="20"/>
              </w:rPr>
              <w:t xml:space="preserve">negatívny </w:t>
            </w:r>
            <w:r w:rsidRPr="00EA775E">
              <w:rPr>
                <w:i/>
                <w:sz w:val="20"/>
                <w:szCs w:val="20"/>
              </w:rPr>
              <w:t>vplyv na hospodárenie domácností s uvedením, či ide o zníženie príjmov alebo zvýšenie výdavkov:</w:t>
            </w:r>
          </w:p>
        </w:tc>
        <w:tc>
          <w:tcPr>
            <w:tcW w:w="2500" w:type="pct"/>
          </w:tcPr>
          <w:p w:rsidR="004C429C" w:rsidRPr="00EA775E" w:rsidRDefault="004C429C" w:rsidP="005720B6">
            <w:pPr>
              <w:jc w:val="both"/>
              <w:rPr>
                <w:sz w:val="20"/>
                <w:szCs w:val="20"/>
              </w:rPr>
            </w:pPr>
            <w:r w:rsidRPr="00EA775E">
              <w:rPr>
                <w:sz w:val="20"/>
                <w:szCs w:val="20"/>
              </w:rPr>
              <w:t>Bez vplyvu.</w:t>
            </w:r>
          </w:p>
        </w:tc>
      </w:tr>
      <w:tr w:rsidR="004C429C" w:rsidRPr="00EA775E" w:rsidTr="005720B6">
        <w:trPr>
          <w:trHeight w:val="624"/>
          <w:jc w:val="center"/>
        </w:trPr>
        <w:tc>
          <w:tcPr>
            <w:tcW w:w="2500" w:type="pct"/>
            <w:gridSpan w:val="2"/>
          </w:tcPr>
          <w:p w:rsidR="004C429C" w:rsidRPr="00EA775E" w:rsidRDefault="004C429C" w:rsidP="005720B6">
            <w:pPr>
              <w:rPr>
                <w:i/>
                <w:sz w:val="20"/>
                <w:szCs w:val="20"/>
              </w:rPr>
            </w:pPr>
            <w:r w:rsidRPr="00EA775E">
              <w:rPr>
                <w:i/>
                <w:sz w:val="20"/>
                <w:szCs w:val="20"/>
              </w:rPr>
              <w:t xml:space="preserve">Špecifikujte </w:t>
            </w:r>
            <w:r w:rsidRPr="00EA775E">
              <w:rPr>
                <w:b/>
                <w:i/>
                <w:sz w:val="20"/>
                <w:szCs w:val="20"/>
              </w:rPr>
              <w:t>negatívne</w:t>
            </w:r>
            <w:r w:rsidRPr="00EA775E">
              <w:rPr>
                <w:i/>
                <w:sz w:val="20"/>
                <w:szCs w:val="20"/>
              </w:rPr>
              <w:t xml:space="preserve"> ovplyvnené skupiny:</w:t>
            </w:r>
          </w:p>
        </w:tc>
        <w:tc>
          <w:tcPr>
            <w:tcW w:w="2500" w:type="pct"/>
          </w:tcPr>
          <w:p w:rsidR="004C429C" w:rsidRPr="00EA775E" w:rsidRDefault="004C429C" w:rsidP="005720B6">
            <w:pPr>
              <w:jc w:val="both"/>
              <w:rPr>
                <w:sz w:val="20"/>
                <w:szCs w:val="20"/>
              </w:rPr>
            </w:pPr>
            <w:r w:rsidRPr="00EA775E">
              <w:rPr>
                <w:sz w:val="20"/>
                <w:szCs w:val="20"/>
              </w:rPr>
              <w:t>Nie sú.</w:t>
            </w:r>
          </w:p>
        </w:tc>
      </w:tr>
      <w:tr w:rsidR="004C429C" w:rsidRPr="00EA775E" w:rsidTr="005720B6">
        <w:trPr>
          <w:trHeight w:val="680"/>
          <w:jc w:val="center"/>
        </w:trPr>
        <w:tc>
          <w:tcPr>
            <w:tcW w:w="2500" w:type="pct"/>
            <w:gridSpan w:val="2"/>
          </w:tcPr>
          <w:p w:rsidR="004C429C" w:rsidRPr="00EA775E" w:rsidRDefault="004C429C" w:rsidP="005720B6">
            <w:pPr>
              <w:rPr>
                <w:i/>
                <w:sz w:val="20"/>
                <w:szCs w:val="20"/>
              </w:rPr>
            </w:pPr>
            <w:r w:rsidRPr="00EA775E">
              <w:rPr>
                <w:i/>
                <w:sz w:val="20"/>
                <w:szCs w:val="20"/>
              </w:rPr>
              <w:t xml:space="preserve">Špecifikujte ovplyvnené skupiny </w:t>
            </w:r>
            <w:r w:rsidRPr="00EA775E">
              <w:rPr>
                <w:b/>
                <w:i/>
                <w:sz w:val="20"/>
                <w:szCs w:val="20"/>
              </w:rPr>
              <w:t>v riziku chudoby alebo sociálneho vylúčenia</w:t>
            </w:r>
            <w:r w:rsidRPr="00EA775E">
              <w:rPr>
                <w:i/>
                <w:sz w:val="20"/>
                <w:szCs w:val="20"/>
              </w:rPr>
              <w:t xml:space="preserve"> a popíšte vplyv:</w:t>
            </w:r>
          </w:p>
        </w:tc>
        <w:tc>
          <w:tcPr>
            <w:tcW w:w="2500" w:type="pct"/>
          </w:tcPr>
          <w:p w:rsidR="004C429C" w:rsidRPr="00EA775E" w:rsidRDefault="004C429C" w:rsidP="005720B6">
            <w:pPr>
              <w:jc w:val="both"/>
              <w:rPr>
                <w:sz w:val="20"/>
                <w:szCs w:val="20"/>
              </w:rPr>
            </w:pPr>
            <w:r w:rsidRPr="00EA775E">
              <w:rPr>
                <w:sz w:val="20"/>
                <w:szCs w:val="20"/>
              </w:rPr>
              <w:t>Nie sú.</w:t>
            </w:r>
          </w:p>
        </w:tc>
      </w:tr>
      <w:tr w:rsidR="004C429C" w:rsidRPr="00EA775E" w:rsidTr="005720B6">
        <w:trPr>
          <w:trHeight w:val="286"/>
          <w:jc w:val="center"/>
        </w:trPr>
        <w:tc>
          <w:tcPr>
            <w:tcW w:w="5000" w:type="pct"/>
            <w:gridSpan w:val="3"/>
            <w:shd w:val="clear" w:color="auto" w:fill="F2F2F2"/>
          </w:tcPr>
          <w:p w:rsidR="004C429C" w:rsidRPr="00EA775E" w:rsidRDefault="004C429C" w:rsidP="005720B6">
            <w:pPr>
              <w:jc w:val="both"/>
              <w:rPr>
                <w:i/>
                <w:sz w:val="20"/>
                <w:szCs w:val="20"/>
              </w:rPr>
            </w:pPr>
            <w:r w:rsidRPr="00EA775E">
              <w:rPr>
                <w:i/>
                <w:sz w:val="20"/>
                <w:szCs w:val="20"/>
              </w:rPr>
              <w:t>Kvantifikujte rast alebo pokles príjmov/výdavkov za jednotlivé ovplyvnené skupiny domácností / skupiny jednotlivcov a počet obyvateľstva/domácností ovplyvnených predkladaným materiálom.</w:t>
            </w:r>
          </w:p>
          <w:p w:rsidR="004C429C" w:rsidRPr="00EA775E" w:rsidRDefault="004C429C" w:rsidP="005720B6">
            <w:pPr>
              <w:jc w:val="both"/>
              <w:rPr>
                <w:i/>
                <w:sz w:val="20"/>
                <w:szCs w:val="20"/>
              </w:rPr>
            </w:pPr>
            <w:r w:rsidRPr="00EA775E">
              <w:rPr>
                <w:i/>
                <w:sz w:val="20"/>
                <w:szCs w:val="20"/>
              </w:rPr>
              <w:t>V prípade vyššieho počtu ovplyvnených skupín doplňte do tabuľky ďalšie riadky.</w:t>
            </w:r>
          </w:p>
          <w:p w:rsidR="004C429C" w:rsidRPr="00EA775E" w:rsidRDefault="004C429C" w:rsidP="005720B6">
            <w:pPr>
              <w:jc w:val="both"/>
              <w:rPr>
                <w:b/>
                <w:i/>
                <w:sz w:val="20"/>
                <w:szCs w:val="20"/>
              </w:rPr>
            </w:pPr>
            <w:r w:rsidRPr="00EA775E">
              <w:rPr>
                <w:i/>
                <w:sz w:val="20"/>
                <w:szCs w:val="20"/>
              </w:rPr>
              <w:t>V prípade, ak neuvádzate kvantifikáciu, uveďte dôvod.</w:t>
            </w:r>
          </w:p>
        </w:tc>
      </w:tr>
      <w:tr w:rsidR="004C429C" w:rsidRPr="00EA775E" w:rsidTr="005720B6">
        <w:trPr>
          <w:trHeight w:val="286"/>
          <w:jc w:val="center"/>
        </w:trPr>
        <w:tc>
          <w:tcPr>
            <w:tcW w:w="5000" w:type="pct"/>
            <w:gridSpan w:val="3"/>
            <w:tcBorders>
              <w:top w:val="nil"/>
            </w:tcBorders>
          </w:tcPr>
          <w:p w:rsidR="004C429C" w:rsidRPr="00EA775E" w:rsidRDefault="004C429C" w:rsidP="005720B6">
            <w:pPr>
              <w:jc w:val="both"/>
              <w:rPr>
                <w:i/>
                <w:sz w:val="20"/>
                <w:szCs w:val="20"/>
              </w:rPr>
            </w:pPr>
            <w:r w:rsidRPr="00EA775E">
              <w:rPr>
                <w:b/>
                <w:i/>
                <w:sz w:val="20"/>
                <w:szCs w:val="20"/>
              </w:rPr>
              <w:t xml:space="preserve">Ovplyvnená skupina č. 1: </w:t>
            </w:r>
          </w:p>
        </w:tc>
      </w:tr>
      <w:tr w:rsidR="004C429C" w:rsidRPr="00EA775E" w:rsidTr="005720B6">
        <w:trPr>
          <w:trHeight w:val="503"/>
          <w:jc w:val="center"/>
        </w:trPr>
        <w:tc>
          <w:tcPr>
            <w:tcW w:w="2500" w:type="pct"/>
            <w:gridSpan w:val="2"/>
            <w:tcBorders>
              <w:bottom w:val="single" w:sz="4" w:space="0" w:color="BFBFBF"/>
            </w:tcBorders>
          </w:tcPr>
          <w:p w:rsidR="004C429C" w:rsidRPr="00EA775E" w:rsidRDefault="004C429C" w:rsidP="005720B6">
            <w:pPr>
              <w:rPr>
                <w:i/>
                <w:sz w:val="20"/>
                <w:szCs w:val="20"/>
              </w:rPr>
            </w:pPr>
            <w:r w:rsidRPr="00EA775E">
              <w:rPr>
                <w:i/>
                <w:sz w:val="20"/>
                <w:szCs w:val="20"/>
              </w:rPr>
              <w:t>Pozitívny vplyv - priemerný rast príjmov/ pokles výdavkov v skupine v eurách a/alebo v % / obdobie:</w:t>
            </w:r>
          </w:p>
        </w:tc>
        <w:tc>
          <w:tcPr>
            <w:tcW w:w="2500" w:type="pct"/>
            <w:tcBorders>
              <w:bottom w:val="single" w:sz="4" w:space="0" w:color="BFBFBF"/>
            </w:tcBorders>
          </w:tcPr>
          <w:p w:rsidR="004C429C" w:rsidRPr="00EA775E" w:rsidRDefault="004C429C" w:rsidP="005720B6">
            <w:pPr>
              <w:jc w:val="both"/>
              <w:rPr>
                <w:sz w:val="20"/>
                <w:szCs w:val="20"/>
              </w:rPr>
            </w:pPr>
            <w:r w:rsidRPr="00EA775E">
              <w:rPr>
                <w:sz w:val="20"/>
                <w:szCs w:val="20"/>
              </w:rPr>
              <w:t>Návrh zákona upravuje možnosť vojaka v zálohe zaradeného do aktívnych záloh povýšiť do vojenskej hodnosti. Uvedeným inštitútom dôjde k zvýšeniu príjmov uvedenej skupiny osôb o 8 až 9%.</w:t>
            </w:r>
          </w:p>
        </w:tc>
      </w:tr>
      <w:tr w:rsidR="004C429C" w:rsidRPr="00EA775E" w:rsidTr="005720B6">
        <w:trPr>
          <w:trHeight w:val="497"/>
          <w:jc w:val="center"/>
        </w:trPr>
        <w:tc>
          <w:tcPr>
            <w:tcW w:w="2500" w:type="pct"/>
            <w:gridSpan w:val="2"/>
            <w:tcBorders>
              <w:top w:val="single" w:sz="4" w:space="0" w:color="BFBFBF"/>
              <w:bottom w:val="single" w:sz="4" w:space="0" w:color="BFBFBF"/>
            </w:tcBorders>
          </w:tcPr>
          <w:p w:rsidR="004C429C" w:rsidRPr="00EA775E" w:rsidRDefault="004C429C" w:rsidP="005720B6">
            <w:pPr>
              <w:rPr>
                <w:rFonts w:ascii="Calibri" w:hAnsi="Calibri"/>
                <w:i/>
                <w:sz w:val="20"/>
                <w:szCs w:val="20"/>
              </w:rPr>
            </w:pPr>
            <w:r w:rsidRPr="00EA775E">
              <w:rPr>
                <w:i/>
                <w:sz w:val="20"/>
                <w:szCs w:val="20"/>
              </w:rPr>
              <w:t xml:space="preserve">Negatívny vplyv - priemerný pokles príjmov/ rast výdavkov v skupine v eurách a/alebo v % / obdobie: </w:t>
            </w:r>
          </w:p>
        </w:tc>
        <w:tc>
          <w:tcPr>
            <w:tcW w:w="2500" w:type="pct"/>
            <w:tcBorders>
              <w:top w:val="single" w:sz="4" w:space="0" w:color="BFBFBF"/>
              <w:bottom w:val="single" w:sz="4" w:space="0" w:color="BFBFBF"/>
            </w:tcBorders>
          </w:tcPr>
          <w:p w:rsidR="004C429C" w:rsidRPr="00EA775E" w:rsidRDefault="004C429C" w:rsidP="005720B6">
            <w:pPr>
              <w:tabs>
                <w:tab w:val="left" w:pos="750"/>
              </w:tabs>
              <w:jc w:val="both"/>
              <w:rPr>
                <w:sz w:val="20"/>
                <w:szCs w:val="20"/>
              </w:rPr>
            </w:pPr>
            <w:r w:rsidRPr="00EA775E">
              <w:rPr>
                <w:sz w:val="20"/>
                <w:szCs w:val="20"/>
              </w:rPr>
              <w:t>Návrh zákona nemá negatívny vplyv.</w:t>
            </w:r>
          </w:p>
        </w:tc>
      </w:tr>
      <w:tr w:rsidR="004C429C" w:rsidRPr="00EA775E" w:rsidTr="005720B6">
        <w:trPr>
          <w:trHeight w:val="363"/>
          <w:jc w:val="center"/>
        </w:trPr>
        <w:tc>
          <w:tcPr>
            <w:tcW w:w="2500" w:type="pct"/>
            <w:gridSpan w:val="2"/>
            <w:tcBorders>
              <w:top w:val="single" w:sz="4" w:space="0" w:color="BFBFBF"/>
            </w:tcBorders>
          </w:tcPr>
          <w:p w:rsidR="004C429C" w:rsidRPr="00EA775E" w:rsidRDefault="004C429C" w:rsidP="005720B6">
            <w:pPr>
              <w:rPr>
                <w:rFonts w:ascii="Calibri" w:hAnsi="Calibri"/>
                <w:i/>
                <w:sz w:val="20"/>
                <w:szCs w:val="20"/>
              </w:rPr>
            </w:pPr>
            <w:r w:rsidRPr="00EA775E">
              <w:rPr>
                <w:i/>
                <w:sz w:val="20"/>
                <w:szCs w:val="20"/>
              </w:rPr>
              <w:t>Veľkosť skupiny (počet obyvateľov):</w:t>
            </w:r>
          </w:p>
        </w:tc>
        <w:tc>
          <w:tcPr>
            <w:tcW w:w="2500" w:type="pct"/>
            <w:tcBorders>
              <w:top w:val="single" w:sz="4" w:space="0" w:color="BFBFBF"/>
            </w:tcBorders>
          </w:tcPr>
          <w:p w:rsidR="004C429C" w:rsidRPr="00EA775E" w:rsidRDefault="004C429C" w:rsidP="005720B6">
            <w:pPr>
              <w:jc w:val="both"/>
              <w:rPr>
                <w:sz w:val="20"/>
                <w:szCs w:val="20"/>
              </w:rPr>
            </w:pPr>
            <w:r w:rsidRPr="00EA775E">
              <w:rPr>
                <w:sz w:val="20"/>
                <w:szCs w:val="20"/>
              </w:rPr>
              <w:t xml:space="preserve">V roku 2022 môže byť po splnení zákonom stanovených podmienok povýšených do vojenskej hodnosti </w:t>
            </w:r>
            <w:r w:rsidRPr="00EA775E">
              <w:rPr>
                <w:sz w:val="20"/>
                <w:szCs w:val="20"/>
              </w:rPr>
              <w:br/>
              <w:t>53 vojakov v zálohe zaradených do aktívnych záloh.</w:t>
            </w:r>
          </w:p>
        </w:tc>
      </w:tr>
      <w:tr w:rsidR="004C429C" w:rsidRPr="00EA775E" w:rsidTr="005720B6">
        <w:trPr>
          <w:trHeight w:val="670"/>
          <w:jc w:val="center"/>
        </w:trPr>
        <w:tc>
          <w:tcPr>
            <w:tcW w:w="2500" w:type="pct"/>
            <w:gridSpan w:val="2"/>
          </w:tcPr>
          <w:p w:rsidR="004C429C" w:rsidRPr="00EA775E" w:rsidRDefault="004C429C" w:rsidP="005720B6">
            <w:pPr>
              <w:rPr>
                <w:rFonts w:ascii="Calibri" w:hAnsi="Calibri"/>
                <w:i/>
                <w:sz w:val="20"/>
                <w:szCs w:val="20"/>
              </w:rPr>
            </w:pPr>
            <w:r w:rsidRPr="00EA775E">
              <w:rPr>
                <w:i/>
                <w:sz w:val="20"/>
                <w:szCs w:val="20"/>
              </w:rPr>
              <w:t>Dôvod chýbajúcej kvantifikácie:</w:t>
            </w:r>
          </w:p>
        </w:tc>
        <w:tc>
          <w:tcPr>
            <w:tcW w:w="2500" w:type="pct"/>
          </w:tcPr>
          <w:p w:rsidR="004C429C" w:rsidRPr="00EA775E" w:rsidRDefault="004C429C" w:rsidP="005720B6">
            <w:pPr>
              <w:contextualSpacing/>
              <w:jc w:val="both"/>
              <w:rPr>
                <w:sz w:val="20"/>
                <w:szCs w:val="20"/>
              </w:rPr>
            </w:pPr>
            <w:r w:rsidRPr="00EA775E">
              <w:rPr>
                <w:sz w:val="20"/>
                <w:szCs w:val="20"/>
              </w:rPr>
              <w:t>Kvantifikácia je uvedená.</w:t>
            </w:r>
          </w:p>
        </w:tc>
      </w:tr>
      <w:tr w:rsidR="004C429C" w:rsidRPr="00EA775E" w:rsidTr="005720B6">
        <w:trPr>
          <w:trHeight w:val="670"/>
          <w:jc w:val="center"/>
        </w:trPr>
        <w:tc>
          <w:tcPr>
            <w:tcW w:w="2500" w:type="pct"/>
            <w:gridSpan w:val="2"/>
          </w:tcPr>
          <w:p w:rsidR="004C429C" w:rsidRPr="00EA775E" w:rsidRDefault="004C429C" w:rsidP="005720B6">
            <w:pPr>
              <w:jc w:val="both"/>
              <w:rPr>
                <w:i/>
                <w:sz w:val="22"/>
                <w:szCs w:val="22"/>
              </w:rPr>
            </w:pPr>
            <w:r w:rsidRPr="00EA775E">
              <w:rPr>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4C429C" w:rsidRPr="00EA775E" w:rsidRDefault="004C429C" w:rsidP="005720B6">
            <w:pPr>
              <w:jc w:val="both"/>
              <w:rPr>
                <w:sz w:val="20"/>
                <w:szCs w:val="20"/>
              </w:rPr>
            </w:pPr>
            <w:r w:rsidRPr="00EA775E">
              <w:rPr>
                <w:sz w:val="20"/>
                <w:szCs w:val="20"/>
              </w:rPr>
              <w:t>Významné vplyvy neboli identifikované.</w:t>
            </w:r>
          </w:p>
        </w:tc>
      </w:tr>
      <w:tr w:rsidR="004C429C" w:rsidRPr="00EA775E" w:rsidTr="005720B6">
        <w:trPr>
          <w:trHeight w:val="557"/>
          <w:jc w:val="center"/>
        </w:trPr>
        <w:tc>
          <w:tcPr>
            <w:tcW w:w="5000" w:type="pct"/>
            <w:gridSpan w:val="3"/>
            <w:shd w:val="clear" w:color="auto" w:fill="D9D9D9"/>
          </w:tcPr>
          <w:p w:rsidR="004C429C" w:rsidRPr="00EA775E" w:rsidRDefault="004C429C" w:rsidP="005720B6">
            <w:pPr>
              <w:jc w:val="both"/>
              <w:rPr>
                <w:sz w:val="20"/>
              </w:rPr>
            </w:pPr>
            <w:r w:rsidRPr="00EA775E">
              <w:rPr>
                <w:b/>
              </w:rPr>
              <w:t>4.2 Identifikujte, popíšte a kvantifikujte vplyvy na prístup k zdrojom, právam, tovarom a službám u jednotlivých ovplyvnených skupín obyvateľstva a vplyv na sociálnu inklúziu.</w:t>
            </w:r>
          </w:p>
        </w:tc>
      </w:tr>
      <w:tr w:rsidR="004C429C" w:rsidRPr="00EA775E" w:rsidTr="005720B6">
        <w:trPr>
          <w:trHeight w:val="557"/>
          <w:jc w:val="center"/>
        </w:trPr>
        <w:tc>
          <w:tcPr>
            <w:tcW w:w="5000" w:type="pct"/>
            <w:gridSpan w:val="3"/>
            <w:shd w:val="clear" w:color="auto" w:fill="F2F2F2"/>
          </w:tcPr>
          <w:p w:rsidR="004C429C" w:rsidRPr="00EA775E" w:rsidRDefault="004C429C" w:rsidP="005720B6">
            <w:pPr>
              <w:jc w:val="both"/>
              <w:rPr>
                <w:i/>
                <w:sz w:val="20"/>
              </w:rPr>
            </w:pPr>
            <w:r w:rsidRPr="00EA775E">
              <w:rPr>
                <w:i/>
                <w:sz w:val="20"/>
              </w:rPr>
              <w:lastRenderedPageBreak/>
              <w:t xml:space="preserve">Má návrh vplyv na prístup k zdrojom, právam, tovarom a službám? </w:t>
            </w:r>
          </w:p>
          <w:p w:rsidR="004C429C" w:rsidRPr="00EA775E" w:rsidRDefault="004C429C" w:rsidP="005720B6">
            <w:pPr>
              <w:jc w:val="both"/>
              <w:rPr>
                <w:b/>
                <w:sz w:val="20"/>
                <w:szCs w:val="20"/>
              </w:rPr>
            </w:pPr>
            <w:r w:rsidRPr="00EA775E">
              <w:rPr>
                <w:i/>
                <w:sz w:val="20"/>
              </w:rPr>
              <w:t>Špecifikujete ovplyvnené skupiny obyvateľstva a charakter zmeny v prístupnosti s ohľadom na dostupnosť finančnú, geografickú, kvalitu, organizovanie a pod. Uveďte veľkosť jednotlivých ovplyvnených skupín.</w:t>
            </w:r>
          </w:p>
        </w:tc>
      </w:tr>
      <w:tr w:rsidR="004C429C" w:rsidRPr="00EA775E" w:rsidTr="005720B6">
        <w:trPr>
          <w:trHeight w:val="557"/>
          <w:jc w:val="center"/>
        </w:trPr>
        <w:tc>
          <w:tcPr>
            <w:tcW w:w="1993" w:type="pct"/>
          </w:tcPr>
          <w:p w:rsidR="004C429C" w:rsidRPr="00EA775E" w:rsidRDefault="004C429C" w:rsidP="005720B6">
            <w:pPr>
              <w:jc w:val="both"/>
              <w:rPr>
                <w:i/>
                <w:sz w:val="18"/>
                <w:szCs w:val="18"/>
              </w:rPr>
            </w:pPr>
            <w:r w:rsidRPr="00EA775E">
              <w:rPr>
                <w:i/>
                <w:sz w:val="18"/>
                <w:szCs w:val="18"/>
              </w:rPr>
              <w:t>Rozumie sa najmä na prístup k:</w:t>
            </w:r>
          </w:p>
          <w:p w:rsidR="004C429C" w:rsidRPr="00EA775E" w:rsidRDefault="004C429C" w:rsidP="004C429C">
            <w:pPr>
              <w:numPr>
                <w:ilvl w:val="0"/>
                <w:numId w:val="4"/>
              </w:numPr>
              <w:jc w:val="both"/>
              <w:rPr>
                <w:i/>
                <w:sz w:val="18"/>
                <w:szCs w:val="18"/>
              </w:rPr>
            </w:pPr>
            <w:r w:rsidRPr="00EA775E">
              <w:rPr>
                <w:i/>
                <w:sz w:val="18"/>
                <w:szCs w:val="18"/>
              </w:rPr>
              <w:t xml:space="preserve">sociálnej ochrane, sociálno-právnej ochrane, sociálnym službám (vrátane služieb starostlivosti o deti, starších ľudí a ľudí so zdravotným postihnutím), </w:t>
            </w:r>
          </w:p>
          <w:p w:rsidR="004C429C" w:rsidRPr="00EA775E" w:rsidRDefault="004C429C" w:rsidP="004C429C">
            <w:pPr>
              <w:numPr>
                <w:ilvl w:val="0"/>
                <w:numId w:val="4"/>
              </w:numPr>
              <w:jc w:val="both"/>
              <w:rPr>
                <w:i/>
                <w:sz w:val="18"/>
                <w:szCs w:val="18"/>
              </w:rPr>
            </w:pPr>
            <w:r w:rsidRPr="00EA775E">
              <w:rPr>
                <w:i/>
                <w:sz w:val="18"/>
                <w:szCs w:val="18"/>
              </w:rPr>
              <w:t>kvalitnej práci, ochrane zdravia, dôstojnosti a bezpečnosti pri práci pre zamestnancov a existujúcim zamestnaneckým právam,</w:t>
            </w:r>
          </w:p>
          <w:p w:rsidR="004C429C" w:rsidRPr="00EA775E" w:rsidRDefault="004C429C" w:rsidP="004C429C">
            <w:pPr>
              <w:numPr>
                <w:ilvl w:val="0"/>
                <w:numId w:val="4"/>
              </w:numPr>
              <w:jc w:val="both"/>
              <w:rPr>
                <w:i/>
                <w:sz w:val="18"/>
                <w:szCs w:val="18"/>
              </w:rPr>
            </w:pPr>
            <w:r w:rsidRPr="00EA775E">
              <w:rPr>
                <w:i/>
                <w:sz w:val="18"/>
                <w:szCs w:val="18"/>
              </w:rPr>
              <w:t xml:space="preserve">pomoci pri úhrade výdavkov súvisiacich so zdravotným postihnutím, </w:t>
            </w:r>
          </w:p>
          <w:p w:rsidR="004C429C" w:rsidRPr="00EA775E" w:rsidRDefault="004C429C" w:rsidP="004C429C">
            <w:pPr>
              <w:numPr>
                <w:ilvl w:val="0"/>
                <w:numId w:val="4"/>
              </w:numPr>
              <w:jc w:val="both"/>
              <w:rPr>
                <w:i/>
                <w:sz w:val="18"/>
                <w:szCs w:val="18"/>
              </w:rPr>
            </w:pPr>
            <w:r w:rsidRPr="00EA775E">
              <w:rPr>
                <w:i/>
                <w:sz w:val="18"/>
                <w:szCs w:val="18"/>
              </w:rPr>
              <w:t>zamestnaniu, na trh práce (napr. uľahčenie zosúladenia rodinných a pracovných povinností, služby zamestnanosti), k školeniam, odbornému vzdelávaniu a príprave na trh práce,</w:t>
            </w:r>
          </w:p>
          <w:p w:rsidR="004C429C" w:rsidRPr="00EA775E" w:rsidRDefault="004C429C" w:rsidP="004C429C">
            <w:pPr>
              <w:numPr>
                <w:ilvl w:val="0"/>
                <w:numId w:val="4"/>
              </w:numPr>
              <w:jc w:val="both"/>
              <w:rPr>
                <w:i/>
                <w:sz w:val="18"/>
                <w:szCs w:val="18"/>
              </w:rPr>
            </w:pPr>
            <w:r w:rsidRPr="00EA775E">
              <w:rPr>
                <w:i/>
                <w:sz w:val="18"/>
                <w:szCs w:val="18"/>
              </w:rPr>
              <w:t xml:space="preserve">zdravotnej starostlivosti vrátane cenovo dostupných pomôcok pre občanov so zdravotným postihnutím, </w:t>
            </w:r>
          </w:p>
          <w:p w:rsidR="004C429C" w:rsidRPr="00EA775E" w:rsidRDefault="004C429C" w:rsidP="004C429C">
            <w:pPr>
              <w:numPr>
                <w:ilvl w:val="0"/>
                <w:numId w:val="4"/>
              </w:numPr>
              <w:jc w:val="both"/>
              <w:rPr>
                <w:i/>
                <w:sz w:val="18"/>
                <w:szCs w:val="18"/>
              </w:rPr>
            </w:pPr>
            <w:r w:rsidRPr="00EA775E">
              <w:rPr>
                <w:i/>
                <w:sz w:val="18"/>
                <w:szCs w:val="18"/>
              </w:rPr>
              <w:t>k formálnemu i neformálnemu vzdelávaniu a celo</w:t>
            </w:r>
            <w:r w:rsidRPr="00EA775E">
              <w:rPr>
                <w:i/>
                <w:sz w:val="18"/>
                <w:szCs w:val="18"/>
              </w:rPr>
              <w:softHyphen/>
              <w:t xml:space="preserve">životnému vzdelávaniu, </w:t>
            </w:r>
          </w:p>
          <w:p w:rsidR="004C429C" w:rsidRPr="00EA775E" w:rsidRDefault="004C429C" w:rsidP="004C429C">
            <w:pPr>
              <w:numPr>
                <w:ilvl w:val="0"/>
                <w:numId w:val="4"/>
              </w:numPr>
              <w:jc w:val="both"/>
              <w:rPr>
                <w:i/>
                <w:sz w:val="18"/>
                <w:szCs w:val="18"/>
              </w:rPr>
            </w:pPr>
            <w:r w:rsidRPr="00EA775E">
              <w:rPr>
                <w:i/>
                <w:sz w:val="18"/>
                <w:szCs w:val="18"/>
              </w:rPr>
              <w:t>bývaniu a súvisiacim základným komunálnym službám,</w:t>
            </w:r>
          </w:p>
          <w:p w:rsidR="004C429C" w:rsidRPr="00EA775E" w:rsidRDefault="004C429C" w:rsidP="004C429C">
            <w:pPr>
              <w:numPr>
                <w:ilvl w:val="0"/>
                <w:numId w:val="4"/>
              </w:numPr>
              <w:jc w:val="both"/>
              <w:rPr>
                <w:i/>
                <w:sz w:val="18"/>
                <w:szCs w:val="18"/>
              </w:rPr>
            </w:pPr>
            <w:r w:rsidRPr="00EA775E">
              <w:rPr>
                <w:i/>
                <w:sz w:val="18"/>
                <w:szCs w:val="18"/>
              </w:rPr>
              <w:t>doprave,</w:t>
            </w:r>
          </w:p>
          <w:p w:rsidR="004C429C" w:rsidRPr="00EA775E" w:rsidRDefault="004C429C" w:rsidP="004C429C">
            <w:pPr>
              <w:numPr>
                <w:ilvl w:val="0"/>
                <w:numId w:val="4"/>
              </w:numPr>
              <w:jc w:val="both"/>
              <w:rPr>
                <w:i/>
                <w:sz w:val="18"/>
                <w:szCs w:val="18"/>
              </w:rPr>
            </w:pPr>
            <w:r w:rsidRPr="00EA775E">
              <w:rPr>
                <w:i/>
                <w:sz w:val="18"/>
                <w:szCs w:val="18"/>
              </w:rPr>
              <w:t>ďalším službám najmä službám všeobecného záujmu a tovarom,</w:t>
            </w:r>
          </w:p>
          <w:p w:rsidR="004C429C" w:rsidRPr="00EA775E" w:rsidRDefault="004C429C" w:rsidP="004C429C">
            <w:pPr>
              <w:numPr>
                <w:ilvl w:val="0"/>
                <w:numId w:val="4"/>
              </w:numPr>
              <w:jc w:val="both"/>
              <w:rPr>
                <w:i/>
                <w:sz w:val="18"/>
                <w:szCs w:val="18"/>
              </w:rPr>
            </w:pPr>
            <w:r w:rsidRPr="00EA775E">
              <w:rPr>
                <w:i/>
                <w:sz w:val="18"/>
                <w:szCs w:val="18"/>
              </w:rPr>
              <w:t>spravodlivosti, právnej ochrane, právnym službám,</w:t>
            </w:r>
          </w:p>
          <w:p w:rsidR="004C429C" w:rsidRPr="00EA775E" w:rsidRDefault="004C429C" w:rsidP="004C429C">
            <w:pPr>
              <w:numPr>
                <w:ilvl w:val="0"/>
                <w:numId w:val="4"/>
              </w:numPr>
              <w:jc w:val="both"/>
              <w:rPr>
                <w:i/>
                <w:sz w:val="18"/>
                <w:szCs w:val="18"/>
              </w:rPr>
            </w:pPr>
            <w:r w:rsidRPr="00EA775E">
              <w:rPr>
                <w:i/>
                <w:sz w:val="18"/>
                <w:szCs w:val="18"/>
              </w:rPr>
              <w:t>informáciám</w:t>
            </w:r>
          </w:p>
          <w:p w:rsidR="004C429C" w:rsidRPr="00EA775E" w:rsidRDefault="004C429C" w:rsidP="004C429C">
            <w:pPr>
              <w:numPr>
                <w:ilvl w:val="0"/>
                <w:numId w:val="4"/>
              </w:numPr>
              <w:jc w:val="both"/>
              <w:rPr>
                <w:rFonts w:ascii="Calibri" w:hAnsi="Calibri"/>
                <w:i/>
                <w:sz w:val="20"/>
                <w:szCs w:val="20"/>
              </w:rPr>
            </w:pPr>
            <w:r w:rsidRPr="00EA775E">
              <w:rPr>
                <w:i/>
                <w:sz w:val="18"/>
                <w:szCs w:val="18"/>
              </w:rPr>
              <w:t>k iným právam (napr. politickým).</w:t>
            </w:r>
          </w:p>
        </w:tc>
        <w:tc>
          <w:tcPr>
            <w:tcW w:w="3007" w:type="pct"/>
            <w:gridSpan w:val="2"/>
          </w:tcPr>
          <w:p w:rsidR="004C429C" w:rsidRPr="00EA775E" w:rsidRDefault="004C429C" w:rsidP="005720B6">
            <w:pPr>
              <w:jc w:val="both"/>
              <w:rPr>
                <w:sz w:val="20"/>
                <w:szCs w:val="20"/>
              </w:rPr>
            </w:pPr>
            <w:r w:rsidRPr="00EA775E">
              <w:rPr>
                <w:sz w:val="20"/>
                <w:szCs w:val="20"/>
              </w:rPr>
              <w:t>Návrh zákona nemá vplyv na prístup k zdrojom, právam, tovarom</w:t>
            </w:r>
            <w:r w:rsidRPr="00EA775E">
              <w:rPr>
                <w:sz w:val="20"/>
                <w:szCs w:val="20"/>
              </w:rPr>
              <w:br/>
              <w:t>a službám.</w:t>
            </w:r>
          </w:p>
          <w:p w:rsidR="004C429C" w:rsidRPr="00EA775E" w:rsidRDefault="004C429C" w:rsidP="005720B6">
            <w:pPr>
              <w:jc w:val="both"/>
              <w:rPr>
                <w:sz w:val="20"/>
                <w:szCs w:val="20"/>
              </w:rPr>
            </w:pPr>
          </w:p>
        </w:tc>
      </w:tr>
      <w:tr w:rsidR="004C429C" w:rsidRPr="00EA775E" w:rsidTr="005720B6">
        <w:trPr>
          <w:trHeight w:val="557"/>
          <w:jc w:val="center"/>
        </w:trPr>
        <w:tc>
          <w:tcPr>
            <w:tcW w:w="5000" w:type="pct"/>
            <w:gridSpan w:val="3"/>
            <w:shd w:val="clear" w:color="auto" w:fill="F2F2F2"/>
          </w:tcPr>
          <w:p w:rsidR="004C429C" w:rsidRPr="00EA775E" w:rsidRDefault="004C429C" w:rsidP="005720B6">
            <w:pPr>
              <w:jc w:val="both"/>
              <w:rPr>
                <w:i/>
                <w:sz w:val="20"/>
                <w:szCs w:val="20"/>
              </w:rPr>
            </w:pPr>
            <w:r w:rsidRPr="00EA775E">
              <w:rPr>
                <w:i/>
                <w:sz w:val="20"/>
                <w:szCs w:val="20"/>
              </w:rPr>
              <w:t xml:space="preserve">Má návrh významný vplyv na niektorú zo zraniteľných skupín obyvateľstva alebo skupín v riziku chudoby alebo sociálneho vylúčenia? </w:t>
            </w:r>
          </w:p>
          <w:p w:rsidR="004C429C" w:rsidRPr="00EA775E" w:rsidRDefault="004C429C" w:rsidP="005720B6">
            <w:pPr>
              <w:jc w:val="both"/>
              <w:rPr>
                <w:b/>
                <w:sz w:val="20"/>
                <w:szCs w:val="20"/>
              </w:rPr>
            </w:pPr>
            <w:r w:rsidRPr="00EA775E">
              <w:rPr>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4C429C" w:rsidRPr="00EA775E" w:rsidTr="005720B6">
        <w:trPr>
          <w:trHeight w:val="557"/>
          <w:jc w:val="center"/>
        </w:trPr>
        <w:tc>
          <w:tcPr>
            <w:tcW w:w="1993" w:type="pct"/>
          </w:tcPr>
          <w:p w:rsidR="004C429C" w:rsidRPr="00EA775E" w:rsidRDefault="004C429C" w:rsidP="005720B6">
            <w:pPr>
              <w:jc w:val="both"/>
              <w:rPr>
                <w:i/>
                <w:sz w:val="18"/>
                <w:szCs w:val="18"/>
              </w:rPr>
            </w:pPr>
            <w:r w:rsidRPr="00EA775E">
              <w:rPr>
                <w:i/>
                <w:sz w:val="18"/>
                <w:szCs w:val="18"/>
              </w:rPr>
              <w:t>Zraniteľné skupiny alebo skupiny v riziku chudoby alebo sociálneho vylúčenia sú napr.:</w:t>
            </w:r>
          </w:p>
          <w:p w:rsidR="004C429C" w:rsidRPr="00EA775E" w:rsidRDefault="004C429C" w:rsidP="004C429C">
            <w:pPr>
              <w:numPr>
                <w:ilvl w:val="0"/>
                <w:numId w:val="5"/>
              </w:numPr>
              <w:jc w:val="both"/>
              <w:rPr>
                <w:i/>
                <w:sz w:val="18"/>
                <w:szCs w:val="18"/>
              </w:rPr>
            </w:pPr>
            <w:r w:rsidRPr="00EA775E">
              <w:rPr>
                <w:i/>
                <w:sz w:val="18"/>
                <w:szCs w:val="18"/>
              </w:rPr>
              <w:t>domácnosti s nízkym príjmom (napr. žijúce iba zo sociálnych príjmov, alebo z príjmov pod hranicou rizika chudoby, alebo s príjmom pod životným minimom, alebo patriace medzi 25% domácností s najnižším príjmom),</w:t>
            </w:r>
          </w:p>
          <w:p w:rsidR="004C429C" w:rsidRPr="00EA775E" w:rsidRDefault="004C429C" w:rsidP="004C429C">
            <w:pPr>
              <w:numPr>
                <w:ilvl w:val="0"/>
                <w:numId w:val="5"/>
              </w:numPr>
              <w:jc w:val="both"/>
              <w:rPr>
                <w:i/>
                <w:sz w:val="18"/>
                <w:szCs w:val="18"/>
              </w:rPr>
            </w:pPr>
            <w:r w:rsidRPr="00EA775E">
              <w:rPr>
                <w:i/>
                <w:sz w:val="18"/>
                <w:szCs w:val="18"/>
              </w:rPr>
              <w:t>nezamestnaní, najmä dlhodobo nezamestnaní, mladí nezamestnaní a nezamestnaní nad 50 rokov,</w:t>
            </w:r>
          </w:p>
          <w:p w:rsidR="004C429C" w:rsidRPr="00EA775E" w:rsidRDefault="004C429C" w:rsidP="004C429C">
            <w:pPr>
              <w:numPr>
                <w:ilvl w:val="0"/>
                <w:numId w:val="5"/>
              </w:numPr>
              <w:jc w:val="both"/>
              <w:rPr>
                <w:i/>
                <w:sz w:val="18"/>
                <w:szCs w:val="18"/>
              </w:rPr>
            </w:pPr>
            <w:r w:rsidRPr="00EA775E">
              <w:rPr>
                <w:i/>
                <w:sz w:val="18"/>
                <w:szCs w:val="18"/>
              </w:rPr>
              <w:t>deti (0 – 17),</w:t>
            </w:r>
          </w:p>
          <w:p w:rsidR="004C429C" w:rsidRPr="00EA775E" w:rsidRDefault="004C429C" w:rsidP="004C429C">
            <w:pPr>
              <w:numPr>
                <w:ilvl w:val="0"/>
                <w:numId w:val="5"/>
              </w:numPr>
              <w:jc w:val="both"/>
              <w:rPr>
                <w:i/>
                <w:sz w:val="18"/>
                <w:szCs w:val="18"/>
              </w:rPr>
            </w:pPr>
            <w:r w:rsidRPr="00EA775E">
              <w:rPr>
                <w:i/>
                <w:sz w:val="18"/>
                <w:szCs w:val="18"/>
              </w:rPr>
              <w:t>mladí ľudia (18 – 25 rokov),</w:t>
            </w:r>
          </w:p>
          <w:p w:rsidR="004C429C" w:rsidRPr="00EA775E" w:rsidRDefault="004C429C" w:rsidP="004C429C">
            <w:pPr>
              <w:numPr>
                <w:ilvl w:val="0"/>
                <w:numId w:val="5"/>
              </w:numPr>
              <w:jc w:val="both"/>
              <w:rPr>
                <w:i/>
                <w:sz w:val="18"/>
                <w:szCs w:val="18"/>
              </w:rPr>
            </w:pPr>
            <w:r w:rsidRPr="00EA775E">
              <w:rPr>
                <w:i/>
                <w:sz w:val="18"/>
                <w:szCs w:val="18"/>
              </w:rPr>
              <w:t>starší ľudia, napr. ľudia vo veku nad 65 rokov alebo dôchodcovia,</w:t>
            </w:r>
          </w:p>
          <w:p w:rsidR="004C429C" w:rsidRPr="00EA775E" w:rsidRDefault="004C429C" w:rsidP="004C429C">
            <w:pPr>
              <w:numPr>
                <w:ilvl w:val="0"/>
                <w:numId w:val="5"/>
              </w:numPr>
              <w:jc w:val="both"/>
              <w:rPr>
                <w:i/>
                <w:sz w:val="18"/>
                <w:szCs w:val="18"/>
              </w:rPr>
            </w:pPr>
            <w:r w:rsidRPr="00EA775E">
              <w:rPr>
                <w:i/>
                <w:sz w:val="18"/>
                <w:szCs w:val="18"/>
              </w:rPr>
              <w:t>ľudia so zdravotným postihnutím,</w:t>
            </w:r>
          </w:p>
          <w:p w:rsidR="004C429C" w:rsidRPr="00EA775E" w:rsidRDefault="004C429C" w:rsidP="004C429C">
            <w:pPr>
              <w:numPr>
                <w:ilvl w:val="0"/>
                <w:numId w:val="5"/>
              </w:numPr>
              <w:jc w:val="both"/>
              <w:rPr>
                <w:i/>
                <w:sz w:val="18"/>
                <w:szCs w:val="18"/>
              </w:rPr>
            </w:pPr>
            <w:r w:rsidRPr="00EA775E">
              <w:rPr>
                <w:i/>
                <w:sz w:val="18"/>
                <w:szCs w:val="18"/>
              </w:rPr>
              <w:t xml:space="preserve">marginalizované rómske komunity </w:t>
            </w:r>
          </w:p>
          <w:p w:rsidR="004C429C" w:rsidRPr="00EA775E" w:rsidRDefault="004C429C" w:rsidP="004C429C">
            <w:pPr>
              <w:numPr>
                <w:ilvl w:val="0"/>
                <w:numId w:val="5"/>
              </w:numPr>
              <w:jc w:val="both"/>
              <w:rPr>
                <w:i/>
                <w:sz w:val="18"/>
                <w:szCs w:val="18"/>
              </w:rPr>
            </w:pPr>
            <w:r w:rsidRPr="00EA775E">
              <w:rPr>
                <w:i/>
                <w:sz w:val="18"/>
                <w:szCs w:val="18"/>
              </w:rPr>
              <w:t>domácnosti s 3 a viac deťmi,</w:t>
            </w:r>
          </w:p>
          <w:p w:rsidR="004C429C" w:rsidRPr="00EA775E" w:rsidRDefault="004C429C" w:rsidP="004C429C">
            <w:pPr>
              <w:numPr>
                <w:ilvl w:val="0"/>
                <w:numId w:val="5"/>
              </w:numPr>
              <w:jc w:val="both"/>
              <w:rPr>
                <w:i/>
                <w:sz w:val="18"/>
                <w:szCs w:val="18"/>
              </w:rPr>
            </w:pPr>
            <w:r w:rsidRPr="00EA775E">
              <w:rPr>
                <w:i/>
                <w:sz w:val="18"/>
                <w:szCs w:val="18"/>
              </w:rPr>
              <w:t>jednorodičovské domácnosti s deťmi (neúplné rodiny, ktoré tvoria najmä osamelé matky s deťmi),</w:t>
            </w:r>
          </w:p>
          <w:p w:rsidR="004C429C" w:rsidRPr="00EA775E" w:rsidRDefault="004C429C" w:rsidP="004C429C">
            <w:pPr>
              <w:numPr>
                <w:ilvl w:val="0"/>
                <w:numId w:val="5"/>
              </w:numPr>
              <w:jc w:val="both"/>
              <w:rPr>
                <w:i/>
                <w:sz w:val="18"/>
                <w:szCs w:val="18"/>
              </w:rPr>
            </w:pPr>
            <w:r w:rsidRPr="00EA775E">
              <w:rPr>
                <w:i/>
                <w:sz w:val="18"/>
                <w:szCs w:val="18"/>
              </w:rPr>
              <w:t>príslušníci tretích krajín, azylanti, žiadatelia o azyl,</w:t>
            </w:r>
          </w:p>
          <w:p w:rsidR="004C429C" w:rsidRPr="00EA775E" w:rsidRDefault="004C429C" w:rsidP="004C429C">
            <w:pPr>
              <w:numPr>
                <w:ilvl w:val="0"/>
                <w:numId w:val="5"/>
              </w:numPr>
              <w:jc w:val="both"/>
              <w:rPr>
                <w:rFonts w:ascii="Calibri" w:hAnsi="Calibri"/>
                <w:i/>
                <w:sz w:val="18"/>
                <w:szCs w:val="18"/>
              </w:rPr>
            </w:pPr>
            <w:r w:rsidRPr="00EA775E">
              <w:rPr>
                <w:i/>
                <w:sz w:val="18"/>
                <w:szCs w:val="18"/>
              </w:rPr>
              <w:t>iné zraniteľné skupiny, ako sú napr. bezdomovci, ľudia opúšťajúci detské domovy alebo iné inštitucionálne zariadenia</w:t>
            </w:r>
          </w:p>
        </w:tc>
        <w:tc>
          <w:tcPr>
            <w:tcW w:w="3007" w:type="pct"/>
            <w:gridSpan w:val="2"/>
          </w:tcPr>
          <w:p w:rsidR="004C429C" w:rsidRPr="00EA775E" w:rsidRDefault="004C429C" w:rsidP="005720B6">
            <w:pPr>
              <w:jc w:val="both"/>
            </w:pPr>
            <w:r w:rsidRPr="00EA775E">
              <w:rPr>
                <w:sz w:val="20"/>
              </w:rPr>
              <w:t>Návrh zákona nemá vplyv na žiadnu zo zraniteľných skupín obyvateľstva alebo skupín v riziku chudoby alebo sociálneho vylúčenia.</w:t>
            </w:r>
          </w:p>
        </w:tc>
      </w:tr>
      <w:tr w:rsidR="004C429C" w:rsidRPr="00EA775E" w:rsidTr="005720B6">
        <w:trPr>
          <w:trHeight w:val="557"/>
          <w:jc w:val="center"/>
        </w:trPr>
        <w:tc>
          <w:tcPr>
            <w:tcW w:w="5000" w:type="pct"/>
            <w:gridSpan w:val="3"/>
            <w:shd w:val="clear" w:color="auto" w:fill="D9D9D9"/>
          </w:tcPr>
          <w:p w:rsidR="004C429C" w:rsidRPr="00EA775E" w:rsidRDefault="004C429C" w:rsidP="005720B6">
            <w:pPr>
              <w:rPr>
                <w:b/>
              </w:rPr>
            </w:pPr>
            <w:r w:rsidRPr="00EA775E">
              <w:rPr>
                <w:b/>
              </w:rPr>
              <w:t>4.3 Identifikujte a popíšte vplyv na rovnosť príležitostí.</w:t>
            </w:r>
          </w:p>
          <w:p w:rsidR="004C429C" w:rsidRPr="00EA775E" w:rsidRDefault="004C429C" w:rsidP="005720B6">
            <w:pPr>
              <w:jc w:val="both"/>
              <w:rPr>
                <w:sz w:val="20"/>
              </w:rPr>
            </w:pPr>
            <w:r w:rsidRPr="00EA775E">
              <w:rPr>
                <w:b/>
              </w:rPr>
              <w:t>Identifikujte, popíšte a kvantifikujte vplyv na rodovú rovnosť.</w:t>
            </w:r>
          </w:p>
        </w:tc>
      </w:tr>
      <w:tr w:rsidR="004C429C" w:rsidRPr="00EA775E" w:rsidTr="005720B6">
        <w:trPr>
          <w:trHeight w:val="557"/>
          <w:jc w:val="center"/>
        </w:trPr>
        <w:tc>
          <w:tcPr>
            <w:tcW w:w="5000" w:type="pct"/>
            <w:gridSpan w:val="3"/>
            <w:shd w:val="clear" w:color="auto" w:fill="F2F2F2"/>
          </w:tcPr>
          <w:p w:rsidR="004C429C" w:rsidRPr="00EA775E" w:rsidRDefault="004C429C" w:rsidP="005720B6">
            <w:pPr>
              <w:jc w:val="both"/>
              <w:rPr>
                <w:sz w:val="20"/>
              </w:rPr>
            </w:pPr>
            <w:r w:rsidRPr="00EA775E">
              <w:rPr>
                <w:i/>
                <w:sz w:val="20"/>
              </w:rPr>
              <w:lastRenderedPageBreak/>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4C429C" w:rsidRPr="00EA775E" w:rsidTr="005720B6">
        <w:trPr>
          <w:trHeight w:val="288"/>
          <w:jc w:val="center"/>
        </w:trPr>
        <w:tc>
          <w:tcPr>
            <w:tcW w:w="5000" w:type="pct"/>
            <w:gridSpan w:val="3"/>
          </w:tcPr>
          <w:p w:rsidR="004C429C" w:rsidRPr="00EA775E" w:rsidRDefault="004C429C" w:rsidP="005720B6">
            <w:pPr>
              <w:jc w:val="both"/>
              <w:rPr>
                <w:sz w:val="20"/>
              </w:rPr>
            </w:pPr>
            <w:r w:rsidRPr="00EA775E">
              <w:rPr>
                <w:sz w:val="20"/>
              </w:rPr>
              <w:t>Návrh zákona dodržuje povinnosť rovnakého zaobchádzania.</w:t>
            </w:r>
          </w:p>
        </w:tc>
      </w:tr>
      <w:tr w:rsidR="004C429C" w:rsidRPr="00EA775E" w:rsidTr="005720B6">
        <w:trPr>
          <w:trHeight w:val="557"/>
          <w:jc w:val="center"/>
        </w:trPr>
        <w:tc>
          <w:tcPr>
            <w:tcW w:w="5000" w:type="pct"/>
            <w:gridSpan w:val="3"/>
            <w:shd w:val="clear" w:color="auto" w:fill="F2F2F2"/>
          </w:tcPr>
          <w:p w:rsidR="004C429C" w:rsidRPr="00EA775E" w:rsidRDefault="004C429C" w:rsidP="005720B6">
            <w:pPr>
              <w:jc w:val="both"/>
              <w:rPr>
                <w:sz w:val="20"/>
              </w:rPr>
            </w:pPr>
            <w:r w:rsidRPr="00EA775E">
              <w:rPr>
                <w:i/>
                <w:sz w:val="20"/>
                <w:szCs w:val="20"/>
              </w:rPr>
              <w:t>Môže mať návrh odlišný vplyv na ženy a mužov? Podporuje návrh rovnosť medzi ženami a mužmi alebo naopak bude viesť k zväčšovaniu rodových nerovností? Popíšte vplyvy.</w:t>
            </w:r>
          </w:p>
        </w:tc>
      </w:tr>
      <w:tr w:rsidR="004C429C" w:rsidRPr="00EA775E" w:rsidTr="005720B6">
        <w:trPr>
          <w:trHeight w:val="557"/>
          <w:jc w:val="center"/>
        </w:trPr>
        <w:tc>
          <w:tcPr>
            <w:tcW w:w="1993" w:type="pct"/>
          </w:tcPr>
          <w:p w:rsidR="004C429C" w:rsidRPr="00EA775E" w:rsidRDefault="004C429C" w:rsidP="005720B6">
            <w:pPr>
              <w:jc w:val="both"/>
              <w:rPr>
                <w:i/>
                <w:sz w:val="18"/>
                <w:szCs w:val="18"/>
              </w:rPr>
            </w:pPr>
            <w:r w:rsidRPr="00EA775E">
              <w:rPr>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4C429C" w:rsidRPr="00EA775E" w:rsidRDefault="004C429C" w:rsidP="004C429C">
            <w:pPr>
              <w:numPr>
                <w:ilvl w:val="0"/>
                <w:numId w:val="5"/>
              </w:numPr>
              <w:jc w:val="both"/>
              <w:rPr>
                <w:i/>
                <w:sz w:val="18"/>
                <w:szCs w:val="18"/>
              </w:rPr>
            </w:pPr>
            <w:r w:rsidRPr="00EA775E">
              <w:rPr>
                <w:i/>
                <w:sz w:val="18"/>
                <w:szCs w:val="18"/>
              </w:rPr>
              <w:t xml:space="preserve">podpora vyrovnávania ekonomickej nezávislosti, </w:t>
            </w:r>
          </w:p>
          <w:p w:rsidR="004C429C" w:rsidRPr="00EA775E" w:rsidRDefault="004C429C" w:rsidP="004C429C">
            <w:pPr>
              <w:numPr>
                <w:ilvl w:val="0"/>
                <w:numId w:val="5"/>
              </w:numPr>
              <w:jc w:val="both"/>
              <w:rPr>
                <w:i/>
                <w:sz w:val="18"/>
                <w:szCs w:val="18"/>
              </w:rPr>
            </w:pPr>
            <w:r w:rsidRPr="00EA775E">
              <w:rPr>
                <w:i/>
                <w:sz w:val="18"/>
                <w:szCs w:val="18"/>
              </w:rPr>
              <w:t xml:space="preserve">zosúladenie pracovného, súkromného a rodinného života, </w:t>
            </w:r>
          </w:p>
          <w:p w:rsidR="004C429C" w:rsidRPr="00EA775E" w:rsidRDefault="004C429C" w:rsidP="004C429C">
            <w:pPr>
              <w:numPr>
                <w:ilvl w:val="0"/>
                <w:numId w:val="5"/>
              </w:numPr>
              <w:jc w:val="both"/>
              <w:rPr>
                <w:i/>
                <w:sz w:val="18"/>
                <w:szCs w:val="18"/>
              </w:rPr>
            </w:pPr>
            <w:r w:rsidRPr="00EA775E">
              <w:rPr>
                <w:i/>
                <w:sz w:val="18"/>
                <w:szCs w:val="18"/>
              </w:rPr>
              <w:t xml:space="preserve">podpora rovnej participácie na rozhodovaní, </w:t>
            </w:r>
          </w:p>
          <w:p w:rsidR="004C429C" w:rsidRPr="00EA775E" w:rsidRDefault="004C429C" w:rsidP="004C429C">
            <w:pPr>
              <w:numPr>
                <w:ilvl w:val="0"/>
                <w:numId w:val="5"/>
              </w:numPr>
              <w:jc w:val="both"/>
              <w:rPr>
                <w:i/>
                <w:sz w:val="18"/>
                <w:szCs w:val="18"/>
              </w:rPr>
            </w:pPr>
            <w:r w:rsidRPr="00EA775E">
              <w:rPr>
                <w:i/>
                <w:sz w:val="18"/>
                <w:szCs w:val="18"/>
              </w:rPr>
              <w:t xml:space="preserve">boj proti rodovo podmienenému násiliu a obchodovaniu s ľuďmi, </w:t>
            </w:r>
          </w:p>
          <w:p w:rsidR="004C429C" w:rsidRPr="00EA775E" w:rsidRDefault="004C429C" w:rsidP="004C429C">
            <w:pPr>
              <w:numPr>
                <w:ilvl w:val="0"/>
                <w:numId w:val="5"/>
              </w:numPr>
              <w:jc w:val="both"/>
              <w:rPr>
                <w:i/>
                <w:sz w:val="18"/>
                <w:szCs w:val="18"/>
              </w:rPr>
            </w:pPr>
            <w:r w:rsidRPr="00EA775E">
              <w:rPr>
                <w:i/>
                <w:sz w:val="18"/>
                <w:szCs w:val="18"/>
              </w:rPr>
              <w:t>eliminácia rodových stereotypov.</w:t>
            </w:r>
          </w:p>
        </w:tc>
        <w:tc>
          <w:tcPr>
            <w:tcW w:w="3007" w:type="pct"/>
            <w:gridSpan w:val="2"/>
          </w:tcPr>
          <w:p w:rsidR="004C429C" w:rsidRPr="00EA775E" w:rsidRDefault="004C429C" w:rsidP="005720B6">
            <w:pPr>
              <w:jc w:val="both"/>
              <w:rPr>
                <w:sz w:val="20"/>
              </w:rPr>
            </w:pPr>
            <w:r w:rsidRPr="00EA775E">
              <w:rPr>
                <w:sz w:val="20"/>
              </w:rPr>
              <w:t>Návrh zákona nemá odlišný vplyv na ženy a mužov. Do vojenskej hodnosti môžu byť povýšené aj ženy, ak sú zaradené do aktívnych záloh a spĺňajú zákonom stanovené podmienky na povýšenie do vojenskej hodnosti.</w:t>
            </w:r>
          </w:p>
        </w:tc>
      </w:tr>
      <w:tr w:rsidR="004C429C" w:rsidRPr="00EA775E" w:rsidTr="005720B6">
        <w:trPr>
          <w:trHeight w:val="287"/>
          <w:jc w:val="center"/>
        </w:trPr>
        <w:tc>
          <w:tcPr>
            <w:tcW w:w="5000" w:type="pct"/>
            <w:gridSpan w:val="3"/>
            <w:shd w:val="clear" w:color="auto" w:fill="D9D9D9"/>
          </w:tcPr>
          <w:p w:rsidR="004C429C" w:rsidRPr="00EA775E" w:rsidRDefault="004C429C" w:rsidP="005720B6">
            <w:pPr>
              <w:rPr>
                <w:b/>
              </w:rPr>
            </w:pPr>
            <w:r w:rsidRPr="00EA775E">
              <w:rPr>
                <w:b/>
              </w:rPr>
              <w:t>4.4 Identifikujte, popíšte a kvantifikujte vplyvy na zamestnanosť a na trh práce.</w:t>
            </w:r>
          </w:p>
          <w:p w:rsidR="004C429C" w:rsidRPr="00EA775E" w:rsidRDefault="004C429C" w:rsidP="005720B6">
            <w:pPr>
              <w:rPr>
                <w:sz w:val="20"/>
                <w:szCs w:val="20"/>
              </w:rPr>
            </w:pPr>
            <w:r w:rsidRPr="00EA775E">
              <w:rPr>
                <w:i/>
              </w:rPr>
              <w:t xml:space="preserve">V prípade kladnej odpovede pripojte </w:t>
            </w:r>
            <w:r w:rsidRPr="00EA775E">
              <w:rPr>
                <w:b/>
                <w:i/>
              </w:rPr>
              <w:t>odôvodnenie</w:t>
            </w:r>
            <w:r w:rsidRPr="00EA775E">
              <w:rPr>
                <w:i/>
              </w:rPr>
              <w:t xml:space="preserve"> v súlade s Metodickým postupom pre analýzu sociálnych vplyvov.</w:t>
            </w:r>
          </w:p>
        </w:tc>
      </w:tr>
      <w:tr w:rsidR="004C429C" w:rsidRPr="00EA775E" w:rsidTr="005720B6">
        <w:trPr>
          <w:trHeight w:val="287"/>
          <w:jc w:val="center"/>
        </w:trPr>
        <w:tc>
          <w:tcPr>
            <w:tcW w:w="5000" w:type="pct"/>
            <w:gridSpan w:val="3"/>
            <w:shd w:val="clear" w:color="auto" w:fill="F2F2F2"/>
          </w:tcPr>
          <w:p w:rsidR="004C429C" w:rsidRPr="00EA775E" w:rsidRDefault="004C429C" w:rsidP="005720B6">
            <w:pPr>
              <w:rPr>
                <w:i/>
                <w:sz w:val="20"/>
                <w:szCs w:val="20"/>
              </w:rPr>
            </w:pPr>
            <w:r w:rsidRPr="00EA775E">
              <w:rPr>
                <w:i/>
                <w:sz w:val="20"/>
                <w:szCs w:val="20"/>
              </w:rPr>
              <w:t>Uľahčuje návrh vznik nových pracovných miest? Ak áno, ako? Ak je to možné, doplňte kvantifikáciu.</w:t>
            </w:r>
          </w:p>
        </w:tc>
      </w:tr>
      <w:tr w:rsidR="004C429C" w:rsidRPr="00EA775E" w:rsidTr="005720B6">
        <w:trPr>
          <w:trHeight w:val="567"/>
          <w:jc w:val="center"/>
        </w:trPr>
        <w:tc>
          <w:tcPr>
            <w:tcW w:w="1993" w:type="pct"/>
            <w:tcBorders>
              <w:top w:val="nil"/>
            </w:tcBorders>
            <w:shd w:val="clear" w:color="auto" w:fill="FFFFFF"/>
          </w:tcPr>
          <w:p w:rsidR="004C429C" w:rsidRPr="00EA775E" w:rsidRDefault="004C429C" w:rsidP="005720B6">
            <w:pPr>
              <w:rPr>
                <w:i/>
                <w:sz w:val="18"/>
                <w:szCs w:val="18"/>
              </w:rPr>
            </w:pPr>
            <w:r w:rsidRPr="00EA775E">
              <w:rPr>
                <w:i/>
                <w:sz w:val="18"/>
                <w:szCs w:val="18"/>
              </w:rPr>
              <w:t xml:space="preserve">Identifikujte, v ktorých sektoroch a odvetviach ekonomiky, v ktorých regiónoch, pre aké skupiny zamestnancov, o aké typy zamestnania /pracovných úväzkov pôjde a pod. </w:t>
            </w:r>
          </w:p>
        </w:tc>
        <w:tc>
          <w:tcPr>
            <w:tcW w:w="3007" w:type="pct"/>
            <w:gridSpan w:val="2"/>
            <w:tcBorders>
              <w:top w:val="nil"/>
            </w:tcBorders>
            <w:shd w:val="clear" w:color="auto" w:fill="FFFFFF"/>
          </w:tcPr>
          <w:p w:rsidR="004C429C" w:rsidRPr="00EA775E" w:rsidRDefault="004C429C" w:rsidP="005720B6">
            <w:pPr>
              <w:contextualSpacing/>
              <w:jc w:val="both"/>
              <w:rPr>
                <w:sz w:val="20"/>
                <w:szCs w:val="18"/>
                <w:highlight w:val="yellow"/>
              </w:rPr>
            </w:pPr>
            <w:r w:rsidRPr="00EA775E">
              <w:rPr>
                <w:sz w:val="20"/>
                <w:szCs w:val="18"/>
              </w:rPr>
              <w:t>Návrh zákona nemá vplyv na vznik nových pracovných miest.</w:t>
            </w:r>
          </w:p>
        </w:tc>
      </w:tr>
      <w:tr w:rsidR="004C429C" w:rsidRPr="00EA775E" w:rsidTr="005720B6">
        <w:trPr>
          <w:trHeight w:val="270"/>
          <w:jc w:val="center"/>
        </w:trPr>
        <w:tc>
          <w:tcPr>
            <w:tcW w:w="5000" w:type="pct"/>
            <w:gridSpan w:val="3"/>
            <w:shd w:val="clear" w:color="auto" w:fill="F2F2F2"/>
          </w:tcPr>
          <w:p w:rsidR="004C429C" w:rsidRPr="00EA775E" w:rsidRDefault="004C429C" w:rsidP="005720B6">
            <w:pPr>
              <w:rPr>
                <w:i/>
                <w:sz w:val="20"/>
                <w:szCs w:val="20"/>
              </w:rPr>
            </w:pPr>
            <w:r w:rsidRPr="00EA775E">
              <w:rPr>
                <w:i/>
                <w:sz w:val="20"/>
                <w:szCs w:val="20"/>
              </w:rPr>
              <w:t>Vedie návrh k zániku pracovných miest?</w:t>
            </w:r>
            <w:r w:rsidRPr="00EA775E">
              <w:rPr>
                <w:sz w:val="20"/>
                <w:szCs w:val="20"/>
              </w:rPr>
              <w:t xml:space="preserve"> </w:t>
            </w:r>
            <w:r w:rsidRPr="00EA775E">
              <w:rPr>
                <w:i/>
                <w:sz w:val="20"/>
                <w:szCs w:val="20"/>
              </w:rPr>
              <w:t>Ak áno, ako a akých? Ak je to možné, doplňte kvantifikáciu.</w:t>
            </w:r>
          </w:p>
        </w:tc>
      </w:tr>
      <w:tr w:rsidR="004C429C" w:rsidRPr="00EA775E" w:rsidTr="005720B6">
        <w:trPr>
          <w:trHeight w:val="454"/>
          <w:jc w:val="center"/>
        </w:trPr>
        <w:tc>
          <w:tcPr>
            <w:tcW w:w="1993" w:type="pct"/>
            <w:shd w:val="clear" w:color="auto" w:fill="FFFFFF"/>
          </w:tcPr>
          <w:p w:rsidR="004C429C" w:rsidRPr="00EA775E" w:rsidRDefault="004C429C" w:rsidP="005720B6">
            <w:pPr>
              <w:rPr>
                <w:i/>
                <w:sz w:val="18"/>
                <w:szCs w:val="18"/>
              </w:rPr>
            </w:pPr>
            <w:r w:rsidRPr="00EA775E">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gridSpan w:val="2"/>
            <w:shd w:val="clear" w:color="auto" w:fill="FFFFFF"/>
          </w:tcPr>
          <w:p w:rsidR="004C429C" w:rsidRPr="00EA775E" w:rsidRDefault="004C429C" w:rsidP="005720B6">
            <w:pPr>
              <w:rPr>
                <w:sz w:val="20"/>
                <w:szCs w:val="18"/>
              </w:rPr>
            </w:pPr>
            <w:r w:rsidRPr="00EA775E">
              <w:rPr>
                <w:sz w:val="20"/>
                <w:szCs w:val="18"/>
              </w:rPr>
              <w:t>Návrh zákona nevedie k zániku pracovných miest.</w:t>
            </w:r>
          </w:p>
          <w:p w:rsidR="004C429C" w:rsidRPr="00EA775E" w:rsidRDefault="004C429C" w:rsidP="005720B6">
            <w:pPr>
              <w:rPr>
                <w:sz w:val="20"/>
                <w:szCs w:val="18"/>
              </w:rPr>
            </w:pPr>
          </w:p>
        </w:tc>
      </w:tr>
      <w:tr w:rsidR="004C429C" w:rsidRPr="00EA775E" w:rsidTr="005720B6">
        <w:trPr>
          <w:trHeight w:val="248"/>
          <w:jc w:val="center"/>
        </w:trPr>
        <w:tc>
          <w:tcPr>
            <w:tcW w:w="5000" w:type="pct"/>
            <w:gridSpan w:val="3"/>
            <w:shd w:val="clear" w:color="auto" w:fill="F2F2F2"/>
          </w:tcPr>
          <w:p w:rsidR="004C429C" w:rsidRPr="00EA775E" w:rsidRDefault="004C429C" w:rsidP="005720B6">
            <w:pPr>
              <w:jc w:val="both"/>
              <w:rPr>
                <w:sz w:val="20"/>
                <w:szCs w:val="20"/>
              </w:rPr>
            </w:pPr>
            <w:r w:rsidRPr="00EA775E">
              <w:rPr>
                <w:i/>
                <w:sz w:val="20"/>
                <w:szCs w:val="20"/>
              </w:rPr>
              <w:t>Ovplyvňuje návrh dopyt po práci?</w:t>
            </w:r>
            <w:r w:rsidRPr="00EA775E">
              <w:rPr>
                <w:sz w:val="20"/>
                <w:szCs w:val="20"/>
              </w:rPr>
              <w:t xml:space="preserve"> </w:t>
            </w:r>
            <w:r w:rsidRPr="00EA775E">
              <w:rPr>
                <w:i/>
                <w:sz w:val="20"/>
                <w:szCs w:val="20"/>
              </w:rPr>
              <w:t>Ak áno, ako?</w:t>
            </w:r>
          </w:p>
        </w:tc>
      </w:tr>
      <w:tr w:rsidR="004C429C" w:rsidRPr="00EA775E" w:rsidTr="005720B6">
        <w:trPr>
          <w:trHeight w:val="209"/>
          <w:jc w:val="center"/>
        </w:trPr>
        <w:tc>
          <w:tcPr>
            <w:tcW w:w="1993" w:type="pct"/>
            <w:shd w:val="clear" w:color="auto" w:fill="FFFFFF"/>
          </w:tcPr>
          <w:p w:rsidR="004C429C" w:rsidRPr="00EA775E" w:rsidRDefault="004C429C" w:rsidP="005720B6">
            <w:pPr>
              <w:rPr>
                <w:i/>
                <w:sz w:val="18"/>
                <w:szCs w:val="18"/>
              </w:rPr>
            </w:pPr>
            <w:r w:rsidRPr="00EA775E">
              <w:rPr>
                <w:i/>
                <w:sz w:val="18"/>
                <w:szCs w:val="18"/>
              </w:rPr>
              <w:t>Dopyt po práci závisí na jednej strane na produkcii tovarov a služieb v ekonomike a na druhej strane na cene práce.</w:t>
            </w:r>
          </w:p>
        </w:tc>
        <w:tc>
          <w:tcPr>
            <w:tcW w:w="3007" w:type="pct"/>
            <w:gridSpan w:val="2"/>
            <w:shd w:val="clear" w:color="auto" w:fill="FFFFFF"/>
          </w:tcPr>
          <w:p w:rsidR="004C429C" w:rsidRPr="00EA775E" w:rsidRDefault="004C429C" w:rsidP="005720B6">
            <w:pPr>
              <w:jc w:val="both"/>
              <w:rPr>
                <w:sz w:val="20"/>
                <w:szCs w:val="18"/>
              </w:rPr>
            </w:pPr>
            <w:r w:rsidRPr="00EA775E">
              <w:rPr>
                <w:sz w:val="20"/>
                <w:szCs w:val="18"/>
              </w:rPr>
              <w:t>Návrh zákona neovplyvňuje dopyt po práci.</w:t>
            </w:r>
          </w:p>
        </w:tc>
      </w:tr>
      <w:tr w:rsidR="004C429C" w:rsidRPr="00EA775E" w:rsidTr="005720B6">
        <w:trPr>
          <w:trHeight w:val="208"/>
          <w:jc w:val="center"/>
        </w:trPr>
        <w:tc>
          <w:tcPr>
            <w:tcW w:w="5000" w:type="pct"/>
            <w:gridSpan w:val="3"/>
            <w:shd w:val="clear" w:color="auto" w:fill="F2F2F2"/>
          </w:tcPr>
          <w:p w:rsidR="004C429C" w:rsidRPr="00EA775E" w:rsidRDefault="004C429C" w:rsidP="005720B6">
            <w:pPr>
              <w:rPr>
                <w:sz w:val="20"/>
                <w:szCs w:val="20"/>
              </w:rPr>
            </w:pPr>
            <w:r w:rsidRPr="00EA775E">
              <w:rPr>
                <w:i/>
                <w:sz w:val="20"/>
                <w:szCs w:val="20"/>
              </w:rPr>
              <w:t>Má návrh dosah na fungovanie trhu práce?</w:t>
            </w:r>
            <w:r w:rsidRPr="00EA775E">
              <w:rPr>
                <w:sz w:val="20"/>
                <w:szCs w:val="20"/>
              </w:rPr>
              <w:t xml:space="preserve"> </w:t>
            </w:r>
            <w:r w:rsidRPr="00EA775E">
              <w:rPr>
                <w:i/>
                <w:sz w:val="20"/>
                <w:szCs w:val="20"/>
              </w:rPr>
              <w:t>Ak áno, aký?</w:t>
            </w:r>
          </w:p>
        </w:tc>
      </w:tr>
      <w:tr w:rsidR="004C429C" w:rsidRPr="00EA775E" w:rsidTr="005720B6">
        <w:trPr>
          <w:trHeight w:val="794"/>
          <w:jc w:val="center"/>
        </w:trPr>
        <w:tc>
          <w:tcPr>
            <w:tcW w:w="1993" w:type="pct"/>
            <w:shd w:val="clear" w:color="auto" w:fill="FFFFFF"/>
          </w:tcPr>
          <w:p w:rsidR="004C429C" w:rsidRPr="00EA775E" w:rsidRDefault="004C429C" w:rsidP="005720B6">
            <w:pPr>
              <w:rPr>
                <w:i/>
                <w:sz w:val="18"/>
                <w:szCs w:val="18"/>
              </w:rPr>
            </w:pPr>
            <w:r w:rsidRPr="00EA775E">
              <w:rPr>
                <w:i/>
                <w:sz w:val="18"/>
                <w:szCs w:val="18"/>
              </w:rPr>
              <w:t>Týka sa makroekonomických dosahov ako je napr. participácia na trhu práce, dlhodobá nezamestnanosť, regionálne rozdiely v mierach zamestnanosti.</w:t>
            </w:r>
            <w:r w:rsidRPr="00EA775E">
              <w:rPr>
                <w:sz w:val="18"/>
                <w:szCs w:val="18"/>
              </w:rPr>
              <w:t xml:space="preserve"> </w:t>
            </w:r>
            <w:r w:rsidRPr="00EA775E">
              <w:rPr>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gridSpan w:val="2"/>
            <w:shd w:val="clear" w:color="auto" w:fill="FFFFFF"/>
          </w:tcPr>
          <w:p w:rsidR="004C429C" w:rsidRPr="00EA775E" w:rsidRDefault="004C429C" w:rsidP="005720B6">
            <w:pPr>
              <w:jc w:val="both"/>
              <w:rPr>
                <w:sz w:val="20"/>
                <w:szCs w:val="18"/>
              </w:rPr>
            </w:pPr>
            <w:r w:rsidRPr="00EA775E">
              <w:rPr>
                <w:sz w:val="20"/>
                <w:szCs w:val="18"/>
              </w:rPr>
              <w:t>Návrh zákona nemá dosah na trh práce.</w:t>
            </w:r>
          </w:p>
        </w:tc>
      </w:tr>
      <w:tr w:rsidR="004C429C" w:rsidRPr="00EA775E" w:rsidTr="005720B6">
        <w:trPr>
          <w:trHeight w:val="324"/>
          <w:jc w:val="center"/>
        </w:trPr>
        <w:tc>
          <w:tcPr>
            <w:tcW w:w="5000" w:type="pct"/>
            <w:gridSpan w:val="3"/>
            <w:shd w:val="clear" w:color="auto" w:fill="F2F2F2"/>
          </w:tcPr>
          <w:p w:rsidR="004C429C" w:rsidRPr="00EA775E" w:rsidRDefault="004C429C" w:rsidP="005720B6">
            <w:pPr>
              <w:rPr>
                <w:sz w:val="20"/>
                <w:szCs w:val="20"/>
              </w:rPr>
            </w:pPr>
            <w:r w:rsidRPr="00EA775E">
              <w:rPr>
                <w:i/>
                <w:sz w:val="20"/>
                <w:szCs w:val="20"/>
              </w:rPr>
              <w:t>Má návrh špecifické negatívne dôsledky pre isté skupiny profesií, skupín zamestnancov či živnostníkov?</w:t>
            </w:r>
            <w:r w:rsidRPr="00EA775E">
              <w:rPr>
                <w:sz w:val="20"/>
                <w:szCs w:val="20"/>
              </w:rPr>
              <w:t xml:space="preserve"> </w:t>
            </w:r>
            <w:r w:rsidRPr="00EA775E">
              <w:rPr>
                <w:i/>
                <w:sz w:val="20"/>
                <w:szCs w:val="20"/>
              </w:rPr>
              <w:t>Ak áno, aké a pre ktoré skupiny?</w:t>
            </w:r>
          </w:p>
        </w:tc>
      </w:tr>
      <w:tr w:rsidR="004C429C" w:rsidRPr="00EA775E" w:rsidTr="005720B6">
        <w:trPr>
          <w:trHeight w:val="216"/>
          <w:jc w:val="center"/>
        </w:trPr>
        <w:tc>
          <w:tcPr>
            <w:tcW w:w="1993" w:type="pct"/>
            <w:shd w:val="clear" w:color="auto" w:fill="FFFFFF"/>
          </w:tcPr>
          <w:p w:rsidR="004C429C" w:rsidRPr="00EA775E" w:rsidRDefault="004C429C" w:rsidP="005720B6">
            <w:pPr>
              <w:rPr>
                <w:i/>
                <w:sz w:val="18"/>
                <w:szCs w:val="18"/>
              </w:rPr>
            </w:pPr>
            <w:r w:rsidRPr="00EA775E">
              <w:rPr>
                <w:i/>
                <w:sz w:val="18"/>
                <w:szCs w:val="18"/>
              </w:rPr>
              <w:t>Návrh môže ohrozovať napr. pracovníkov istých profesií favorizovaním špecifických aktivít či technológií.</w:t>
            </w:r>
          </w:p>
        </w:tc>
        <w:tc>
          <w:tcPr>
            <w:tcW w:w="3007" w:type="pct"/>
            <w:gridSpan w:val="2"/>
            <w:shd w:val="clear" w:color="auto" w:fill="FFFFFF"/>
          </w:tcPr>
          <w:p w:rsidR="004C429C" w:rsidRPr="00EA775E" w:rsidRDefault="004C429C" w:rsidP="005720B6">
            <w:pPr>
              <w:jc w:val="both"/>
              <w:rPr>
                <w:sz w:val="20"/>
                <w:szCs w:val="18"/>
              </w:rPr>
            </w:pPr>
            <w:r w:rsidRPr="00EA775E">
              <w:rPr>
                <w:sz w:val="20"/>
                <w:szCs w:val="18"/>
              </w:rPr>
              <w:t>Návrh zákona nemá špecifické negatívne dôsledky.</w:t>
            </w:r>
          </w:p>
        </w:tc>
      </w:tr>
      <w:tr w:rsidR="004C429C" w:rsidRPr="00EA775E" w:rsidTr="005720B6">
        <w:trPr>
          <w:trHeight w:val="219"/>
          <w:jc w:val="center"/>
        </w:trPr>
        <w:tc>
          <w:tcPr>
            <w:tcW w:w="5000" w:type="pct"/>
            <w:gridSpan w:val="3"/>
            <w:shd w:val="clear" w:color="auto" w:fill="F2F2F2"/>
          </w:tcPr>
          <w:p w:rsidR="004C429C" w:rsidRPr="00EA775E" w:rsidRDefault="004C429C" w:rsidP="005720B6">
            <w:pPr>
              <w:rPr>
                <w:sz w:val="20"/>
                <w:szCs w:val="20"/>
              </w:rPr>
            </w:pPr>
            <w:r w:rsidRPr="00EA775E">
              <w:rPr>
                <w:i/>
                <w:sz w:val="20"/>
                <w:szCs w:val="20"/>
              </w:rPr>
              <w:t>Ovplyvňuje návrh špecifické vekové skupiny zamestnancov? Ak áno, aké? Akým spôsobom?</w:t>
            </w:r>
          </w:p>
        </w:tc>
      </w:tr>
      <w:tr w:rsidR="004C429C" w:rsidRPr="00EA775E" w:rsidTr="005720B6">
        <w:trPr>
          <w:trHeight w:val="497"/>
          <w:jc w:val="center"/>
        </w:trPr>
        <w:tc>
          <w:tcPr>
            <w:tcW w:w="1993" w:type="pct"/>
            <w:shd w:val="clear" w:color="auto" w:fill="FFFFFF"/>
          </w:tcPr>
          <w:p w:rsidR="004C429C" w:rsidRPr="00EA775E" w:rsidRDefault="004C429C" w:rsidP="005720B6">
            <w:pPr>
              <w:rPr>
                <w:i/>
                <w:sz w:val="18"/>
                <w:szCs w:val="18"/>
              </w:rPr>
            </w:pPr>
            <w:r w:rsidRPr="00EA775E">
              <w:rPr>
                <w:i/>
                <w:sz w:val="18"/>
                <w:szCs w:val="18"/>
              </w:rPr>
              <w:lastRenderedPageBreak/>
              <w:t>Identifikujte, či návrh môže ovplyvniť rozhodnutia zamestnancov alebo zamestnávateľov a môže byť zdrojom neskoršieho vstupu na trh práce alebo predčasného odchodu z trhu práce jednotlivcov.“</w:t>
            </w:r>
          </w:p>
        </w:tc>
        <w:tc>
          <w:tcPr>
            <w:tcW w:w="3007" w:type="pct"/>
            <w:gridSpan w:val="2"/>
            <w:shd w:val="clear" w:color="auto" w:fill="FFFFFF"/>
          </w:tcPr>
          <w:p w:rsidR="004C429C" w:rsidRPr="00EA775E" w:rsidRDefault="004C429C" w:rsidP="005720B6">
            <w:pPr>
              <w:jc w:val="both"/>
              <w:rPr>
                <w:sz w:val="20"/>
                <w:szCs w:val="18"/>
                <w:highlight w:val="yellow"/>
              </w:rPr>
            </w:pPr>
            <w:r w:rsidRPr="00EA775E">
              <w:rPr>
                <w:sz w:val="20"/>
                <w:szCs w:val="18"/>
              </w:rPr>
              <w:t>Neovplyvňuje.</w:t>
            </w:r>
          </w:p>
        </w:tc>
      </w:tr>
    </w:tbl>
    <w:p w:rsidR="004C429C" w:rsidRPr="00EA775E" w:rsidRDefault="004C429C" w:rsidP="004C429C">
      <w:pPr>
        <w:spacing w:after="200" w:line="276" w:lineRule="auto"/>
      </w:pPr>
    </w:p>
    <w:p w:rsidR="004C429C" w:rsidRPr="002114BF" w:rsidRDefault="004C429C" w:rsidP="004C429C"/>
    <w:p w:rsidR="004C429C" w:rsidRPr="00EA775E" w:rsidRDefault="004C429C" w:rsidP="004C429C"/>
    <w:p w:rsidR="008E48FB" w:rsidRDefault="008E48FB"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Pr="00EA775E" w:rsidRDefault="004C429C" w:rsidP="004C429C">
      <w:pPr>
        <w:widowControl w:val="0"/>
        <w:adjustRightInd w:val="0"/>
        <w:jc w:val="center"/>
        <w:rPr>
          <w:b/>
        </w:rPr>
      </w:pPr>
      <w:r w:rsidRPr="00EA775E">
        <w:rPr>
          <w:b/>
        </w:rPr>
        <w:lastRenderedPageBreak/>
        <w:t>DOLOŽKA ZLUČITEĽNOSTI</w:t>
      </w:r>
    </w:p>
    <w:p w:rsidR="004C429C" w:rsidRPr="00EA775E" w:rsidRDefault="004C429C" w:rsidP="004C429C">
      <w:pPr>
        <w:widowControl w:val="0"/>
        <w:adjustRightInd w:val="0"/>
        <w:jc w:val="center"/>
        <w:rPr>
          <w:b/>
        </w:rPr>
      </w:pPr>
      <w:r w:rsidRPr="00EA775E">
        <w:rPr>
          <w:b/>
        </w:rPr>
        <w:t>návrhu zákona s právom Európskej únie</w:t>
      </w:r>
    </w:p>
    <w:p w:rsidR="004C429C" w:rsidRPr="00EA775E" w:rsidRDefault="004C429C" w:rsidP="004C429C">
      <w:pPr>
        <w:jc w:val="both"/>
      </w:pPr>
    </w:p>
    <w:p w:rsidR="004C429C" w:rsidRPr="00EA775E" w:rsidRDefault="004C429C" w:rsidP="004C429C">
      <w:pPr>
        <w:numPr>
          <w:ilvl w:val="0"/>
          <w:numId w:val="6"/>
        </w:numPr>
        <w:ind w:left="567" w:hanging="567"/>
      </w:pPr>
      <w:r w:rsidRPr="00EA775E">
        <w:rPr>
          <w:b/>
        </w:rPr>
        <w:t xml:space="preserve">Navrhovateľ zákona: </w:t>
      </w:r>
      <w:r w:rsidRPr="00EA775E">
        <w:t>Ministerstvo obrany Slovenskej republiky</w:t>
      </w:r>
    </w:p>
    <w:p w:rsidR="004C429C" w:rsidRPr="00EA775E" w:rsidRDefault="004C429C" w:rsidP="004C429C">
      <w:pPr>
        <w:jc w:val="both"/>
      </w:pPr>
    </w:p>
    <w:p w:rsidR="004C429C" w:rsidRPr="00EA775E" w:rsidRDefault="004C429C" w:rsidP="004C429C">
      <w:pPr>
        <w:numPr>
          <w:ilvl w:val="0"/>
          <w:numId w:val="6"/>
        </w:numPr>
        <w:ind w:left="567" w:hanging="567"/>
        <w:jc w:val="both"/>
        <w:rPr>
          <w:strike/>
        </w:rPr>
      </w:pPr>
      <w:r w:rsidRPr="00EA775E">
        <w:rPr>
          <w:b/>
        </w:rPr>
        <w:t>Názov návrhu zákona:</w:t>
      </w:r>
      <w:r w:rsidRPr="00EA775E">
        <w:t xml:space="preserve"> Návrh zákona, </w:t>
      </w:r>
      <w:r w:rsidRPr="00EA775E">
        <w:rPr>
          <w:bCs/>
        </w:rPr>
        <w:t xml:space="preserve">ktorým sa mení </w:t>
      </w:r>
      <w:r w:rsidRPr="00EA775E">
        <w:t xml:space="preserve">a dopĺňa </w:t>
      </w:r>
      <w:r w:rsidRPr="00EA775E">
        <w:rPr>
          <w:bCs/>
        </w:rPr>
        <w:t xml:space="preserve">zákon č. 570/2005 Z. z. o brannej povinnosti a o zmene a doplnení niektorých zákonov v znení neskorších predpisov a ktorým sa dopĺňa </w:t>
      </w:r>
      <w:r w:rsidRPr="00EA775E">
        <w:t>zákon č. 463/2003 Z</w:t>
      </w:r>
      <w:r>
        <w:t>. z. o vojnových veteránoch a o </w:t>
      </w:r>
      <w:r w:rsidRPr="00EA775E">
        <w:t>doplnení zákona č. 328/2002 Z. z. o sociálnom zabez</w:t>
      </w:r>
      <w:r>
        <w:t>pečení policajtov a vojakov a o </w:t>
      </w:r>
      <w:r w:rsidRPr="00EA775E">
        <w:t xml:space="preserve">zmene a doplnení niektorých zákonov v znení neskorších predpisov v znení neskorších predpisov. </w:t>
      </w:r>
    </w:p>
    <w:p w:rsidR="004C429C" w:rsidRPr="00EA775E" w:rsidRDefault="004C429C" w:rsidP="004C429C">
      <w:pPr>
        <w:jc w:val="both"/>
      </w:pPr>
    </w:p>
    <w:p w:rsidR="004C429C" w:rsidRPr="00EA775E" w:rsidRDefault="004C429C" w:rsidP="004C429C">
      <w:pPr>
        <w:numPr>
          <w:ilvl w:val="0"/>
          <w:numId w:val="6"/>
        </w:numPr>
        <w:ind w:left="567" w:hanging="567"/>
        <w:rPr>
          <w:b/>
        </w:rPr>
      </w:pPr>
      <w:r w:rsidRPr="00EA775E">
        <w:rPr>
          <w:b/>
        </w:rPr>
        <w:t>Predmet návrhu zákona nie je upravený v práve Európskej únie:</w:t>
      </w:r>
    </w:p>
    <w:p w:rsidR="004C429C" w:rsidRPr="00EA775E" w:rsidRDefault="004C429C" w:rsidP="004C429C">
      <w:pPr>
        <w:numPr>
          <w:ilvl w:val="1"/>
          <w:numId w:val="6"/>
        </w:numPr>
        <w:ind w:left="1021" w:hanging="454"/>
      </w:pPr>
      <w:r w:rsidRPr="00EA775E">
        <w:t>v primárnom práve,</w:t>
      </w:r>
    </w:p>
    <w:p w:rsidR="004C429C" w:rsidRPr="00EA775E" w:rsidRDefault="004C429C" w:rsidP="004C429C">
      <w:pPr>
        <w:numPr>
          <w:ilvl w:val="1"/>
          <w:numId w:val="6"/>
        </w:numPr>
        <w:ind w:left="1021" w:hanging="454"/>
      </w:pPr>
      <w:r w:rsidRPr="00EA775E">
        <w:t>v sekundárnom práve,</w:t>
      </w:r>
    </w:p>
    <w:p w:rsidR="004C429C" w:rsidRPr="00EA775E" w:rsidRDefault="004C429C" w:rsidP="004C429C">
      <w:pPr>
        <w:numPr>
          <w:ilvl w:val="1"/>
          <w:numId w:val="6"/>
        </w:numPr>
        <w:ind w:left="1021" w:hanging="454"/>
      </w:pPr>
      <w:r w:rsidRPr="00EA775E">
        <w:t>v judikatúre Súdneho dvora Európskej únie.</w:t>
      </w:r>
    </w:p>
    <w:p w:rsidR="004C429C" w:rsidRPr="00EA775E" w:rsidRDefault="004C429C" w:rsidP="004C429C"/>
    <w:p w:rsidR="004C429C" w:rsidRPr="00EA775E" w:rsidRDefault="004C429C" w:rsidP="004C429C">
      <w:pPr>
        <w:jc w:val="both"/>
      </w:pPr>
    </w:p>
    <w:p w:rsidR="004C429C" w:rsidRPr="00EA775E" w:rsidRDefault="004C429C" w:rsidP="004C429C">
      <w:pPr>
        <w:jc w:val="both"/>
        <w:rPr>
          <w:b/>
        </w:rPr>
      </w:pPr>
      <w:r w:rsidRPr="00EA775E">
        <w:rPr>
          <w:b/>
        </w:rPr>
        <w:t>Vzhľadom na vnútroštátny charakter návrhu zákona body 4 a 5 sa nevypĺňajú.</w:t>
      </w:r>
    </w:p>
    <w:p w:rsidR="004C429C" w:rsidRPr="00EA775E" w:rsidRDefault="004C429C" w:rsidP="004C429C">
      <w:pPr>
        <w:jc w:val="center"/>
      </w:pPr>
    </w:p>
    <w:p w:rsidR="004C429C" w:rsidRPr="00EA775E" w:rsidRDefault="004C429C" w:rsidP="004C429C">
      <w:pPr>
        <w:jc w:val="center"/>
      </w:pPr>
    </w:p>
    <w:p w:rsidR="004C429C" w:rsidRPr="002A33DF" w:rsidRDefault="004C429C" w:rsidP="004C429C"/>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Default="004C429C" w:rsidP="00543B8E">
      <w:pPr>
        <w:pStyle w:val="Normlnywebov"/>
        <w:spacing w:before="0" w:beforeAutospacing="0" w:after="0" w:afterAutospacing="0"/>
        <w:rPr>
          <w:bCs/>
          <w:sz w:val="20"/>
          <w:szCs w:val="20"/>
        </w:rPr>
      </w:pPr>
    </w:p>
    <w:p w:rsidR="004C429C" w:rsidRPr="00EA775E" w:rsidRDefault="004C429C" w:rsidP="004C429C">
      <w:pPr>
        <w:rPr>
          <w:b/>
        </w:rPr>
      </w:pPr>
      <w:r w:rsidRPr="00EA775E">
        <w:rPr>
          <w:b/>
        </w:rPr>
        <w:lastRenderedPageBreak/>
        <w:t>B. Osobitná časť</w:t>
      </w:r>
    </w:p>
    <w:p w:rsidR="004C429C" w:rsidRPr="00EA775E" w:rsidRDefault="004C429C" w:rsidP="004C429C">
      <w:pPr>
        <w:jc w:val="both"/>
      </w:pPr>
    </w:p>
    <w:p w:rsidR="004C429C" w:rsidRPr="00EA775E" w:rsidRDefault="004C429C" w:rsidP="004C429C">
      <w:pPr>
        <w:jc w:val="both"/>
        <w:rPr>
          <w:b/>
          <w:bCs/>
        </w:rPr>
      </w:pPr>
      <w:r w:rsidRPr="00EA775E">
        <w:rPr>
          <w:b/>
          <w:bCs/>
        </w:rPr>
        <w:t>K čl. I</w:t>
      </w:r>
    </w:p>
    <w:p w:rsidR="004C429C" w:rsidRPr="00EA775E" w:rsidRDefault="004C429C" w:rsidP="004C429C">
      <w:pPr>
        <w:ind w:firstLine="709"/>
        <w:jc w:val="both"/>
        <w:rPr>
          <w:b/>
          <w:bCs/>
        </w:rPr>
      </w:pPr>
    </w:p>
    <w:p w:rsidR="004C429C" w:rsidRPr="00EA775E" w:rsidRDefault="004C429C" w:rsidP="004C429C">
      <w:pPr>
        <w:tabs>
          <w:tab w:val="left" w:pos="7815"/>
        </w:tabs>
        <w:jc w:val="both"/>
        <w:rPr>
          <w:b/>
        </w:rPr>
      </w:pPr>
      <w:r w:rsidRPr="00EA775E">
        <w:rPr>
          <w:b/>
        </w:rPr>
        <w:t>K bodu 1 (§ 14ca)</w:t>
      </w:r>
    </w:p>
    <w:p w:rsidR="004C429C" w:rsidRPr="00EA775E" w:rsidRDefault="004C429C" w:rsidP="004C429C">
      <w:pPr>
        <w:tabs>
          <w:tab w:val="left" w:pos="7815"/>
        </w:tabs>
        <w:ind w:firstLine="709"/>
        <w:jc w:val="both"/>
      </w:pPr>
      <w:r w:rsidRPr="00EA775E">
        <w:t>Vojaka v zálohe podľa platnej právnej úpravy možno mimoriadne vymenovať do vojenskej hodnosti alebo mimoriadne povýšiť do vojenskej hodnosti. Aplikačná prax ukázala potrebu zmeniť túto právnu úpravu tak, aby boli povyšovaní len vojaci v zálohe, ktorí sa aktívne zapájajú do procesu prípravy na výkon mimoriadnej služby.</w:t>
      </w:r>
    </w:p>
    <w:p w:rsidR="004C429C" w:rsidRPr="00EA775E" w:rsidRDefault="004C429C" w:rsidP="004C429C">
      <w:pPr>
        <w:tabs>
          <w:tab w:val="left" w:pos="7815"/>
        </w:tabs>
        <w:ind w:firstLine="709"/>
        <w:jc w:val="both"/>
      </w:pPr>
    </w:p>
    <w:p w:rsidR="004C429C" w:rsidRPr="00EA775E" w:rsidRDefault="004C429C" w:rsidP="004C429C">
      <w:pPr>
        <w:tabs>
          <w:tab w:val="left" w:pos="7815"/>
        </w:tabs>
        <w:ind w:firstLine="709"/>
        <w:jc w:val="both"/>
      </w:pPr>
      <w:r w:rsidRPr="00EA775E">
        <w:t>Zálohy ozbrojených síl sa členia na aktívne zálohy a ostatné zálohy.</w:t>
      </w:r>
    </w:p>
    <w:p w:rsidR="004C429C" w:rsidRPr="00EA775E" w:rsidRDefault="004C429C" w:rsidP="004C429C">
      <w:pPr>
        <w:autoSpaceDE w:val="0"/>
        <w:autoSpaceDN w:val="0"/>
        <w:adjustRightInd w:val="0"/>
        <w:ind w:firstLine="709"/>
        <w:jc w:val="both"/>
      </w:pPr>
    </w:p>
    <w:p w:rsidR="004C429C" w:rsidRPr="00EA775E" w:rsidRDefault="004C429C" w:rsidP="004C429C">
      <w:pPr>
        <w:autoSpaceDE w:val="0"/>
        <w:autoSpaceDN w:val="0"/>
        <w:adjustRightInd w:val="0"/>
        <w:ind w:firstLine="709"/>
        <w:jc w:val="both"/>
      </w:pPr>
      <w:r w:rsidRPr="00EA775E">
        <w:t>Vojak v zálohe zaradený do aktívnych záloh (ďalej len „vojak v aktívnej zálohe“) sa v stave bezpečnosti štátu na základe dohody o zaradení do aktívnych záloh dobrovoľne pripravuje na výkon mimoriadnej služby v ozbrojených silách. Po zaradení do aktívnych záloh vykonávaním  pravidelných cvičení a plnením úloh ozbrojených síl pri riešení mimoriadnych udalostí zvyšuje svoju vojenskú odbornosť na výkon mimoriadnej služby v ozbrojených silách. Vojak v ostatných zálohách v stave bezpečnosti štátu nezvyšuje svoju vojens</w:t>
      </w:r>
      <w:r>
        <w:t>kú odbornosť a </w:t>
      </w:r>
      <w:r w:rsidRPr="00EA775E">
        <w:t xml:space="preserve">nepripravuje sa na výkon mimoriadnej služby v ozbrojených silách. Vzhľadom na to, že vojenská hodnosť vojaka v zálohe vyjadruje jeho odborné schopnosti a pripravenosť na výkon činností zodpovedajúcich dosiahnutej vojenskej hodnosti, povýšením do vojenskej hodnosti vojaka v zálohe, ktorý nie je zaradený do aktívnych záloh, by vojenská hodnosť nemusela vyjadrovať úroveň jeho vojenskej odbornosti a pripravenosti na výkon mimoriadnej služby. </w:t>
      </w:r>
    </w:p>
    <w:p w:rsidR="004C429C" w:rsidRPr="00EA775E" w:rsidRDefault="004C429C" w:rsidP="004C429C">
      <w:pPr>
        <w:autoSpaceDE w:val="0"/>
        <w:autoSpaceDN w:val="0"/>
        <w:adjustRightInd w:val="0"/>
        <w:jc w:val="both"/>
      </w:pPr>
    </w:p>
    <w:p w:rsidR="004C429C" w:rsidRPr="00EA775E" w:rsidRDefault="004C429C" w:rsidP="004C429C">
      <w:pPr>
        <w:autoSpaceDE w:val="0"/>
        <w:autoSpaceDN w:val="0"/>
        <w:adjustRightInd w:val="0"/>
        <w:ind w:firstLine="709"/>
        <w:jc w:val="both"/>
      </w:pPr>
      <w:r w:rsidRPr="00EA775E">
        <w:t>Povýšenie vojaka v aktívnej zálohe predpokladá splnenie troch podmienok. Prvou podmienkou je zaradenie vojaka v aktívnej zálohe na funkciu s plánovanou vojenskou hodnosťou, do ktorej má byť povýšený. Druhou podmienkou je splnenie odborných predpokladov a kvalifikačných predpokladov  vojaka v aktívnej zálohe na výkon tejto funkcie a treťou podmienkou je doba jeho zaradenia do aktívnych záloh alebo doba od jeho posledného povýšenia počas zaradenia do aktívnych záloh a jeho vycvičenosť stanovená počtom absolvovaných pravidelných cvičení a plnení úloh ozbrojených síl.</w:t>
      </w:r>
    </w:p>
    <w:p w:rsidR="004C429C" w:rsidRPr="00EA775E" w:rsidRDefault="004C429C" w:rsidP="004C429C">
      <w:pPr>
        <w:autoSpaceDE w:val="0"/>
        <w:autoSpaceDN w:val="0"/>
        <w:adjustRightInd w:val="0"/>
        <w:ind w:firstLine="709"/>
        <w:jc w:val="both"/>
      </w:pPr>
    </w:p>
    <w:p w:rsidR="004C429C" w:rsidRPr="00EA775E" w:rsidRDefault="004C429C" w:rsidP="004C429C">
      <w:pPr>
        <w:autoSpaceDE w:val="0"/>
        <w:autoSpaceDN w:val="0"/>
        <w:adjustRightInd w:val="0"/>
        <w:ind w:firstLine="709"/>
        <w:jc w:val="both"/>
      </w:pPr>
      <w:r w:rsidRPr="00EA775E">
        <w:t>V odsekoch 2 a 3 sa upravujú oprávnenia funkcionárov pri povyšovaní vojakov v aktívnych zálohách a v odseku 4 sa upravuje aj možnosť povýšenia vojaka v aktívnej zálohe in memoriam.</w:t>
      </w:r>
    </w:p>
    <w:p w:rsidR="004C429C" w:rsidRPr="00EA775E" w:rsidRDefault="004C429C" w:rsidP="004C429C">
      <w:pPr>
        <w:autoSpaceDE w:val="0"/>
        <w:autoSpaceDN w:val="0"/>
        <w:adjustRightInd w:val="0"/>
        <w:ind w:firstLine="709"/>
        <w:jc w:val="both"/>
      </w:pPr>
    </w:p>
    <w:p w:rsidR="004C429C" w:rsidRPr="00EA775E" w:rsidRDefault="004C429C" w:rsidP="004C429C">
      <w:pPr>
        <w:autoSpaceDE w:val="0"/>
        <w:autoSpaceDN w:val="0"/>
        <w:adjustRightInd w:val="0"/>
        <w:ind w:firstLine="709"/>
        <w:jc w:val="both"/>
      </w:pPr>
      <w:r w:rsidRPr="00EA775E">
        <w:t xml:space="preserve">Obsahom služobného predpisu, ktorým sa upravia podrobnosti o povyšovaní vojaka v aktívnej zálohe, bude predovšetkým postup veliteľa pri povyšovaní vojaka v aktívnej zálohe ako aj rozsah a formy spolupráce s okresnými úradmi v sídlach krajov, ktoré vedú evidenciu vojakov v zálohe. </w:t>
      </w:r>
    </w:p>
    <w:p w:rsidR="004C429C" w:rsidRPr="00EA775E" w:rsidRDefault="004C429C" w:rsidP="004C429C">
      <w:pPr>
        <w:autoSpaceDE w:val="0"/>
        <w:autoSpaceDN w:val="0"/>
        <w:adjustRightInd w:val="0"/>
        <w:ind w:firstLine="709"/>
        <w:jc w:val="both"/>
      </w:pPr>
      <w:r w:rsidRPr="00EA775E">
        <w:t xml:space="preserve"> </w:t>
      </w:r>
    </w:p>
    <w:p w:rsidR="004C429C" w:rsidRPr="00EA775E" w:rsidRDefault="004C429C" w:rsidP="004C429C">
      <w:pPr>
        <w:tabs>
          <w:tab w:val="left" w:pos="7815"/>
        </w:tabs>
        <w:jc w:val="both"/>
        <w:rPr>
          <w:b/>
        </w:rPr>
      </w:pPr>
      <w:r w:rsidRPr="00EA775E">
        <w:rPr>
          <w:b/>
        </w:rPr>
        <w:t>K bodu 2 ( § 15</w:t>
      </w:r>
      <w:r>
        <w:rPr>
          <w:b/>
        </w:rPr>
        <w:t>b</w:t>
      </w:r>
      <w:r w:rsidRPr="00EA775E">
        <w:rPr>
          <w:b/>
        </w:rPr>
        <w:t xml:space="preserve"> ods. 1 a 5) </w:t>
      </w:r>
    </w:p>
    <w:p w:rsidR="004C429C" w:rsidRPr="00EA775E" w:rsidRDefault="004C429C" w:rsidP="004C429C">
      <w:pPr>
        <w:tabs>
          <w:tab w:val="left" w:pos="7815"/>
        </w:tabs>
        <w:ind w:firstLine="709"/>
        <w:jc w:val="both"/>
      </w:pPr>
      <w:r w:rsidRPr="00EA775E">
        <w:t>Legislatívno-technická úprava.</w:t>
      </w:r>
    </w:p>
    <w:p w:rsidR="004C429C" w:rsidRPr="00EA775E" w:rsidRDefault="004C429C" w:rsidP="004C429C">
      <w:pPr>
        <w:tabs>
          <w:tab w:val="left" w:pos="7815"/>
        </w:tabs>
        <w:jc w:val="both"/>
        <w:rPr>
          <w:b/>
        </w:rPr>
      </w:pPr>
    </w:p>
    <w:p w:rsidR="004C429C" w:rsidRPr="00EA775E" w:rsidRDefault="004C429C" w:rsidP="004C429C">
      <w:pPr>
        <w:tabs>
          <w:tab w:val="left" w:pos="7815"/>
        </w:tabs>
        <w:jc w:val="both"/>
      </w:pPr>
      <w:r w:rsidRPr="00EA775E">
        <w:rPr>
          <w:b/>
        </w:rPr>
        <w:t xml:space="preserve">K bodu 3 </w:t>
      </w:r>
      <w:r w:rsidRPr="00EA775E">
        <w:t xml:space="preserve">(§ 21 ods. 14  až 16) </w:t>
      </w:r>
      <w:r w:rsidRPr="00EA775E">
        <w:tab/>
      </w:r>
    </w:p>
    <w:p w:rsidR="004C429C" w:rsidRPr="00EA775E" w:rsidRDefault="004C429C" w:rsidP="004C429C">
      <w:pPr>
        <w:autoSpaceDE w:val="0"/>
        <w:autoSpaceDN w:val="0"/>
        <w:adjustRightInd w:val="0"/>
        <w:ind w:firstLine="709"/>
        <w:jc w:val="both"/>
      </w:pPr>
      <w:r w:rsidRPr="00EA775E">
        <w:t xml:space="preserve">V odseku 14 sa precizuje okruh osôb, ktoré môžu byť morálne ocenené vymenovaním do vojenskej hodnosti alebo povýšením do vojenskej hodnosti. Navrhuje sa, aby okrem profesionálneho vojaka, ktorý skončil služobný pomer, poberá výsluhový dôchodok a zanikla mu branná povinnosť, do okruhu takto oceňovaných osôb patril za rovnakých podmienok aj </w:t>
      </w:r>
      <w:r w:rsidRPr="00EA775E">
        <w:lastRenderedPageBreak/>
        <w:t>profesionálny vojak, ktorý poberá invalidný výsluhový dôchodok, nakoľko k poberaniu invalidného výsluhového dôchodku dochádza vo väčšine prípadov následkom služobného úrazu. Z okruhu osôb, ktoré môžu byť vymenované do vojenskej hodnosti alebo  povýšené do vojenskej hodnosti</w:t>
      </w:r>
      <w:r>
        <w:t>,</w:t>
      </w:r>
      <w:r w:rsidRPr="00EA775E">
        <w:t xml:space="preserve"> sa vzhľadom na sledovaný účel predmetného ocenenia a vzhľadom na navrhovanú úpravu v bode 1 – vloženie § 14ca vypúšťajú vojaci v zálohe. </w:t>
      </w:r>
    </w:p>
    <w:p w:rsidR="004C429C" w:rsidRPr="00EA775E" w:rsidRDefault="004C429C" w:rsidP="004C429C">
      <w:pPr>
        <w:autoSpaceDE w:val="0"/>
        <w:autoSpaceDN w:val="0"/>
        <w:adjustRightInd w:val="0"/>
        <w:ind w:firstLine="709"/>
        <w:jc w:val="both"/>
      </w:pPr>
    </w:p>
    <w:p w:rsidR="004C429C" w:rsidRPr="00EA775E" w:rsidRDefault="004C429C" w:rsidP="004C429C">
      <w:pPr>
        <w:autoSpaceDE w:val="0"/>
        <w:autoSpaceDN w:val="0"/>
        <w:adjustRightInd w:val="0"/>
        <w:ind w:firstLine="709"/>
        <w:jc w:val="both"/>
      </w:pPr>
      <w:r w:rsidRPr="00EA775E">
        <w:t>Aplikačná prax ukázala potrebu precizovať okruh vojakov vo výslužbe, ktorí môžu byť morálne ocenení vymenovaním do vojenskej hodnosti alebo povýšením do vojenskej hodnosti aj v súvislosti s vykonávaním funkcie verejného funkcionára. Vojenská hodnosť sa stala súčasťou odmeny za výkon verejnej funkcie a</w:t>
      </w:r>
      <w:r>
        <w:t xml:space="preserve"> za </w:t>
      </w:r>
      <w:r w:rsidRPr="00EA775E">
        <w:t>presadzovanie politických záujmov</w:t>
      </w:r>
      <w:r>
        <w:t>,</w:t>
      </w:r>
      <w:r w:rsidRPr="00EA775E">
        <w:t xml:space="preserve"> čím sa stratil jej pôvodný význam. Povyšovanie vojaka v zálohe alebo vojaka vo výslužbe na základe politickej príslušnosti alebo v súvislosti s výkonom verejnej funkcie nie je v súlade so zásadou rovnakého zaobchádzania a môže negatívne vplývať na  profesionálnych vojakov a voja</w:t>
      </w:r>
      <w:r>
        <w:t>kov v zálohe a poškodzovať dobré</w:t>
      </w:r>
      <w:r w:rsidRPr="00EA775E">
        <w:t xml:space="preserve"> meno ozbrojených síl.     </w:t>
      </w:r>
    </w:p>
    <w:p w:rsidR="004C429C" w:rsidRDefault="004C429C" w:rsidP="004C429C">
      <w:pPr>
        <w:autoSpaceDE w:val="0"/>
        <w:autoSpaceDN w:val="0"/>
        <w:adjustRightInd w:val="0"/>
        <w:ind w:firstLine="708"/>
        <w:jc w:val="both"/>
      </w:pPr>
    </w:p>
    <w:p w:rsidR="004C429C" w:rsidRPr="00EA775E" w:rsidRDefault="004C429C" w:rsidP="004C429C">
      <w:pPr>
        <w:autoSpaceDE w:val="0"/>
        <w:autoSpaceDN w:val="0"/>
        <w:adjustRightInd w:val="0"/>
        <w:ind w:firstLine="708"/>
        <w:jc w:val="both"/>
      </w:pPr>
      <w:r w:rsidRPr="00EA775E">
        <w:t xml:space="preserve">V záujme predísť takémuto konaniu v budúcnosti sa navrhuje, aby vojak vo výslužbe po zániku brannej povinnosti, pokiaľ je verejným funkcionárom, nebol vymenovaný do vojenskej hodnosti alebo povýšený do vojenskej hodnosti. Verejné funkcie taxatívne určuje v čl. 2 ústavný zákon č. 357/2004 Z. z. o ochrane verejného záujmu pri výkone funkcií verejných funkcionárov v znení neskorších predpisov. </w:t>
      </w:r>
    </w:p>
    <w:p w:rsidR="004C429C" w:rsidRPr="00EA775E" w:rsidRDefault="004C429C" w:rsidP="004C429C">
      <w:pPr>
        <w:autoSpaceDE w:val="0"/>
        <w:autoSpaceDN w:val="0"/>
        <w:adjustRightInd w:val="0"/>
        <w:ind w:firstLine="708"/>
        <w:jc w:val="both"/>
      </w:pPr>
      <w:r w:rsidRPr="00EA775E">
        <w:t xml:space="preserve"> </w:t>
      </w:r>
    </w:p>
    <w:p w:rsidR="004C429C" w:rsidRPr="00EA775E" w:rsidRDefault="004C429C" w:rsidP="004C429C">
      <w:pPr>
        <w:autoSpaceDE w:val="0"/>
        <w:autoSpaceDN w:val="0"/>
        <w:adjustRightInd w:val="0"/>
        <w:ind w:firstLine="709"/>
        <w:jc w:val="both"/>
      </w:pPr>
      <w:r w:rsidRPr="00EA775E">
        <w:t xml:space="preserve">V odseku 15 sa navrhuje upraviť postup pri vymenúvaní do vojenskej hodnosti alebo povyšovaní do vojenskej hodnosti profesionálnych vojakov po skončení služobného pomeru, poberajúcich  výsluhový dôchodok alebo invalidný výsluhový dôchodok a po zániku brannej povinnosti (ďalej len „vojak vo výslužbe“), rovnako ako je upravený postup pri vymenúvaní do vojenskej hodnosti alebo  povyšovaní do vojenskej hodnosti vojnových veteránov v zákone č. 463/2003 Z. z. o vojnových veteránoch a o doplnení zákona č. 328/2002 Z. z. o sociálnom zabezpečení policajtov a vojakov a o zmene a doplnení niektorých zákonov v znení neskorších predpisov v znení neskorších predpisov.  </w:t>
      </w:r>
    </w:p>
    <w:p w:rsidR="004C429C" w:rsidRPr="00EA775E" w:rsidRDefault="004C429C" w:rsidP="004C429C">
      <w:pPr>
        <w:autoSpaceDE w:val="0"/>
        <w:autoSpaceDN w:val="0"/>
        <w:adjustRightInd w:val="0"/>
        <w:ind w:firstLine="709"/>
        <w:jc w:val="both"/>
      </w:pPr>
    </w:p>
    <w:p w:rsidR="004C429C" w:rsidRPr="00EA775E" w:rsidRDefault="004C429C" w:rsidP="004C429C">
      <w:pPr>
        <w:autoSpaceDE w:val="0"/>
        <w:autoSpaceDN w:val="0"/>
        <w:adjustRightInd w:val="0"/>
        <w:ind w:firstLine="709"/>
        <w:jc w:val="both"/>
      </w:pPr>
      <w:r w:rsidRPr="00EA775E">
        <w:t>V odseku 16 sa navrhuje vymenovanie do vojenskej hodnosti alebo povyšovanie do vojenskej hodnosti vojakov vo výslužbe definovať ako morálne ocenenie  za výnimočné zásluhy alebo čin hodn</w:t>
      </w:r>
      <w:r>
        <w:t>ý</w:t>
      </w:r>
      <w:r w:rsidRPr="00EA775E">
        <w:t xml:space="preserve"> osobitného  zreteľa. Vojaci vo výslužbe  sa nepovolávajú na výkon mimoriadnej služby, preto vymenovanie do vojenskej hodnosti alebo povýšenie do vojenskej hodnosti nesúvisí s odbornosťou a pripravenosťou na výkon mimoriadnej služby, je to prejav morálneho ocenenia jednotlivcov za výnimočné činy. Návrh zákona taxatívne ani demonštratívne nevymedzuje o aké výnimočné činy alebo činy hodné osobitného zreteľa pôjde. Rozhodnutie je v  kompetencii prezidenta Slovenskej republiky, podobne ako je to pri vymenúvaní do vojenskej hodnosti alebo  povyšovaní do vojenskej hodnosti vojnových veteránov (Rozhodnutie prezidenta Slovenskej republiky č. 3 o podrobnostiach na </w:t>
      </w:r>
      <w:r w:rsidRPr="00D40438">
        <w:t>vymenúvanie a povyšovanie niektorých osôb do vojenských hodností z 30. augusta 2005). Navrhuje sa</w:t>
      </w:r>
      <w:r>
        <w:t xml:space="preserve">, aby </w:t>
      </w:r>
      <w:r w:rsidRPr="00D40438">
        <w:t xml:space="preserve">rozhodnutie </w:t>
      </w:r>
      <w:r>
        <w:t xml:space="preserve">bolo </w:t>
      </w:r>
      <w:r w:rsidRPr="00D40438">
        <w:t>zverej</w:t>
      </w:r>
      <w:r>
        <w:t>nené</w:t>
      </w:r>
      <w:r w:rsidRPr="00D40438">
        <w:t xml:space="preserve"> na webovom sídle prezidenta Slovenskej republiky.</w:t>
      </w:r>
    </w:p>
    <w:p w:rsidR="004C429C" w:rsidRPr="00EA775E" w:rsidRDefault="004C429C" w:rsidP="004C429C">
      <w:pPr>
        <w:autoSpaceDE w:val="0"/>
        <w:autoSpaceDN w:val="0"/>
        <w:adjustRightInd w:val="0"/>
        <w:ind w:firstLine="709"/>
        <w:jc w:val="both"/>
      </w:pPr>
      <w:r w:rsidRPr="00EA775E">
        <w:t xml:space="preserve"> </w:t>
      </w:r>
    </w:p>
    <w:p w:rsidR="004C429C" w:rsidRPr="00EA775E" w:rsidRDefault="004C429C" w:rsidP="004C429C">
      <w:pPr>
        <w:autoSpaceDE w:val="0"/>
        <w:autoSpaceDN w:val="0"/>
        <w:adjustRightInd w:val="0"/>
        <w:jc w:val="both"/>
        <w:rPr>
          <w:b/>
        </w:rPr>
      </w:pPr>
      <w:r w:rsidRPr="00EA775E">
        <w:rPr>
          <w:b/>
        </w:rPr>
        <w:t>K bodom 4 a 5</w:t>
      </w:r>
    </w:p>
    <w:p w:rsidR="004C429C" w:rsidRPr="00EA775E" w:rsidRDefault="004C429C" w:rsidP="004C429C">
      <w:pPr>
        <w:autoSpaceDE w:val="0"/>
        <w:autoSpaceDN w:val="0"/>
        <w:adjustRightInd w:val="0"/>
        <w:ind w:firstLine="708"/>
        <w:jc w:val="both"/>
      </w:pPr>
      <w:r w:rsidRPr="00EA775E">
        <w:t>Legislatívno- technická  úprava.</w:t>
      </w:r>
    </w:p>
    <w:p w:rsidR="004C429C" w:rsidRPr="00EA775E" w:rsidRDefault="004C429C" w:rsidP="004C429C">
      <w:pPr>
        <w:autoSpaceDE w:val="0"/>
        <w:autoSpaceDN w:val="0"/>
        <w:adjustRightInd w:val="0"/>
        <w:ind w:firstLine="708"/>
        <w:jc w:val="both"/>
      </w:pPr>
    </w:p>
    <w:p w:rsidR="002F6B4D" w:rsidRDefault="002F6B4D" w:rsidP="004C429C">
      <w:pPr>
        <w:autoSpaceDE w:val="0"/>
        <w:autoSpaceDN w:val="0"/>
        <w:adjustRightInd w:val="0"/>
        <w:jc w:val="both"/>
        <w:rPr>
          <w:b/>
        </w:rPr>
      </w:pPr>
    </w:p>
    <w:p w:rsidR="002F6B4D" w:rsidRDefault="002F6B4D" w:rsidP="004C429C">
      <w:pPr>
        <w:autoSpaceDE w:val="0"/>
        <w:autoSpaceDN w:val="0"/>
        <w:adjustRightInd w:val="0"/>
        <w:jc w:val="both"/>
        <w:rPr>
          <w:b/>
        </w:rPr>
      </w:pPr>
    </w:p>
    <w:p w:rsidR="002F6B4D" w:rsidRDefault="002F6B4D" w:rsidP="004C429C">
      <w:pPr>
        <w:autoSpaceDE w:val="0"/>
        <w:autoSpaceDN w:val="0"/>
        <w:adjustRightInd w:val="0"/>
        <w:jc w:val="both"/>
        <w:rPr>
          <w:b/>
        </w:rPr>
      </w:pPr>
    </w:p>
    <w:p w:rsidR="004C429C" w:rsidRPr="00EA775E" w:rsidRDefault="004C429C" w:rsidP="004C429C">
      <w:pPr>
        <w:autoSpaceDE w:val="0"/>
        <w:autoSpaceDN w:val="0"/>
        <w:adjustRightInd w:val="0"/>
        <w:jc w:val="both"/>
      </w:pPr>
      <w:r w:rsidRPr="00EA775E">
        <w:rPr>
          <w:b/>
        </w:rPr>
        <w:lastRenderedPageBreak/>
        <w:t xml:space="preserve">K bodu 6 </w:t>
      </w:r>
      <w:r w:rsidRPr="00EA775E">
        <w:t>(§ 21 ods. 17 písm. b)</w:t>
      </w:r>
    </w:p>
    <w:p w:rsidR="004C429C" w:rsidRPr="00EA775E" w:rsidRDefault="004C429C" w:rsidP="004C429C">
      <w:pPr>
        <w:autoSpaceDE w:val="0"/>
        <w:autoSpaceDN w:val="0"/>
        <w:adjustRightInd w:val="0"/>
        <w:ind w:firstLine="708"/>
        <w:jc w:val="both"/>
        <w:rPr>
          <w:b/>
        </w:rPr>
      </w:pPr>
      <w:r w:rsidRPr="00EA775E">
        <w:t>Ustanovenie sa dáva do súladu so zákonom</w:t>
      </w:r>
      <w:r w:rsidRPr="00EA775E">
        <w:rPr>
          <w:b/>
        </w:rPr>
        <w:t xml:space="preserve"> </w:t>
      </w:r>
      <w:r w:rsidRPr="00EA775E">
        <w:t xml:space="preserve"> č. </w:t>
      </w:r>
      <w:hyperlink r:id="rId12" w:tooltip="Odkaz na predpis alebo ustanovenie" w:history="1">
        <w:r w:rsidRPr="00EA775E">
          <w:t>255/1946 Zb.</w:t>
        </w:r>
      </w:hyperlink>
      <w:r w:rsidRPr="00EA775E">
        <w:t xml:space="preserve"> o príslušníkoch československej armády v zahraničí a o niektorých iných účastníkoch národného boja za oslobodenie v znení zákona č. 101/1964 Zb., na ktorý sa odkazuje.</w:t>
      </w:r>
      <w:r w:rsidRPr="00EA775E">
        <w:rPr>
          <w:b/>
        </w:rPr>
        <w:t xml:space="preserve">              </w:t>
      </w:r>
    </w:p>
    <w:p w:rsidR="004C429C" w:rsidRPr="00EA775E" w:rsidRDefault="004C429C" w:rsidP="004C429C">
      <w:pPr>
        <w:autoSpaceDE w:val="0"/>
        <w:autoSpaceDN w:val="0"/>
        <w:adjustRightInd w:val="0"/>
        <w:jc w:val="both"/>
      </w:pPr>
    </w:p>
    <w:p w:rsidR="004C429C" w:rsidRPr="00EA775E" w:rsidRDefault="004C429C" w:rsidP="004C429C">
      <w:pPr>
        <w:jc w:val="both"/>
      </w:pPr>
      <w:r w:rsidRPr="00EA775E">
        <w:rPr>
          <w:b/>
        </w:rPr>
        <w:t xml:space="preserve">K bodu 7 </w:t>
      </w:r>
      <w:r w:rsidRPr="00EA775E">
        <w:t xml:space="preserve">(§ 21 ods. 18) </w:t>
      </w:r>
    </w:p>
    <w:p w:rsidR="004C429C" w:rsidRPr="00EA775E" w:rsidRDefault="004C429C" w:rsidP="004C429C">
      <w:pPr>
        <w:ind w:firstLine="708"/>
        <w:jc w:val="both"/>
      </w:pPr>
      <w:r w:rsidRPr="00EA775E">
        <w:t xml:space="preserve">Legislatívna úprava v nadväznosti na zmenu v bode 3. </w:t>
      </w:r>
    </w:p>
    <w:p w:rsidR="004C429C" w:rsidRPr="00EA775E" w:rsidRDefault="004C429C" w:rsidP="004C429C">
      <w:pPr>
        <w:jc w:val="both"/>
        <w:rPr>
          <w:b/>
        </w:rPr>
      </w:pPr>
    </w:p>
    <w:p w:rsidR="004C429C" w:rsidRPr="00EA775E" w:rsidRDefault="004C429C" w:rsidP="004C429C">
      <w:pPr>
        <w:jc w:val="both"/>
        <w:rPr>
          <w:b/>
        </w:rPr>
      </w:pPr>
      <w:r w:rsidRPr="00EA775E">
        <w:rPr>
          <w:b/>
        </w:rPr>
        <w:t xml:space="preserve">K čl. II </w:t>
      </w:r>
    </w:p>
    <w:p w:rsidR="004C429C" w:rsidRPr="00EA775E" w:rsidRDefault="004C429C" w:rsidP="004C429C">
      <w:pPr>
        <w:ind w:firstLine="708"/>
        <w:jc w:val="both"/>
      </w:pPr>
      <w:r w:rsidRPr="00EA775E">
        <w:t>V nadväznosti na navrhovanú zmenu v § 21 ods. 14 zákona č. 570/2005 Z. z. o brannej povinnosti a o zmene a doplnení niektorých zákonov v znení neskorších predpisov sa navrhuje ustanoviť vymenovanie do vojenskej hodnosti alebo povýšenie do vojenskej hodnosti  vojnového  veterána až po zániku brannej povinnosti, ak nie je verejným funkcionárom. Cieľom navrhovanej právnej úpravy je posilniť morálny aspekt predmetného ocenenia vojnového veterána.</w:t>
      </w:r>
    </w:p>
    <w:p w:rsidR="004C429C" w:rsidRPr="00EA775E" w:rsidRDefault="004C429C" w:rsidP="004C429C">
      <w:pPr>
        <w:ind w:firstLine="708"/>
        <w:jc w:val="both"/>
      </w:pPr>
      <w:r w:rsidRPr="00EA775E">
        <w:t xml:space="preserve">Podľa § 2 ods. 2 písm. a)  zákona č. 463/2003 Z. z.  status  vojnového veterána možno priznať aj osobe, ktorá  vykonávala aspoň 90 dní vojenskú službu mimo územia Slovenskej republiky ako príslušník ozbrojených síl Slovenskej republiky alebo ako príslušník ozbrojených síl štátov, ktorých právnym nástupcom je Slovenská republika, a to v rámci mierových pozorovateľských misií, vojenských operácií alebo v rámci plnenia záväzku z medzinárodnej zmluvy o spoločnej obrane proti napadnutiu. Touto osobou môže byť aj profesionálny vojak, ktorý vykonáva štátnu službu profesionálneho vojaka, je v služobnom pomere k Slovenskej republike a patrí mu  vojenská hodnosť, ktorá vyjadruje pripravenosť profesionálneho vojaka na výkon činností zodpovedajúcich vojenskej hodnosti. Povyšovanie profesionálneho vojaka nadväzuje na vykonávanie štátnej služby profesionálneho vojaka, nie vojnového veterána. Profesionálny vojak môže byť vymenovaný do vojenskej hodnosti alebo povýšený do vojenskej hodnosti podľa zákona o štátnej službe profesionálnych vojakov za zásluhy v rámci mierových pozorovateľských misií, vojenských operácií alebo v rámci plnenia záväzku z medzinárodnej zmluvy o spoločnej obrane proti napadnutiu. Zákon o vojnových veteránoch nie je lex specialis vo vzťahu k zákonu o štátnej službe profesionálnych vojakov. </w:t>
      </w:r>
    </w:p>
    <w:p w:rsidR="004C429C" w:rsidRPr="00EA775E" w:rsidRDefault="004C429C" w:rsidP="004C429C">
      <w:pPr>
        <w:ind w:firstLine="708"/>
        <w:jc w:val="both"/>
      </w:pPr>
    </w:p>
    <w:p w:rsidR="004C429C" w:rsidRPr="00EA775E" w:rsidRDefault="004C429C" w:rsidP="004C429C">
      <w:pPr>
        <w:jc w:val="both"/>
        <w:rPr>
          <w:b/>
        </w:rPr>
      </w:pPr>
      <w:r w:rsidRPr="00EA775E">
        <w:rPr>
          <w:b/>
        </w:rPr>
        <w:t xml:space="preserve">K čl. III </w:t>
      </w:r>
    </w:p>
    <w:p w:rsidR="004C429C" w:rsidRPr="00EA775E" w:rsidRDefault="004C429C" w:rsidP="004C429C">
      <w:pPr>
        <w:ind w:firstLine="708"/>
        <w:jc w:val="both"/>
      </w:pPr>
      <w:r w:rsidRPr="00EA775E">
        <w:t>Účinnosť zákona sa navrhuje vzhľadom na predpokladanú dĺžku legislatívneho procesu.</w:t>
      </w:r>
    </w:p>
    <w:p w:rsidR="004C429C" w:rsidRPr="00EA775E" w:rsidRDefault="004C429C" w:rsidP="004C429C">
      <w:pPr>
        <w:ind w:firstLine="708"/>
        <w:jc w:val="both"/>
        <w:rPr>
          <w:b/>
        </w:rPr>
      </w:pPr>
    </w:p>
    <w:p w:rsidR="004C429C" w:rsidRDefault="004C429C" w:rsidP="004C429C">
      <w:pPr>
        <w:jc w:val="both"/>
      </w:pPr>
      <w:r>
        <w:t xml:space="preserve">V Bratislave </w:t>
      </w:r>
      <w:r w:rsidR="00C40B2B">
        <w:t>25</w:t>
      </w:r>
      <w:r>
        <w:t xml:space="preserve">. </w:t>
      </w:r>
      <w:r w:rsidR="00481830">
        <w:t>augusta</w:t>
      </w:r>
      <w:r>
        <w:t xml:space="preserve"> 202</w:t>
      </w:r>
      <w:r w:rsidR="00481830">
        <w:t>1</w:t>
      </w:r>
    </w:p>
    <w:p w:rsidR="004C429C" w:rsidRDefault="004C429C" w:rsidP="004C429C">
      <w:pPr>
        <w:jc w:val="both"/>
      </w:pPr>
    </w:p>
    <w:p w:rsidR="004C429C" w:rsidRDefault="004C429C" w:rsidP="004C429C">
      <w:pPr>
        <w:jc w:val="both"/>
      </w:pPr>
    </w:p>
    <w:p w:rsidR="002F6B4D" w:rsidRDefault="002F6B4D" w:rsidP="004C429C">
      <w:pPr>
        <w:jc w:val="both"/>
      </w:pPr>
    </w:p>
    <w:p w:rsidR="002F6B4D" w:rsidRDefault="002F6B4D" w:rsidP="004C429C">
      <w:pPr>
        <w:jc w:val="both"/>
      </w:pPr>
    </w:p>
    <w:p w:rsidR="002F6B4D" w:rsidRDefault="002F6B4D" w:rsidP="004C429C">
      <w:pPr>
        <w:jc w:val="both"/>
      </w:pPr>
    </w:p>
    <w:p w:rsidR="004C429C" w:rsidRDefault="00A41A14" w:rsidP="004C429C">
      <w:pPr>
        <w:jc w:val="center"/>
        <w:rPr>
          <w:b/>
        </w:rPr>
      </w:pPr>
      <w:r>
        <w:rPr>
          <w:b/>
        </w:rPr>
        <w:t>Eduard Heger, v. r.</w:t>
      </w:r>
    </w:p>
    <w:p w:rsidR="004C429C" w:rsidRDefault="004C429C" w:rsidP="004C429C">
      <w:pPr>
        <w:jc w:val="center"/>
      </w:pPr>
      <w:r>
        <w:t>predseda vlády Slovenskej republiky</w:t>
      </w:r>
    </w:p>
    <w:p w:rsidR="004C429C" w:rsidRDefault="004C429C" w:rsidP="004C429C">
      <w:pPr>
        <w:jc w:val="center"/>
      </w:pPr>
    </w:p>
    <w:p w:rsidR="004C429C" w:rsidRDefault="004C429C" w:rsidP="004C429C">
      <w:pPr>
        <w:jc w:val="center"/>
      </w:pPr>
    </w:p>
    <w:p w:rsidR="002F6B4D" w:rsidRDefault="002F6B4D" w:rsidP="004C429C">
      <w:pPr>
        <w:jc w:val="center"/>
      </w:pPr>
    </w:p>
    <w:p w:rsidR="002F6B4D" w:rsidRDefault="002F6B4D" w:rsidP="004C429C">
      <w:pPr>
        <w:jc w:val="center"/>
      </w:pPr>
    </w:p>
    <w:p w:rsidR="004C429C" w:rsidRDefault="004C429C" w:rsidP="004C429C">
      <w:pPr>
        <w:jc w:val="center"/>
        <w:rPr>
          <w:b/>
        </w:rPr>
      </w:pPr>
      <w:r>
        <w:rPr>
          <w:b/>
        </w:rPr>
        <w:t>Jaroslav Naď</w:t>
      </w:r>
      <w:r w:rsidR="00A41A14">
        <w:rPr>
          <w:b/>
        </w:rPr>
        <w:t>, v. r.</w:t>
      </w:r>
    </w:p>
    <w:p w:rsidR="004C429C" w:rsidRDefault="004C429C" w:rsidP="004C429C">
      <w:pPr>
        <w:jc w:val="center"/>
        <w:rPr>
          <w:bCs/>
          <w:sz w:val="20"/>
          <w:szCs w:val="20"/>
        </w:rPr>
      </w:pPr>
      <w:r>
        <w:t>minister obrany Slovenskej republiky</w:t>
      </w:r>
      <w:r>
        <w:rPr>
          <w:b/>
        </w:rPr>
        <w:t xml:space="preserve"> </w:t>
      </w:r>
    </w:p>
    <w:sectPr w:rsidR="004C4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CF" w:rsidRDefault="008711CF">
      <w:r>
        <w:separator/>
      </w:r>
    </w:p>
  </w:endnote>
  <w:endnote w:type="continuationSeparator" w:id="0">
    <w:p w:rsidR="008711CF" w:rsidRDefault="0087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605519"/>
      <w:docPartObj>
        <w:docPartGallery w:val="Page Numbers (Bottom of Page)"/>
        <w:docPartUnique/>
      </w:docPartObj>
    </w:sdtPr>
    <w:sdtEndPr/>
    <w:sdtContent>
      <w:p w:rsidR="004C429C" w:rsidRDefault="004C429C">
        <w:pPr>
          <w:pStyle w:val="Pta"/>
          <w:jc w:val="center"/>
        </w:pPr>
        <w:r>
          <w:fldChar w:fldCharType="begin"/>
        </w:r>
        <w:r>
          <w:instrText>PAGE   \* MERGEFORMAT</w:instrText>
        </w:r>
        <w:r>
          <w:fldChar w:fldCharType="separate"/>
        </w:r>
        <w:r w:rsidR="002024EA">
          <w:rPr>
            <w:noProof/>
          </w:rPr>
          <w:t>2</w:t>
        </w:r>
        <w:r>
          <w:fldChar w:fldCharType="end"/>
        </w:r>
      </w:p>
    </w:sdtContent>
  </w:sdt>
  <w:p w:rsidR="004C429C" w:rsidRPr="005040D1" w:rsidRDefault="004C429C" w:rsidP="005040D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CF" w:rsidRDefault="008711CF">
      <w:r>
        <w:separator/>
      </w:r>
    </w:p>
  </w:footnote>
  <w:footnote w:type="continuationSeparator" w:id="0">
    <w:p w:rsidR="008711CF" w:rsidRDefault="00871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F9F11D3"/>
    <w:multiLevelType w:val="hybridMultilevel"/>
    <w:tmpl w:val="0D1671E4"/>
    <w:lvl w:ilvl="0" w:tplc="AB22D562">
      <w:start w:val="1"/>
      <w:numFmt w:val="decimal"/>
      <w:lvlText w:val="%1."/>
      <w:lvlJc w:val="left"/>
      <w:pPr>
        <w:tabs>
          <w:tab w:val="num" w:pos="720"/>
        </w:tabs>
        <w:ind w:left="720" w:hanging="360"/>
      </w:pPr>
      <w:rPr>
        <w:rFonts w:cs="Times New Roman"/>
        <w:b/>
        <w:strike w:val="0"/>
      </w:rPr>
    </w:lvl>
    <w:lvl w:ilvl="1" w:tplc="31E0E406">
      <w:start w:val="1"/>
      <w:numFmt w:val="lowerLetter"/>
      <w:lvlText w:val="%2)"/>
      <w:lvlJc w:val="left"/>
      <w:pPr>
        <w:tabs>
          <w:tab w:val="num" w:pos="1364"/>
        </w:tabs>
        <w:ind w:left="1080" w:firstLine="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38B36210"/>
    <w:multiLevelType w:val="hybridMultilevel"/>
    <w:tmpl w:val="AC8C2432"/>
    <w:lvl w:ilvl="0" w:tplc="7F8A31AC">
      <w:start w:val="1"/>
      <w:numFmt w:val="decimal"/>
      <w:lvlText w:val="%1."/>
      <w:lvlJc w:val="left"/>
      <w:pPr>
        <w:ind w:left="-540" w:hanging="360"/>
      </w:pPr>
      <w:rPr>
        <w:rFonts w:cs="Times New Roman" w:hint="default"/>
      </w:rPr>
    </w:lvl>
    <w:lvl w:ilvl="1" w:tplc="041B0019" w:tentative="1">
      <w:start w:val="1"/>
      <w:numFmt w:val="lowerLetter"/>
      <w:lvlText w:val="%2."/>
      <w:lvlJc w:val="left"/>
      <w:pPr>
        <w:ind w:left="180" w:hanging="360"/>
      </w:pPr>
      <w:rPr>
        <w:rFonts w:cs="Times New Roman"/>
      </w:rPr>
    </w:lvl>
    <w:lvl w:ilvl="2" w:tplc="041B001B" w:tentative="1">
      <w:start w:val="1"/>
      <w:numFmt w:val="lowerRoman"/>
      <w:lvlText w:val="%3."/>
      <w:lvlJc w:val="right"/>
      <w:pPr>
        <w:ind w:left="900" w:hanging="180"/>
      </w:pPr>
      <w:rPr>
        <w:rFonts w:cs="Times New Roman"/>
      </w:rPr>
    </w:lvl>
    <w:lvl w:ilvl="3" w:tplc="041B000F" w:tentative="1">
      <w:start w:val="1"/>
      <w:numFmt w:val="decimal"/>
      <w:lvlText w:val="%4."/>
      <w:lvlJc w:val="left"/>
      <w:pPr>
        <w:ind w:left="1620" w:hanging="360"/>
      </w:pPr>
      <w:rPr>
        <w:rFonts w:cs="Times New Roman"/>
      </w:rPr>
    </w:lvl>
    <w:lvl w:ilvl="4" w:tplc="041B0019" w:tentative="1">
      <w:start w:val="1"/>
      <w:numFmt w:val="lowerLetter"/>
      <w:lvlText w:val="%5."/>
      <w:lvlJc w:val="left"/>
      <w:pPr>
        <w:ind w:left="2340" w:hanging="360"/>
      </w:pPr>
      <w:rPr>
        <w:rFonts w:cs="Times New Roman"/>
      </w:rPr>
    </w:lvl>
    <w:lvl w:ilvl="5" w:tplc="041B001B" w:tentative="1">
      <w:start w:val="1"/>
      <w:numFmt w:val="lowerRoman"/>
      <w:lvlText w:val="%6."/>
      <w:lvlJc w:val="right"/>
      <w:pPr>
        <w:ind w:left="3060" w:hanging="180"/>
      </w:pPr>
      <w:rPr>
        <w:rFonts w:cs="Times New Roman"/>
      </w:rPr>
    </w:lvl>
    <w:lvl w:ilvl="6" w:tplc="041B000F" w:tentative="1">
      <w:start w:val="1"/>
      <w:numFmt w:val="decimal"/>
      <w:lvlText w:val="%7."/>
      <w:lvlJc w:val="left"/>
      <w:pPr>
        <w:ind w:left="3780" w:hanging="360"/>
      </w:pPr>
      <w:rPr>
        <w:rFonts w:cs="Times New Roman"/>
      </w:rPr>
    </w:lvl>
    <w:lvl w:ilvl="7" w:tplc="041B0019" w:tentative="1">
      <w:start w:val="1"/>
      <w:numFmt w:val="lowerLetter"/>
      <w:lvlText w:val="%8."/>
      <w:lvlJc w:val="left"/>
      <w:pPr>
        <w:ind w:left="4500" w:hanging="360"/>
      </w:pPr>
      <w:rPr>
        <w:rFonts w:cs="Times New Roman"/>
      </w:rPr>
    </w:lvl>
    <w:lvl w:ilvl="8" w:tplc="041B001B" w:tentative="1">
      <w:start w:val="1"/>
      <w:numFmt w:val="lowerRoman"/>
      <w:lvlText w:val="%9."/>
      <w:lvlJc w:val="right"/>
      <w:pPr>
        <w:ind w:left="5220" w:hanging="180"/>
      </w:pPr>
      <w:rPr>
        <w:rFonts w:cs="Times New Roman"/>
      </w:rPr>
    </w:lvl>
  </w:abstractNum>
  <w:abstractNum w:abstractNumId="3" w15:restartNumberingAfterBreak="0">
    <w:nsid w:val="42CC4994"/>
    <w:multiLevelType w:val="hybridMultilevel"/>
    <w:tmpl w:val="78968A94"/>
    <w:lvl w:ilvl="0" w:tplc="041B0019">
      <w:start w:val="1"/>
      <w:numFmt w:val="lowerLetter"/>
      <w:lvlText w:val="%1."/>
      <w:lvlJc w:val="left"/>
      <w:pPr>
        <w:ind w:left="10958" w:hanging="360"/>
      </w:pPr>
      <w:rPr>
        <w:rFonts w:hint="default"/>
      </w:rPr>
    </w:lvl>
    <w:lvl w:ilvl="1" w:tplc="041B0019" w:tentative="1">
      <w:start w:val="1"/>
      <w:numFmt w:val="lowerLetter"/>
      <w:lvlText w:val="%2."/>
      <w:lvlJc w:val="left"/>
      <w:pPr>
        <w:ind w:left="12938" w:hanging="360"/>
      </w:pPr>
    </w:lvl>
    <w:lvl w:ilvl="2" w:tplc="041B001B" w:tentative="1">
      <w:start w:val="1"/>
      <w:numFmt w:val="lowerRoman"/>
      <w:lvlText w:val="%3."/>
      <w:lvlJc w:val="right"/>
      <w:pPr>
        <w:ind w:left="13658" w:hanging="180"/>
      </w:pPr>
    </w:lvl>
    <w:lvl w:ilvl="3" w:tplc="041B000F" w:tentative="1">
      <w:start w:val="1"/>
      <w:numFmt w:val="decimal"/>
      <w:lvlText w:val="%4."/>
      <w:lvlJc w:val="left"/>
      <w:pPr>
        <w:ind w:left="14378" w:hanging="360"/>
      </w:pPr>
    </w:lvl>
    <w:lvl w:ilvl="4" w:tplc="041B0019" w:tentative="1">
      <w:start w:val="1"/>
      <w:numFmt w:val="lowerLetter"/>
      <w:lvlText w:val="%5."/>
      <w:lvlJc w:val="left"/>
      <w:pPr>
        <w:ind w:left="15098" w:hanging="360"/>
      </w:pPr>
    </w:lvl>
    <w:lvl w:ilvl="5" w:tplc="041B001B" w:tentative="1">
      <w:start w:val="1"/>
      <w:numFmt w:val="lowerRoman"/>
      <w:lvlText w:val="%6."/>
      <w:lvlJc w:val="right"/>
      <w:pPr>
        <w:ind w:left="15818" w:hanging="180"/>
      </w:pPr>
    </w:lvl>
    <w:lvl w:ilvl="6" w:tplc="041B000F" w:tentative="1">
      <w:start w:val="1"/>
      <w:numFmt w:val="decimal"/>
      <w:lvlText w:val="%7."/>
      <w:lvlJc w:val="left"/>
      <w:pPr>
        <w:ind w:left="16538" w:hanging="360"/>
      </w:pPr>
    </w:lvl>
    <w:lvl w:ilvl="7" w:tplc="041B0019" w:tentative="1">
      <w:start w:val="1"/>
      <w:numFmt w:val="lowerLetter"/>
      <w:lvlText w:val="%8."/>
      <w:lvlJc w:val="left"/>
      <w:pPr>
        <w:ind w:left="17258" w:hanging="360"/>
      </w:pPr>
    </w:lvl>
    <w:lvl w:ilvl="8" w:tplc="041B001B" w:tentative="1">
      <w:start w:val="1"/>
      <w:numFmt w:val="lowerRoman"/>
      <w:lvlText w:val="%9."/>
      <w:lvlJc w:val="right"/>
      <w:pPr>
        <w:ind w:left="17978" w:hanging="180"/>
      </w:pPr>
    </w:lvl>
  </w:abstractNum>
  <w:abstractNum w:abstractNumId="4"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0517C72"/>
    <w:multiLevelType w:val="hybridMultilevel"/>
    <w:tmpl w:val="D84C7F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24EA"/>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B4D"/>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179E8"/>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1830"/>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29C"/>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11C"/>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11CF"/>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48FB"/>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1A14"/>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3768C"/>
    <w:rsid w:val="00C40052"/>
    <w:rsid w:val="00C40190"/>
    <w:rsid w:val="00C40B2B"/>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3DB7"/>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87B"/>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972FF"/>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780A1CA8-5483-42D8-9427-8CB2D11B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aliases w:val="webb"/>
    <w:basedOn w:val="Normlny"/>
    <w:uiPriority w:val="99"/>
    <w:qFormat/>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Zvraznenie">
    <w:name w:val="Emphasis"/>
    <w:uiPriority w:val="20"/>
    <w:qFormat/>
    <w:rsid w:val="00D13DB7"/>
    <w:rPr>
      <w:i/>
      <w:iCs/>
    </w:rPr>
  </w:style>
  <w:style w:type="character" w:styleId="Siln">
    <w:name w:val="Strong"/>
    <w:uiPriority w:val="22"/>
    <w:qFormat/>
    <w:rsid w:val="00D13DB7"/>
    <w:rPr>
      <w:b/>
      <w:bCs/>
    </w:rPr>
  </w:style>
  <w:style w:type="paragraph" w:styleId="Odsekzoznamu">
    <w:name w:val="List Paragraph"/>
    <w:aliases w:val="Odsek zoznamu2"/>
    <w:basedOn w:val="Normlny"/>
    <w:link w:val="OdsekzoznamuChar"/>
    <w:uiPriority w:val="34"/>
    <w:qFormat/>
    <w:rsid w:val="008E48F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Odsek zoznamu2 Char"/>
    <w:link w:val="Odsekzoznamu"/>
    <w:uiPriority w:val="34"/>
    <w:qFormat/>
    <w:locked/>
    <w:rsid w:val="008E48FB"/>
    <w:rPr>
      <w:rFonts w:asciiTheme="minorHAnsi" w:eastAsiaTheme="minorHAnsi" w:hAnsiTheme="minorHAnsi" w:cstheme="minorBidi"/>
      <w:lang w:eastAsia="en-US"/>
    </w:rPr>
  </w:style>
  <w:style w:type="paragraph" w:styleId="Textbubliny">
    <w:name w:val="Balloon Text"/>
    <w:basedOn w:val="Normlny"/>
    <w:link w:val="TextbublinyChar"/>
    <w:uiPriority w:val="99"/>
    <w:semiHidden/>
    <w:unhideWhenUsed/>
    <w:rsid w:val="002024E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0930">
      <w:bodyDiv w:val="1"/>
      <w:marLeft w:val="0"/>
      <w:marRight w:val="0"/>
      <w:marTop w:val="0"/>
      <w:marBottom w:val="0"/>
      <w:divBdr>
        <w:top w:val="none" w:sz="0" w:space="0" w:color="auto"/>
        <w:left w:val="none" w:sz="0" w:space="0" w:color="auto"/>
        <w:bottom w:val="none" w:sz="0" w:space="0" w:color="auto"/>
        <w:right w:val="none" w:sz="0" w:space="0" w:color="auto"/>
      </w:divBdr>
    </w:div>
    <w:div w:id="770394577">
      <w:bodyDiv w:val="1"/>
      <w:marLeft w:val="0"/>
      <w:marRight w:val="0"/>
      <w:marTop w:val="0"/>
      <w:marBottom w:val="0"/>
      <w:divBdr>
        <w:top w:val="none" w:sz="0" w:space="0" w:color="auto"/>
        <w:left w:val="none" w:sz="0" w:space="0" w:color="auto"/>
        <w:bottom w:val="none" w:sz="0" w:space="0" w:color="auto"/>
        <w:right w:val="none" w:sz="0" w:space="0" w:color="auto"/>
      </w:divBdr>
    </w:div>
    <w:div w:id="784081354">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9788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1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46/2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svigar@mod.gov.sk" TargetMode="External"/><Relationship Id="rId4" Type="http://schemas.openxmlformats.org/officeDocument/2006/relationships/settings" Target="settings.xml"/><Relationship Id="rId9" Type="http://schemas.openxmlformats.org/officeDocument/2006/relationships/hyperlink" Target="mailto:julius.handlovsky@mod.gov.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8.6.2021 10:39:27"/>
    <f:field ref="objchangedby" par="" text="Administrator, System"/>
    <f:field ref="objmodifiedat" par="" text="8.6.2021 10:39:33"/>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5374</Words>
  <Characters>30636</Characters>
  <Application>Microsoft Office Word</Application>
  <DocSecurity>0</DocSecurity>
  <Lines>255</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35939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GULA Peter</cp:lastModifiedBy>
  <cp:revision>4</cp:revision>
  <cp:lastPrinted>2021-08-26T10:01:00Z</cp:lastPrinted>
  <dcterms:created xsi:type="dcterms:W3CDTF">2021-08-24T07:01:00Z</dcterms:created>
  <dcterms:modified xsi:type="dcterms:W3CDTF">2021-08-26T10:02:00Z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Bezpečnosť a obrana štátu</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Silvia Benovičová</vt:lpwstr>
  </property>
  <property fmtid="{D5CDD505-2E9C-101B-9397-08002B2CF9AE}" pid="9" name="FSC#SKEDITIONSLOVLEX@103.510:zodppredkladatel">
    <vt:lpwstr>Jaroslav Naď</vt:lpwstr>
  </property>
  <property fmtid="{D5CDD505-2E9C-101B-9397-08002B2CF9AE}" pid="10" name="FSC#SKEDITIONSLOVLEX@103.510:nazovpredpis">
    <vt:lpwstr>, ktorým sa mení a dopĺňa zákon č. 570/2005 Z. z. o brannej povinnosti a o zmene a doplnení niektorých zákonov v znení neskorších predpisov a ktorým sa dopĺňa zákon č. 463/2003 Z. z. o vojnových veteránoch a o doplnení zákona č. 328/2002 Z. z. o sociálno</vt:lpwstr>
  </property>
  <property fmtid="{D5CDD505-2E9C-101B-9397-08002B2CF9AE}" pid="11" name="FSC#SKEDITIONSLOVLEX@103.510:cislopredpis">
    <vt:lpwstr/>
  </property>
  <property fmtid="{D5CDD505-2E9C-101B-9397-08002B2CF9AE}" pid="12" name="FSC#SKEDITIONSLOVLEX@103.510:zodpinstitucia">
    <vt:lpwstr>Ministerstvo obrany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Iniciatívny návrh</vt:lpwstr>
  </property>
  <property fmtid="{D5CDD505-2E9C-101B-9397-08002B2CF9AE}" pid="16" name="FSC#SKEDITIONSLOVLEX@103.510:plnynazovpredpis">
    <vt:lpwstr> Zákon, ktorým sa mení a dopĺňa zákon č. 570/2005 Z. z. o brannej povinnosti a o zmene a doplnení niektorých zákonov v znení neskorších predpisov a ktorým sa dopĺňa zákon č. 463/2003 Z. z. o vojnových veteránoch a o doplnení zákona č. 328/2002 Z. z. o soc</vt:lpwstr>
  </property>
  <property fmtid="{D5CDD505-2E9C-101B-9397-08002B2CF9AE}" pid="17" name="FSC#SKEDITIONSLOVLEX@103.510:rezortcislopredpis">
    <vt:lpwstr>SELPOdL-17-5/2021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LP/2021/309</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upravený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21. 4. 2021</vt:lpwstr>
  </property>
  <property fmtid="{D5CDD505-2E9C-101B-9397-08002B2CF9AE}" pid="49" name="FSC#SKEDITIONSLOVLEX@103.510:AttrDateDocPropUkonceniePKK">
    <vt:lpwstr>5. 5. 2021</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Pri spracovaní návrhu zákona neboli posudzované žiadne alternatívne riešenia. Nulovým variantom by v tomto prípade bolo zanechanie pôvodného stavu, kedy by mohlo dochádzať k vyššie uvedeným problémom. Navrhované riešenie túto možnosť eliminuje, a tým posi</vt:lpwstr>
  </property>
  <property fmtid="{D5CDD505-2E9C-101B-9397-08002B2CF9AE}" pid="57" name="FSC#SKEDITIONSLOVLEX@103.510:AttrStrListDocPropStanoviskoGest">
    <vt:lpwstr>&lt;p&gt;&lt;strong&gt;I. &lt;/strong&gt;&lt;strong&gt;Úvod: &lt;/strong&gt;Ministerstvo obrany SR predložilo dňa 21. apríla 2021 Stálej pracovnej komisii na posudzovanie vybraných vplyvov (ďalej len „Komisia“) na predbežné pripomienkové konanie materiál:&lt;em&gt; „Návrh zákona, ktorým sa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obrany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justify;"&gt;&amp;nbsp;&lt;/p&gt;&lt;p style="text-align: justify;"&gt;Návrh zákona, ktorým sa mení a&amp;nbsp;dopĺňa&amp;nbsp; zákon č. 570/2005 Z. z. o brannej povinnosti a o zmene a doplnení niektorých zákonov v znení neskorších predpisov a&amp;nbsp;ktorým sa d</vt:lpwstr>
  </property>
  <property fmtid="{D5CDD505-2E9C-101B-9397-08002B2CF9AE}" pid="130" name="FSC#COOSYSTEM@1.1:Container">
    <vt:lpwstr>COO.2145.1000.3.4411316</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&lt;p&gt;&amp;nbsp;&lt;/p&gt;&lt;p style="text-align: justify;"&gt;Verejnosť bola o&amp;nbsp;príprave návrhu zákona, ktorým sa mení a&amp;nbsp;dopĺňa zákon č. 570/2005 Z. z. o brannej povinnosti a o zmene a doplnení niektorých zákonov v znení neskorších predpisov a&amp;nbsp;ktorým sa dopĺ</vt:lpwstr>
  </property>
  <property fmtid="{D5CDD505-2E9C-101B-9397-08002B2CF9AE}" pid="134" name="FSC#SKEDITIONSLOVLEX@103.510:cisloparlamenttlac">
    <vt:lpwstr/>
  </property>
  <property fmtid="{D5CDD505-2E9C-101B-9397-08002B2CF9AE}" pid="135" name="FSC#SKEDITIONSLOVLEX@103.510:nazovpredpis1">
    <vt:lpwstr>m zabezpečení policajtov a vojakov a o zmene a doplnení niektorých zákonov v znení neskorších predpisov v znení neskorších predpisov</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iálnom zabezpečení policajtov a vojakov a o zmene a doplnení niektorých zákonov v znení neskorších predpisov v znení neskorších predpisov</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užívateľ</vt:lpwstr>
  </property>
  <property fmtid="{D5CDD505-2E9C-101B-9397-08002B2CF9AE}" pid="142" name="FSC#SKEDITIONSLOVLEX@103.510:funkciaPredAkuzativ">
    <vt:lpwstr>užívateľa</vt:lpwstr>
  </property>
  <property fmtid="{D5CDD505-2E9C-101B-9397-08002B2CF9AE}" pid="143" name="FSC#SKEDITIONSLOVLEX@103.510:funkciaPredDativ">
    <vt:lpwstr>užívateľovi</vt:lpwstr>
  </property>
  <property fmtid="{D5CDD505-2E9C-101B-9397-08002B2CF9AE}" pid="144" name="FSC#SKEDITIONSLOVLEX@103.510:funkciaZodpPred">
    <vt:lpwstr>minister obrany</vt:lpwstr>
  </property>
  <property fmtid="{D5CDD505-2E9C-101B-9397-08002B2CF9AE}" pid="145" name="FSC#SKEDITIONSLOVLEX@103.510:funkciaZodpPredAkuzativ">
    <vt:lpwstr>ministra obrany Slovenskej republiky</vt:lpwstr>
  </property>
  <property fmtid="{D5CDD505-2E9C-101B-9397-08002B2CF9AE}" pid="146" name="FSC#SKEDITIONSLOVLEX@103.510:funkciaZodpPredDativ">
    <vt:lpwstr>ministrovi obrany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Jaroslav Naď_x000d_
minister obrany</vt:lpwstr>
  </property>
  <property fmtid="{D5CDD505-2E9C-101B-9397-08002B2CF9AE}" pid="151" name="FSC#SKEDITIONSLOVLEX@103.510:aktualnyrok">
    <vt:lpwstr>2021</vt:lpwstr>
  </property>
  <property fmtid="{D5CDD505-2E9C-101B-9397-08002B2CF9AE}" pid="152" name="FSC#SKEDITIONSLOVLEX@103.510:vytvorenedna">
    <vt:lpwstr>8. 6. 2021</vt:lpwstr>
  </property>
</Properties>
</file>