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5451" w:rsidRPr="005D6E5F" w:rsidP="00DD5451">
      <w:pPr>
        <w:bidi w:val="0"/>
        <w:spacing w:after="0" w:line="240" w:lineRule="auto"/>
        <w:jc w:val="center"/>
        <w:rPr>
          <w:rFonts w:ascii="Times New Roman" w:hAnsi="Times New Roman"/>
          <w:b/>
          <w:bCs/>
          <w:color w:val="000000" w:themeColor="tx1" w:themeShade="FF"/>
          <w:sz w:val="24"/>
          <w:szCs w:val="24"/>
        </w:rPr>
      </w:pPr>
      <w:r w:rsidRPr="005D6E5F">
        <w:rPr>
          <w:rFonts w:ascii="Times New Roman" w:hAnsi="Times New Roman"/>
          <w:b/>
          <w:bCs/>
          <w:caps/>
          <w:color w:val="000000" w:themeColor="tx1" w:themeShade="FF"/>
          <w:sz w:val="24"/>
          <w:szCs w:val="24"/>
        </w:rPr>
        <w:t xml:space="preserve">Dôvodová správa </w:t>
      </w:r>
    </w:p>
    <w:p w:rsidR="00DD5451" w:rsidRPr="005D6E5F" w:rsidP="00DD5451">
      <w:pPr>
        <w:bidi w:val="0"/>
        <w:spacing w:after="0" w:line="240" w:lineRule="auto"/>
        <w:rPr>
          <w:rFonts w:ascii="Times New Roman" w:hAnsi="Times New Roman"/>
          <w:b/>
          <w:bCs/>
          <w:color w:val="000000" w:themeColor="tx1" w:themeShade="FF"/>
          <w:sz w:val="24"/>
          <w:szCs w:val="24"/>
        </w:rPr>
      </w:pPr>
    </w:p>
    <w:p w:rsidR="00DD5451" w:rsidRPr="005D6E5F" w:rsidP="00DD5451">
      <w:pPr>
        <w:bidi w:val="0"/>
        <w:spacing w:after="0" w:line="240" w:lineRule="auto"/>
        <w:rPr>
          <w:rFonts w:ascii="Times New Roman" w:hAnsi="Times New Roman"/>
          <w:b/>
          <w:bCs/>
          <w:color w:val="000000" w:themeColor="tx1" w:themeShade="FF"/>
          <w:sz w:val="24"/>
          <w:szCs w:val="24"/>
        </w:rPr>
      </w:pPr>
    </w:p>
    <w:p w:rsidR="00DD5451" w:rsidRPr="005D6E5F" w:rsidP="00DD5451">
      <w:pPr>
        <w:bidi w:val="0"/>
        <w:spacing w:after="0" w:line="240" w:lineRule="auto"/>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A. Všeobecná časť</w:t>
      </w:r>
    </w:p>
    <w:p w:rsidR="00DD5451" w:rsidRPr="005D6E5F" w:rsidP="00DD5451">
      <w:pPr>
        <w:bidi w:val="0"/>
        <w:spacing w:after="0" w:line="240" w:lineRule="auto"/>
        <w:rPr>
          <w:rFonts w:ascii="Times New Roman" w:hAnsi="Times New Roman"/>
          <w:b/>
          <w:bCs/>
          <w:color w:val="000000" w:themeColor="tx1" w:themeShade="FF"/>
          <w:sz w:val="24"/>
          <w:szCs w:val="24"/>
        </w:rPr>
      </w:pPr>
    </w:p>
    <w:p w:rsidR="00DD5451" w:rsidRPr="005D6E5F" w:rsidP="005D6E5F">
      <w:pPr>
        <w:bidi w:val="0"/>
        <w:spacing w:after="0" w:line="240" w:lineRule="auto"/>
        <w:ind w:firstLine="708"/>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Návrh zákona, </w:t>
      </w:r>
      <w:r w:rsidRPr="005D6E5F">
        <w:rPr>
          <w:rFonts w:ascii="Times New Roman" w:hAnsi="Times New Roman"/>
          <w:color w:val="000000" w:themeColor="tx1" w:themeShade="FF"/>
          <w:sz w:val="24"/>
          <w:szCs w:val="24"/>
          <w:lang w:eastAsia="cs-CZ"/>
        </w:rPr>
        <w:t xml:space="preserve">ktorým </w:t>
      </w:r>
      <w:r w:rsidRPr="005D6E5F">
        <w:rPr>
          <w:rStyle w:val="PlaceholderText"/>
          <w:rFonts w:ascii="Times New Roman" w:hAnsi="Times New Roman"/>
          <w:color w:val="000000" w:themeColor="tx1" w:themeShade="FF"/>
          <w:sz w:val="24"/>
          <w:szCs w:val="24"/>
        </w:rPr>
        <w:t xml:space="preserve">sa mení a dopĺňa zákon č. </w:t>
      </w:r>
      <w:hyperlink r:id="rId4" w:tooltip="Odkaz na predpis alebo ustanovenie" w:history="1">
        <w:r w:rsidRPr="005D6E5F">
          <w:rPr>
            <w:rFonts w:ascii="Times New Roman" w:hAnsi="Times New Roman"/>
            <w:color w:val="000000" w:themeColor="tx1" w:themeShade="FF"/>
            <w:sz w:val="24"/>
            <w:szCs w:val="24"/>
          </w:rPr>
          <w:t xml:space="preserve">474/2013 Z. z. </w:t>
        </w:r>
      </w:hyperlink>
      <w:r w:rsidRPr="005D6E5F">
        <w:rPr>
          <w:rFonts w:ascii="Times New Roman" w:hAnsi="Times New Roman"/>
          <w:color w:val="000000" w:themeColor="tx1" w:themeShade="FF"/>
          <w:sz w:val="24"/>
          <w:szCs w:val="24"/>
        </w:rPr>
        <w:t>o výbere mýta za užívanie vymedzených úsekov pozemných komunikácií a o zmene a doplnení niektorých zákonov v znení neskorších predpisov a ktorým sa menia a dopĺňajú niektoré zákony (ďalej len „návrh zákona“) predkladá Ministerstvo dopravy a výstavy Slovenskej republiky na základe uznesenia vlády Sl</w:t>
      </w:r>
      <w:r w:rsidRPr="005D6E5F" w:rsidR="005D6E5F">
        <w:rPr>
          <w:rFonts w:ascii="Times New Roman" w:hAnsi="Times New Roman"/>
          <w:color w:val="000000" w:themeColor="tx1" w:themeShade="FF"/>
          <w:sz w:val="24"/>
          <w:szCs w:val="24"/>
        </w:rPr>
        <w:t>ovenskej republiky č. 491/2019.</w:t>
      </w:r>
    </w:p>
    <w:p w:rsidR="005D6E5F" w:rsidRPr="005D6E5F" w:rsidP="005D6E5F">
      <w:pPr>
        <w:bidi w:val="0"/>
        <w:spacing w:after="0" w:line="240" w:lineRule="auto"/>
        <w:ind w:firstLine="708"/>
        <w:jc w:val="both"/>
        <w:rPr>
          <w:rFonts w:ascii="Times New Roman" w:hAnsi="Times New Roman"/>
          <w:color w:val="000000" w:themeColor="tx1" w:themeShade="FF"/>
          <w:sz w:val="24"/>
          <w:szCs w:val="24"/>
        </w:rPr>
      </w:pPr>
    </w:p>
    <w:p w:rsidR="00DD5451" w:rsidRPr="005D6E5F" w:rsidP="00DD5451">
      <w:pPr>
        <w:bidi w:val="0"/>
        <w:spacing w:after="0" w:line="240" w:lineRule="auto"/>
        <w:ind w:firstLine="708"/>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Účelom návrhu zákona je transpozícia Smernice Európskeho Parlamentu a Rady (EÚ) 2019/520 z 19. marca 2019 o interoperabilite elektronických cestných mýtnych systémov a uľahčení cezhraničnej výmeny informácií o neuhradenom cestnom mýte v Únii (ďalej len „smernica), ktorá je výsledkom celoeurópskeho úsilia predovšetkým o uľahčenie interoperability pri výbere cestných poplatkov a náležité vymáhanie neuhradených poplatkov za použitie cestnej infraštruktúry v inom členkom štáte Európskej únie, a to najmä mýta, iných cestných poplatkov (diaľničná známka), poplatkov za použitie mosta, tunela, trajektu a pod. Návrhom zákona dochádza k transpozícii novoprijatej smernice v celej jej komplexnosti, jej premietnutiu do právneho poriadku SR a k zabezpečeniu dvoch základných cieľov smernice:</w:t>
      </w:r>
    </w:p>
    <w:p w:rsidR="00DD5451" w:rsidRPr="005D6E5F" w:rsidP="00DD5451">
      <w:pPr>
        <w:numPr>
          <w:numId w:val="6"/>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harmonizácia cezhraničnej výmeny údajov potrebných pre objasnenie neuhradených cestných poplatkov v inom členskom štáte EÚ,</w:t>
      </w:r>
    </w:p>
    <w:p w:rsidR="00DD5451" w:rsidRPr="005D6E5F" w:rsidP="00DD5451">
      <w:pPr>
        <w:numPr>
          <w:numId w:val="6"/>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zaručenie interoperability (vzájomného prepojenia) elektronických mýtnych systémov v rámci EÚ.</w:t>
      </w:r>
    </w:p>
    <w:p w:rsidR="00DD5451" w:rsidRPr="005D6E5F" w:rsidP="00DD5451">
      <w:pPr>
        <w:bidi w:val="0"/>
        <w:spacing w:after="0" w:line="240" w:lineRule="auto"/>
        <w:ind w:left="1068"/>
        <w:jc w:val="both"/>
        <w:rPr>
          <w:rFonts w:ascii="Times New Roman" w:hAnsi="Times New Roman"/>
          <w:color w:val="000000" w:themeColor="tx1" w:themeShade="FF"/>
          <w:sz w:val="24"/>
          <w:szCs w:val="24"/>
        </w:rPr>
      </w:pPr>
    </w:p>
    <w:p w:rsidR="00DD5451" w:rsidRPr="005D6E5F" w:rsidP="00DD5451">
      <w:pPr>
        <w:bidi w:val="0"/>
        <w:spacing w:after="0" w:line="240" w:lineRule="auto"/>
        <w:ind w:firstLine="708"/>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Návrhom zákona dochádza k úprave poskytovania údajov na účely objasnenia deliktov na úseku spoplatnenia pozemných komunikácií spáchaných na území SR a opačný postup, t. j. postup slovenských orgánov pri vybavovaní žiadostí iných členských štátov na účely objasnenia neuhradenia cestných poplatkov podľa ich predpisov. Návrhom dochádza aj k novelizácii zákona č</w:t>
      </w:r>
      <w:r w:rsidRPr="005D6E5F">
        <w:rPr>
          <w:rFonts w:ascii="Times New Roman" w:hAnsi="Times New Roman"/>
          <w:color w:val="000000" w:themeColor="tx1" w:themeShade="FF"/>
          <w:sz w:val="24"/>
          <w:szCs w:val="24"/>
          <w:shd w:val="clear" w:color="auto" w:fill="FFFFFF"/>
        </w:rPr>
        <w:t>. 488/2013 Z. z. o diaľničnej známke a o zmene niektorých zákonov</w:t>
      </w:r>
      <w:r w:rsidRPr="005D6E5F">
        <w:rPr>
          <w:rFonts w:ascii="Times New Roman" w:hAnsi="Times New Roman"/>
          <w:color w:val="000000" w:themeColor="tx1" w:themeShade="FF"/>
          <w:sz w:val="24"/>
          <w:szCs w:val="24"/>
        </w:rPr>
        <w:t xml:space="preserve"> v znení neskorších predpisov v súvislosti s úpravou sankcionovania neuhradenej diaľničnej známky na území SR. Návrhom zákona sa zároveň novelizuje zákon č. </w:t>
      </w:r>
      <w:hyperlink r:id="rId5" w:tooltip="Odkaz na predpis alebo ustanovenie" w:history="1">
        <w:r w:rsidRPr="005D6E5F">
          <w:rPr>
            <w:rFonts w:ascii="Times New Roman" w:hAnsi="Times New Roman"/>
            <w:color w:val="000000" w:themeColor="tx1" w:themeShade="FF"/>
            <w:sz w:val="24"/>
            <w:szCs w:val="24"/>
          </w:rPr>
          <w:t>8/2009 Z. z.</w:t>
        </w:r>
      </w:hyperlink>
      <w:r w:rsidRPr="005D6E5F">
        <w:rPr>
          <w:rFonts w:ascii="Times New Roman" w:hAnsi="Times New Roman"/>
          <w:color w:val="000000" w:themeColor="tx1" w:themeShade="FF"/>
          <w:sz w:val="24"/>
          <w:szCs w:val="24"/>
        </w:rPr>
        <w:t xml:space="preserve"> o cestnej premávke a o zmene a doplnení niektorých zákonov v znení neskorších predpisov predovšetkým v súvislosti s postupom národného kontaktného miesta EUCARIS – Ministerstva vnútra SR pri vybavovaní žiadostí iného členského o poskytnutie údajov z evidencie vozidiel s cieľom objasnenia neuhradenia cestného poplatku.</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ind w:firstLine="708"/>
        <w:jc w:val="both"/>
        <w:rPr>
          <w:rStyle w:val="PlaceholderText"/>
          <w:color w:val="000000" w:themeColor="tx1" w:themeShade="FF"/>
          <w:sz w:val="24"/>
          <w:szCs w:val="24"/>
        </w:rPr>
      </w:pPr>
      <w:r w:rsidRPr="005D6E5F">
        <w:rPr>
          <w:rFonts w:ascii="Times New Roman" w:hAnsi="Times New Roman"/>
          <w:color w:val="000000" w:themeColor="tx1" w:themeShade="FF"/>
          <w:sz w:val="24"/>
          <w:szCs w:val="24"/>
        </w:rPr>
        <w:t xml:space="preserve">Návrh zákona má vplyvy na rozpočet verejnej správy, vplyvy </w:t>
        <w:br/>
        <w:t>na podnikateľské prostredie, nemá sociálne vplyvy, ani vplyvy na životné prostredie, ani vplyvy na informatizáciu spoločnosti, ani vplyvy na služby verejnej správy pre občana, ani vplyvy na manželstvo, rodičovstvo a rodinu</w:t>
      </w:r>
      <w:r w:rsidRPr="005D6E5F">
        <w:rPr>
          <w:rStyle w:val="PlaceholderText"/>
          <w:color w:val="000000" w:themeColor="tx1" w:themeShade="FF"/>
          <w:sz w:val="24"/>
          <w:szCs w:val="24"/>
        </w:rPr>
        <w:t>.</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pStyle w:val="BodyTextIndent2"/>
        <w:bidi w:val="0"/>
        <w:spacing w:after="0" w:line="240" w:lineRule="auto"/>
        <w:ind w:left="0" w:firstLine="708"/>
        <w:jc w:val="both"/>
        <w:rPr>
          <w:rFonts w:ascii="Times New Roman" w:hAnsi="Times New Roman" w:cs="Times New Roman"/>
          <w:color w:val="000000" w:themeColor="tx1" w:themeShade="FF"/>
          <w:sz w:val="24"/>
          <w:szCs w:val="24"/>
        </w:rPr>
      </w:pPr>
      <w:r w:rsidRPr="005D6E5F">
        <w:rPr>
          <w:rFonts w:ascii="Times New Roman" w:hAnsi="Times New Roman" w:cs="Times New Roman"/>
          <w:color w:val="000000" w:themeColor="tx1" w:themeShade="FF"/>
          <w:sz w:val="24"/>
          <w:szCs w:val="24"/>
        </w:rPr>
        <w:t>Návrh zákona je v súlade s Ústavou SR, ústavnými zákonmi SR a nálezmi Ústavného súdu SR, platným právnym poriadkom SR, medzinárodnými zmluvami a inými medzinárodnými dokumentmi, ktorými je Slovenská republika viazaná, ako aj s právom Európskej únie.</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tabs>
          <w:tab w:val="left" w:pos="360"/>
        </w:tabs>
        <w:bidi w:val="0"/>
        <w:spacing w:after="0" w:line="240" w:lineRule="auto"/>
        <w:ind w:firstLine="709"/>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Dátum účinnosti sa navrhuje s prihliadnutím na dĺžku legislatívneho procesu a potrebnú legisvakanciu.</w:t>
      </w:r>
    </w:p>
    <w:p w:rsidR="005D6E5F" w:rsidRPr="005D6E5F" w:rsidP="00DD5451">
      <w:pPr>
        <w:tabs>
          <w:tab w:val="left" w:pos="360"/>
        </w:tabs>
        <w:bidi w:val="0"/>
        <w:spacing w:after="0" w:line="240" w:lineRule="auto"/>
        <w:ind w:firstLine="709"/>
        <w:jc w:val="both"/>
        <w:rPr>
          <w:rFonts w:ascii="Times New Roman" w:hAnsi="Times New Roman"/>
          <w:color w:val="000000" w:themeColor="tx1" w:themeShade="FF"/>
          <w:sz w:val="24"/>
          <w:szCs w:val="24"/>
        </w:rPr>
      </w:pPr>
    </w:p>
    <w:p w:rsidR="00DD5451" w:rsidRPr="005D6E5F" w:rsidP="00DD5451">
      <w:pPr>
        <w:bidi w:val="0"/>
        <w:jc w:val="center"/>
        <w:rPr>
          <w:rFonts w:ascii="Times New Roman" w:hAnsi="Times New Roman"/>
          <w:b/>
          <w:bCs/>
          <w:color w:val="000000" w:themeColor="tx1" w:themeShade="FF"/>
          <w:sz w:val="28"/>
          <w:szCs w:val="28"/>
        </w:rPr>
      </w:pPr>
      <w:r w:rsidRPr="005D6E5F">
        <w:rPr>
          <w:rFonts w:ascii="Times New Roman" w:hAnsi="Times New Roman"/>
          <w:b/>
          <w:bCs/>
          <w:color w:val="000000" w:themeColor="tx1" w:themeShade="FF"/>
          <w:sz w:val="28"/>
          <w:szCs w:val="28"/>
        </w:rPr>
        <w:t>Doložka vybraných vplyvov</w:t>
      </w:r>
    </w:p>
    <w:p w:rsidR="00DD5451" w:rsidRPr="005D6E5F" w:rsidP="00DD5451">
      <w:pPr>
        <w:pStyle w:val="ListParagraph"/>
        <w:bidi w:val="0"/>
        <w:ind w:left="426"/>
        <w:rPr>
          <w:rFonts w:ascii="Times New Roman" w:hAnsi="Times New Roman"/>
          <w:b/>
          <w:color w:val="000000" w:themeColor="tx1" w:themeShade="FF"/>
          <w:sz w:val="20"/>
          <w:szCs w:val="20"/>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BA78E4">
            <w:pPr>
              <w:pStyle w:val="ListParagraph"/>
              <w:bidi w:val="0"/>
              <w:spacing w:after="0" w:line="240" w:lineRule="auto"/>
              <w:ind w:left="142"/>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DD5451" w:rsidRPr="005D6E5F" w:rsidP="00BA78E4">
            <w:pPr>
              <w:pStyle w:val="titulok"/>
              <w:bidi w:val="0"/>
              <w:spacing w:before="0" w:beforeAutospacing="0" w:after="0" w:afterAutospacing="0"/>
              <w:jc w:val="both"/>
              <w:rPr>
                <w:rFonts w:ascii="Times New Roman" w:hAnsi="Times New Roman" w:cs="Times New Roman"/>
                <w:b w:val="0"/>
                <w:color w:val="000000" w:themeColor="tx1" w:themeShade="FF"/>
                <w:sz w:val="20"/>
                <w:szCs w:val="20"/>
              </w:rPr>
            </w:pPr>
            <w:r w:rsidRPr="005D6E5F">
              <w:rPr>
                <w:rFonts w:ascii="Times New Roman" w:hAnsi="Times New Roman" w:cs="Times New Roman"/>
                <w:b w:val="0"/>
                <w:color w:val="000000" w:themeColor="tx1" w:themeShade="FF"/>
                <w:sz w:val="20"/>
                <w:szCs w:val="20"/>
              </w:rPr>
              <w:t xml:space="preserve">Návrh zákona, </w:t>
            </w:r>
            <w:r w:rsidRPr="005D6E5F">
              <w:rPr>
                <w:rFonts w:ascii="Times New Roman" w:hAnsi="Times New Roman" w:cs="Times New Roman"/>
                <w:b w:val="0"/>
                <w:color w:val="000000" w:themeColor="tx1" w:themeShade="FF"/>
                <w:sz w:val="20"/>
                <w:szCs w:val="20"/>
                <w:lang w:eastAsia="cs-CZ"/>
              </w:rPr>
              <w:t xml:space="preserve">ktorým </w:t>
            </w:r>
            <w:r w:rsidRPr="005D6E5F">
              <w:rPr>
                <w:rStyle w:val="PlaceholderText"/>
                <w:rFonts w:ascii="Times New Roman" w:hAnsi="Times New Roman"/>
                <w:b w:val="0"/>
                <w:color w:val="000000" w:themeColor="tx1" w:themeShade="FF"/>
                <w:sz w:val="20"/>
                <w:szCs w:val="20"/>
              </w:rPr>
              <w:t xml:space="preserve">sa mení a dopĺňa zákon č. </w:t>
            </w:r>
            <w:hyperlink r:id="rId4" w:tooltip="Odkaz na predpis alebo ustanovenie" w:history="1">
              <w:r w:rsidRPr="005D6E5F">
                <w:rPr>
                  <w:rStyle w:val="Hyperlink"/>
                  <w:rFonts w:ascii="Times New Roman" w:hAnsi="Times New Roman"/>
                  <w:b w:val="0"/>
                  <w:color w:val="000000" w:themeColor="tx1"/>
                  <w:sz w:val="20"/>
                  <w:szCs w:val="20"/>
                </w:rPr>
                <w:t xml:space="preserve">474/2013 Z. z. </w:t>
              </w:r>
            </w:hyperlink>
            <w:r w:rsidRPr="005D6E5F">
              <w:rPr>
                <w:rFonts w:ascii="Times New Roman" w:hAnsi="Times New Roman" w:cs="Times New Roman"/>
                <w:b w:val="0"/>
                <w:color w:val="000000" w:themeColor="tx1" w:themeShade="FF"/>
                <w:sz w:val="20"/>
                <w:szCs w:val="20"/>
              </w:rPr>
              <w:t>o výbere mýta za užívanie vymedzených úsekov pozemných komunikácií a o zmene a doplnení niektorých zákonov v znení neskorších predpisov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BA78E4">
            <w:pPr>
              <w:pStyle w:val="ListParagraph"/>
              <w:bidi w:val="0"/>
              <w:spacing w:after="0" w:line="240" w:lineRule="auto"/>
              <w:ind w:left="142"/>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Ministerstvo dopravy a výstavby Slovenskej republiky</w:t>
            </w:r>
          </w:p>
          <w:p w:rsidR="00DD5451" w:rsidRPr="005D6E5F" w:rsidP="00BA78E4">
            <w:pPr>
              <w:bidi w:val="0"/>
              <w:spacing w:after="0" w:line="240" w:lineRule="auto"/>
              <w:rPr>
                <w:rFonts w:ascii="Times New Roman" w:hAnsi="Times New Roman"/>
                <w:color w:val="000000" w:themeColor="tx1" w:themeShade="FF"/>
                <w:sz w:val="20"/>
                <w:szCs w:val="20"/>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D5451" w:rsidRPr="005D6E5F" w:rsidP="00BA78E4">
            <w:pPr>
              <w:pStyle w:val="ListParagraph"/>
              <w:bidi w:val="0"/>
              <w:spacing w:after="0" w:line="240" w:lineRule="auto"/>
              <w:ind w:left="142"/>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Mincho" w:hAnsi="Segoe UI Symbol" w:cs="Segoe UI Symbol" w:hint="default"/>
                <w:color w:val="000000" w:themeColor="tx1" w:themeShade="FF"/>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ind w:left="175" w:hanging="175"/>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color w:val="000000" w:themeColor="tx1" w:themeShade="FF"/>
                <w:sz w:val="20"/>
                <w:szCs w:val="20"/>
              </w:rPr>
              <w:t>Smernica Európskeho parlamentu a Rady 2019/520 z 19. marca 2019 o interoperabilite elektronických cestných mýtnych systémov a uľahčení cezhraničnej výmeny informácií o neuhradenom cestnom mýte v Únii (Ú. v. EÚ L 91, 29.3.2019).</w:t>
            </w:r>
          </w:p>
          <w:p w:rsidR="00DD5451" w:rsidRPr="005D6E5F" w:rsidP="00BA78E4">
            <w:pPr>
              <w:bidi w:val="0"/>
              <w:spacing w:after="0" w:line="240" w:lineRule="auto"/>
              <w:rPr>
                <w:rFonts w:ascii="Times New Roman" w:hAnsi="Times New Roman"/>
                <w:color w:val="000000" w:themeColor="tx1" w:themeShade="FF"/>
                <w:sz w:val="20"/>
                <w:szCs w:val="20"/>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DD5451" w:rsidRPr="005D6E5F" w:rsidP="00BA78E4">
            <w:pPr>
              <w:pStyle w:val="ListParagraph"/>
              <w:bidi w:val="0"/>
              <w:spacing w:after="0" w:line="240" w:lineRule="auto"/>
              <w:ind w:left="142"/>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highlight w:val="yellow"/>
              </w:rPr>
            </w:pPr>
            <w:r w:rsidRPr="005D6E5F">
              <w:rPr>
                <w:rFonts w:ascii="Times New Roman" w:hAnsi="Times New Roman"/>
                <w:color w:val="000000" w:themeColor="tx1" w:themeShade="FF"/>
                <w:sz w:val="20"/>
                <w:szCs w:val="20"/>
              </w:rPr>
              <w:t>25.- 31. 3.2021</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BA78E4">
            <w:pPr>
              <w:pStyle w:val="ListParagraph"/>
              <w:bidi w:val="0"/>
              <w:spacing w:after="0" w:line="240" w:lineRule="auto"/>
              <w:ind w:left="142"/>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highlight w:val="yellow"/>
              </w:rPr>
            </w:pPr>
            <w:r w:rsidRPr="005D6E5F">
              <w:rPr>
                <w:rFonts w:ascii="Times New Roman" w:hAnsi="Times New Roman"/>
                <w:color w:val="000000" w:themeColor="tx1" w:themeShade="FF"/>
                <w:sz w:val="20"/>
                <w:szCs w:val="20"/>
              </w:rPr>
              <w:t>apríl 2021</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BA78E4">
            <w:pPr>
              <w:pStyle w:val="ListParagraph"/>
              <w:bidi w:val="0"/>
              <w:spacing w:after="0" w:line="240" w:lineRule="auto"/>
              <w:ind w:left="142"/>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máj 2021</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Definovanie problému</w:t>
            </w:r>
          </w:p>
        </w:tc>
      </w:tr>
      <w:tr>
        <w:tblPrEx>
          <w:tblW w:w="9180" w:type="dxa"/>
          <w:tblLayout w:type="fixed"/>
          <w:tblLook w:val="04A0"/>
        </w:tblPrEx>
        <w:trPr>
          <w:trHeight w:val="495"/>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Potreba harmonizácie cezhraničnej výmeny údajov potrebných pre objasnenie neuhradených cestných poplatkov v inom členskom štáte EÚ a potreba uľahčenia interoperability (vzájomného prepojenia) elektronických mýtnych systémov v rámci EÚ.</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Ciele a výsledný stav</w:t>
            </w:r>
          </w:p>
        </w:tc>
      </w:tr>
      <w:tr>
        <w:tblPrEx>
          <w:tblW w:w="9180" w:type="dxa"/>
          <w:tblLayout w:type="fixed"/>
          <w:tblLook w:val="04A0"/>
        </w:tblPrEx>
        <w:trPr>
          <w:trHeight w:val="30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Transpozícia smernice Európskeho Parlamentu a Rady (EÚ) 2019/520 z 19. marca 2019 o interoperabilite elektronických cestných mýtnych systémov a uľahčení cezhraničnej výmeny informácií o neuhradenom cestnom mýte v Únii.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Podnikateľské prostredie vo všeobecnosti, užívatelia vymedzených úsekov ciest, Národná diaľničná spoločnosť, a.s.</w:t>
            </w:r>
          </w:p>
          <w:p w:rsidR="00DD5451" w:rsidRPr="005D6E5F" w:rsidP="00BA78E4">
            <w:pPr>
              <w:bidi w:val="0"/>
              <w:spacing w:after="0" w:line="240" w:lineRule="auto"/>
              <w:rPr>
                <w:rFonts w:ascii="Times New Roman" w:hAnsi="Times New Roman"/>
                <w:i/>
                <w:color w:val="000000" w:themeColor="tx1" w:themeShade="FF"/>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i/>
                <w:color w:val="000000" w:themeColor="tx1" w:themeShade="FF"/>
                <w:sz w:val="20"/>
                <w:szCs w:val="20"/>
              </w:rPr>
            </w:pPr>
            <w:r w:rsidRPr="005D6E5F">
              <w:rPr>
                <w:rFonts w:ascii="Times New Roman" w:hAnsi="Times New Roman"/>
                <w:color w:val="000000" w:themeColor="tx1" w:themeShade="FF"/>
                <w:sz w:val="20"/>
                <w:szCs w:val="20"/>
              </w:rPr>
              <w:t xml:space="preserve">Nulový variant. Opomenutie novelizácie zákona č. 474/2013 Z. z. by predstavovalo prekážku </w:t>
              <w:br/>
              <w:t>pre transpozíciu smernice.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r w:rsidRPr="005D6E5F">
              <w:rPr>
                <w:rFonts w:ascii="Times New Roman" w:hAnsi="Times New Roman"/>
                <w:color w:val="000000" w:themeColor="tx1" w:themeShade="FF"/>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r w:rsidRPr="005D6E5F">
              <w:rPr>
                <w:rFonts w:ascii="Times New Roman" w:hAnsi="Times New Roman"/>
                <w:color w:val="000000" w:themeColor="tx1" w:themeShade="FF"/>
                <w:sz w:val="20"/>
                <w:szCs w:val="20"/>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Ak áno, uveďte ktoré oblasti budú nimi upravené, resp. ktorých vykonávacích predpisov sa zmena dotkne:</w:t>
            </w:r>
          </w:p>
          <w:p w:rsidR="00DD5451" w:rsidRPr="005D6E5F" w:rsidP="00BA78E4">
            <w:pPr>
              <w:bidi w:val="0"/>
              <w:spacing w:after="0" w:line="240" w:lineRule="auto"/>
              <w:rPr>
                <w:rFonts w:ascii="Times New Roman" w:hAnsi="Times New Roman"/>
                <w:color w:val="000000" w:themeColor="tx1" w:themeShade="FF"/>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Transpozícia smernice Európskeho Parlamentu a Rady (EÚ) 2019/520 z 19. marca 2019 o interoperabilite elektronických cestných mýtnych systémov a uľahčení cezhraničnej výmeny informácií o neuhradenom cestnom mýte v Únii. </w:t>
            </w:r>
          </w:p>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Návrh zákona  nejde nad rámec minimálnej transpozičnej povinnosti - predkladateľom v rámci transpozície do právneho poriadku SR nebol identifikovaný efekt tzv. </w:t>
            </w:r>
            <w:r w:rsidRPr="005D6E5F">
              <w:rPr>
                <w:rFonts w:ascii="Times New Roman" w:hAnsi="Times New Roman"/>
                <w:i/>
                <w:color w:val="000000" w:themeColor="tx1" w:themeShade="FF"/>
                <w:sz w:val="20"/>
                <w:szCs w:val="20"/>
              </w:rPr>
              <w:t>gold-platingu</w:t>
            </w:r>
            <w:r w:rsidRPr="005D6E5F">
              <w:rPr>
                <w:rFonts w:ascii="Times New Roman" w:hAnsi="Times New Roman"/>
                <w:color w:val="000000" w:themeColor="tx1" w:themeShade="FF"/>
                <w:sz w:val="20"/>
                <w:szCs w:val="20"/>
              </w:rPr>
              <w:t>.</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p>
          <w:p w:rsidR="00DD5451" w:rsidRPr="005D6E5F" w:rsidP="00BA78E4">
            <w:pPr>
              <w:bidi w:val="0"/>
              <w:spacing w:after="0" w:line="240" w:lineRule="auto"/>
              <w:ind w:left="142" w:hanging="142"/>
              <w:rPr>
                <w:rFonts w:ascii="Times New Roman" w:hAnsi="Times New Roman"/>
                <w:color w:val="000000" w:themeColor="tx1" w:themeShade="FF"/>
                <w:sz w:val="20"/>
                <w:szCs w:val="20"/>
              </w:rPr>
            </w:pPr>
          </w:p>
          <w:p w:rsidR="00DD5451" w:rsidRPr="005D6E5F" w:rsidP="00BA78E4">
            <w:pPr>
              <w:bidi w:val="0"/>
              <w:spacing w:after="0" w:line="240" w:lineRule="auto"/>
              <w:ind w:left="142" w:hanging="142"/>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 vyplniť iba v prípade, ak materiál nie je zahrnutý do Plánu práce vlády Slovenskej republiky alebo Plánu        legislatívnych úloh vlády Slovenskej republiky. </w:t>
            </w:r>
          </w:p>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left="-107" w:right="-108"/>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3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Áno</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Nie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left="-107" w:right="-108"/>
              <w:jc w:val="center"/>
              <w:rPr>
                <w:rFonts w:ascii="Times New Roman" w:hAnsi="Times New Roman"/>
                <w:color w:val="000000" w:themeColor="tx1" w:themeShade="FF"/>
                <w:sz w:val="20"/>
                <w:szCs w:val="20"/>
              </w:rPr>
            </w:pPr>
            <w:r w:rsidRPr="005D6E5F">
              <w:rPr>
                <w:rFonts w:ascii="Segoe UI Symbol" w:eastAsia="MS Mincho" w:hAnsi="Segoe UI Symbol" w:cs="Segoe UI Symbol" w:hint="default"/>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34"/>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right="-10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5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right="-108"/>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Pozitívne</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54"/>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right="-10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5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right="-10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5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81"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ind w:right="-10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9"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gridSpan w:val="2"/>
            <w:tcBorders>
              <w:top w:val="single" w:sz="4" w:space="0" w:color="auto"/>
              <w:left w:val="nil"/>
              <w:bottom w:val="single" w:sz="4" w:space="0" w:color="auto"/>
              <w:right w:val="nil"/>
            </w:tcBorders>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97" w:type="dxa"/>
            <w:tcBorders>
              <w:top w:val="single" w:sz="4" w:space="0" w:color="auto"/>
              <w:left w:val="nil"/>
              <w:bottom w:val="single" w:sz="4" w:space="0" w:color="auto"/>
              <w:right w:val="single" w:sz="4" w:space="0" w:color="auto"/>
            </w:tcBorders>
            <w:textDirection w:val="lrTb"/>
            <w:vAlign w:val="top"/>
          </w:tcPr>
          <w:p w:rsidR="00DD5451" w:rsidRPr="005D6E5F" w:rsidP="00BA78E4">
            <w:pPr>
              <w:bidi w:val="0"/>
              <w:spacing w:after="0" w:line="240" w:lineRule="auto"/>
              <w:ind w:left="5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bl>
    <w:tbl>
      <w:tblPr>
        <w:tblStyle w:val="TableNormal"/>
        <w:tblW w:w="92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
        <w:gridCol w:w="3698"/>
        <w:gridCol w:w="96"/>
        <w:gridCol w:w="559"/>
        <w:gridCol w:w="1188"/>
        <w:gridCol w:w="96"/>
        <w:gridCol w:w="566"/>
        <w:gridCol w:w="1039"/>
        <w:gridCol w:w="94"/>
        <w:gridCol w:w="547"/>
        <w:gridCol w:w="1205"/>
        <w:gridCol w:w="92"/>
      </w:tblGrid>
      <w:tr>
        <w:tblPrEx>
          <w:tblW w:w="92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84" w:type="dxa"/>
        </w:trPr>
        <w:tc>
          <w:tcPr>
            <w:tcW w:w="3794" w:type="dxa"/>
            <w:gridSpan w:val="2"/>
            <w:tcBorders>
              <w:top w:val="single" w:sz="4" w:space="0" w:color="auto"/>
              <w:left w:val="single" w:sz="4" w:space="0" w:color="auto"/>
              <w:bottom w:val="nil"/>
              <w:right w:val="single" w:sz="4" w:space="0" w:color="auto"/>
            </w:tcBorders>
            <w:shd w:val="clear" w:color="auto" w:fill="E2E2E2"/>
            <w:textDirection w:val="lrTb"/>
            <w:vAlign w:val="top"/>
          </w:tcPr>
          <w:p w:rsidR="00DD5451" w:rsidRPr="005D6E5F" w:rsidP="00BA78E4">
            <w:pPr>
              <w:bidi w:val="0"/>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Vplyvy na služby verejnej správy pre občana, z toho</w:t>
            </w:r>
          </w:p>
        </w:tc>
        <w:tc>
          <w:tcPr>
            <w:tcW w:w="559" w:type="dxa"/>
            <w:tcBorders>
              <w:top w:val="single" w:sz="4" w:space="0" w:color="auto"/>
              <w:left w:val="single" w:sz="4" w:space="0" w:color="auto"/>
              <w:bottom w:val="nil"/>
              <w:right w:val="nil"/>
            </w:tcBorders>
            <w:textDirection w:val="lrTb"/>
            <w:vAlign w:val="top"/>
          </w:tcPr>
          <w:p w:rsidR="00DD5451" w:rsidRPr="005D6E5F" w:rsidP="00BA78E4">
            <w:pPr>
              <w:bidi w:val="0"/>
              <w:jc w:val="center"/>
              <w:rPr>
                <w:rFonts w:ascii="Times New Roman" w:eastAsia="MS Mincho" w:hAnsi="Times New Roman"/>
                <w:b/>
                <w:color w:val="000000" w:themeColor="tx1" w:themeShade="FF"/>
                <w:sz w:val="20"/>
                <w:szCs w:val="20"/>
              </w:rPr>
            </w:pPr>
          </w:p>
        </w:tc>
        <w:tc>
          <w:tcPr>
            <w:tcW w:w="1284" w:type="dxa"/>
            <w:gridSpan w:val="2"/>
            <w:tcBorders>
              <w:top w:val="single" w:sz="4" w:space="0" w:color="auto"/>
              <w:left w:val="nil"/>
              <w:bottom w:val="nil"/>
              <w:right w:val="nil"/>
            </w:tcBorders>
            <w:textDirection w:val="lrTb"/>
            <w:vAlign w:val="top"/>
          </w:tcPr>
          <w:p w:rsidR="00DD5451" w:rsidRPr="005D6E5F" w:rsidP="00BA78E4">
            <w:pPr>
              <w:bidi w:val="0"/>
              <w:ind w:right="-108"/>
              <w:rPr>
                <w:rFonts w:ascii="Times New Roman" w:hAnsi="Times New Roman"/>
                <w:b/>
                <w:color w:val="000000" w:themeColor="tx1" w:themeShade="FF"/>
                <w:sz w:val="20"/>
                <w:szCs w:val="20"/>
              </w:rPr>
            </w:pPr>
          </w:p>
        </w:tc>
        <w:tc>
          <w:tcPr>
            <w:tcW w:w="566" w:type="dxa"/>
            <w:tcBorders>
              <w:top w:val="single" w:sz="4" w:space="0" w:color="auto"/>
              <w:left w:val="nil"/>
              <w:bottom w:val="nil"/>
              <w:right w:val="nil"/>
            </w:tcBorders>
            <w:textDirection w:val="lrTb"/>
            <w:vAlign w:val="top"/>
          </w:tcPr>
          <w:p w:rsidR="00DD5451" w:rsidRPr="005D6E5F" w:rsidP="00BA78E4">
            <w:pPr>
              <w:bidi w:val="0"/>
              <w:jc w:val="center"/>
              <w:rPr>
                <w:rFonts w:ascii="Times New Roman" w:eastAsia="MS Mincho" w:hAnsi="Times New Roman"/>
                <w:b/>
                <w:color w:val="000000" w:themeColor="tx1" w:themeShade="FF"/>
                <w:sz w:val="20"/>
                <w:szCs w:val="20"/>
              </w:rPr>
            </w:pPr>
          </w:p>
        </w:tc>
        <w:tc>
          <w:tcPr>
            <w:tcW w:w="1133" w:type="dxa"/>
            <w:gridSpan w:val="2"/>
            <w:tcBorders>
              <w:top w:val="single" w:sz="4" w:space="0" w:color="auto"/>
              <w:left w:val="nil"/>
              <w:bottom w:val="nil"/>
              <w:right w:val="nil"/>
            </w:tcBorders>
            <w:textDirection w:val="lrTb"/>
            <w:vAlign w:val="top"/>
          </w:tcPr>
          <w:p w:rsidR="00DD5451" w:rsidRPr="005D6E5F" w:rsidP="00BA78E4">
            <w:pPr>
              <w:bidi w:val="0"/>
              <w:rPr>
                <w:rFonts w:ascii="Times New Roman" w:hAnsi="Times New Roman"/>
                <w:b/>
                <w:color w:val="000000" w:themeColor="tx1" w:themeShade="FF"/>
                <w:sz w:val="20"/>
                <w:szCs w:val="20"/>
              </w:rPr>
            </w:pPr>
          </w:p>
        </w:tc>
        <w:tc>
          <w:tcPr>
            <w:tcW w:w="547" w:type="dxa"/>
            <w:tcBorders>
              <w:top w:val="single" w:sz="4" w:space="0" w:color="auto"/>
              <w:left w:val="nil"/>
              <w:bottom w:val="nil"/>
              <w:right w:val="nil"/>
            </w:tcBorders>
            <w:textDirection w:val="lrTb"/>
            <w:vAlign w:val="top"/>
          </w:tcPr>
          <w:p w:rsidR="00DD5451" w:rsidRPr="005D6E5F" w:rsidP="00BA78E4">
            <w:pPr>
              <w:bidi w:val="0"/>
              <w:jc w:val="center"/>
              <w:rPr>
                <w:rFonts w:ascii="Times New Roman" w:eastAsia="MS Mincho" w:hAnsi="Times New Roman"/>
                <w:b/>
                <w:color w:val="000000" w:themeColor="tx1" w:themeShade="FF"/>
                <w:sz w:val="20"/>
                <w:szCs w:val="20"/>
              </w:rPr>
            </w:pPr>
          </w:p>
        </w:tc>
        <w:tc>
          <w:tcPr>
            <w:tcW w:w="1297" w:type="dxa"/>
            <w:gridSpan w:val="2"/>
            <w:tcBorders>
              <w:top w:val="single" w:sz="4" w:space="0" w:color="auto"/>
              <w:left w:val="nil"/>
              <w:bottom w:val="nil"/>
              <w:right w:val="single" w:sz="4" w:space="0" w:color="auto"/>
            </w:tcBorders>
            <w:textDirection w:val="lrTb"/>
            <w:vAlign w:val="top"/>
          </w:tcPr>
          <w:p w:rsidR="00DD5451" w:rsidRPr="005D6E5F" w:rsidP="00BA78E4">
            <w:pPr>
              <w:bidi w:val="0"/>
              <w:ind w:left="54"/>
              <w:rPr>
                <w:rFonts w:ascii="Times New Roman" w:hAnsi="Times New Roman"/>
                <w:b/>
                <w:color w:val="000000" w:themeColor="tx1" w:themeShade="FF"/>
                <w:sz w:val="20"/>
                <w:szCs w:val="20"/>
              </w:rPr>
            </w:pPr>
          </w:p>
        </w:tc>
      </w:tr>
      <w:tr>
        <w:tblPrEx>
          <w:tblW w:w="9264" w:type="dxa"/>
          <w:tblInd w:w="-84" w:type="dxa"/>
          <w:tblLayout w:type="fixed"/>
          <w:tblLook w:val="04A0"/>
        </w:tblPrEx>
        <w:trPr>
          <w:gridBefore w:val="1"/>
          <w:wBefore w:w="84" w:type="dxa"/>
        </w:trPr>
        <w:tc>
          <w:tcPr>
            <w:tcW w:w="3794" w:type="dxa"/>
            <w:gridSpan w:val="2"/>
            <w:tcBorders>
              <w:top w:val="nil"/>
              <w:left w:val="single" w:sz="4" w:space="0" w:color="auto"/>
              <w:bottom w:val="nil"/>
              <w:right w:val="single" w:sz="4" w:space="0" w:color="auto"/>
            </w:tcBorders>
            <w:shd w:val="clear" w:color="auto" w:fill="E2E2E2"/>
            <w:textDirection w:val="lrTb"/>
            <w:vAlign w:val="top"/>
          </w:tcPr>
          <w:p w:rsidR="00DD5451" w:rsidRPr="005D6E5F" w:rsidP="00BA78E4">
            <w:pPr>
              <w:bidi w:val="0"/>
              <w:ind w:left="196" w:hanging="19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 xml:space="preserve">    vplyvy služieb verejnej správy na občana</w:t>
            </w:r>
          </w:p>
        </w:tc>
        <w:tc>
          <w:tcPr>
            <w:tcW w:w="559" w:type="dxa"/>
            <w:tcBorders>
              <w:top w:val="nil"/>
              <w:left w:val="single" w:sz="4" w:space="0" w:color="auto"/>
              <w:bottom w:val="nil"/>
              <w:right w:val="nil"/>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284" w:type="dxa"/>
            <w:gridSpan w:val="2"/>
            <w:tcBorders>
              <w:top w:val="nil"/>
              <w:left w:val="nil"/>
              <w:bottom w:val="nil"/>
              <w:right w:val="nil"/>
            </w:tcBorders>
            <w:textDirection w:val="lrTb"/>
            <w:vAlign w:val="top"/>
          </w:tcPr>
          <w:p w:rsidR="00DD5451" w:rsidRPr="005D6E5F" w:rsidP="00BA78E4">
            <w:pPr>
              <w:bidi w:val="0"/>
              <w:ind w:right="-10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6" w:type="dxa"/>
            <w:tcBorders>
              <w:top w:val="nil"/>
              <w:left w:val="nil"/>
              <w:bottom w:val="nil"/>
              <w:right w:val="nil"/>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gridSpan w:val="2"/>
            <w:tcBorders>
              <w:top w:val="nil"/>
              <w:left w:val="nil"/>
              <w:bottom w:val="nil"/>
              <w:right w:val="nil"/>
            </w:tcBorders>
            <w:textDirection w:val="lrTb"/>
            <w:vAlign w:val="top"/>
          </w:tcPr>
          <w:p w:rsidR="00DD5451" w:rsidRPr="005D6E5F" w:rsidP="00BA78E4">
            <w:pPr>
              <w:bidi w:val="0"/>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tcBorders>
              <w:top w:val="nil"/>
              <w:left w:val="nil"/>
              <w:bottom w:val="nil"/>
              <w:right w:val="nil"/>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97" w:type="dxa"/>
            <w:gridSpan w:val="2"/>
            <w:tcBorders>
              <w:top w:val="nil"/>
              <w:left w:val="nil"/>
              <w:bottom w:val="nil"/>
              <w:right w:val="single" w:sz="4" w:space="0" w:color="auto"/>
            </w:tcBorders>
            <w:textDirection w:val="lrTb"/>
            <w:vAlign w:val="top"/>
          </w:tcPr>
          <w:p w:rsidR="00DD5451" w:rsidRPr="005D6E5F" w:rsidP="00BA78E4">
            <w:pPr>
              <w:bidi w:val="0"/>
              <w:ind w:left="5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r>
        <w:tblPrEx>
          <w:tblW w:w="9264" w:type="dxa"/>
          <w:tblInd w:w="-84" w:type="dxa"/>
          <w:tblLayout w:type="fixed"/>
          <w:tblLook w:val="04A0"/>
        </w:tblPrEx>
        <w:trPr>
          <w:gridBefore w:val="1"/>
          <w:wBefore w:w="84" w:type="dxa"/>
        </w:trPr>
        <w:tc>
          <w:tcPr>
            <w:tcW w:w="3794" w:type="dxa"/>
            <w:gridSpan w:val="2"/>
            <w:tcBorders>
              <w:top w:val="nil"/>
              <w:left w:val="single" w:sz="4" w:space="0" w:color="auto"/>
              <w:bottom w:val="single" w:sz="4" w:space="0" w:color="auto"/>
              <w:right w:val="single" w:sz="4" w:space="0" w:color="auto"/>
            </w:tcBorders>
            <w:shd w:val="clear" w:color="auto" w:fill="E2E2E2"/>
            <w:textDirection w:val="lrTb"/>
            <w:vAlign w:val="top"/>
          </w:tcPr>
          <w:p w:rsidR="00DD5451" w:rsidRPr="005D6E5F" w:rsidP="00BA78E4">
            <w:pPr>
              <w:bidi w:val="0"/>
              <w:ind w:left="168" w:hanging="16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 xml:space="preserve">    vplyvy na procesy služieb vo verejnej správe</w:t>
            </w:r>
          </w:p>
        </w:tc>
        <w:tc>
          <w:tcPr>
            <w:tcW w:w="559" w:type="dxa"/>
            <w:tcBorders>
              <w:top w:val="nil"/>
              <w:left w:val="single" w:sz="4" w:space="0" w:color="auto"/>
              <w:bottom w:val="single" w:sz="4" w:space="0" w:color="auto"/>
              <w:right w:val="nil"/>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84" w:type="dxa"/>
            <w:gridSpan w:val="2"/>
            <w:tcBorders>
              <w:top w:val="nil"/>
              <w:left w:val="nil"/>
              <w:bottom w:val="single" w:sz="4" w:space="0" w:color="auto"/>
              <w:right w:val="nil"/>
            </w:tcBorders>
            <w:textDirection w:val="lrTb"/>
            <w:vAlign w:val="top"/>
          </w:tcPr>
          <w:p w:rsidR="00DD5451" w:rsidRPr="005D6E5F" w:rsidP="00BA78E4">
            <w:pPr>
              <w:bidi w:val="0"/>
              <w:ind w:right="-108"/>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Pozitívne</w:t>
            </w:r>
          </w:p>
        </w:tc>
        <w:tc>
          <w:tcPr>
            <w:tcW w:w="566" w:type="dxa"/>
            <w:tcBorders>
              <w:top w:val="nil"/>
              <w:left w:val="nil"/>
              <w:bottom w:val="single" w:sz="4" w:space="0" w:color="auto"/>
              <w:right w:val="nil"/>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Segoe UI Symbol" w:eastAsia="MS Gothic" w:hAnsi="Segoe UI Symbol" w:cs="Segoe UI Symbol" w:hint="default"/>
                <w:b/>
                <w:color w:val="000000" w:themeColor="tx1" w:themeShade="FF"/>
                <w:sz w:val="20"/>
                <w:szCs w:val="20"/>
              </w:rPr>
              <w:t>☒</w:t>
            </w:r>
          </w:p>
        </w:tc>
        <w:tc>
          <w:tcPr>
            <w:tcW w:w="1133" w:type="dxa"/>
            <w:gridSpan w:val="2"/>
            <w:tcBorders>
              <w:top w:val="nil"/>
              <w:left w:val="nil"/>
              <w:bottom w:val="single" w:sz="4" w:space="0" w:color="auto"/>
              <w:right w:val="nil"/>
            </w:tcBorders>
            <w:textDirection w:val="lrTb"/>
            <w:vAlign w:val="top"/>
          </w:tcPr>
          <w:p w:rsidR="00DD5451" w:rsidRPr="005D6E5F" w:rsidP="00BA78E4">
            <w:pPr>
              <w:bidi w:val="0"/>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Žiadne</w:t>
            </w:r>
          </w:p>
        </w:tc>
        <w:tc>
          <w:tcPr>
            <w:tcW w:w="547" w:type="dxa"/>
            <w:tcBorders>
              <w:top w:val="nil"/>
              <w:left w:val="nil"/>
              <w:bottom w:val="single" w:sz="4" w:space="0" w:color="auto"/>
              <w:right w:val="nil"/>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Segoe UI Symbol" w:eastAsia="MS Mincho" w:hAnsi="Segoe UI Symbol" w:cs="Segoe UI Symbol" w:hint="default"/>
                <w:b/>
                <w:color w:val="000000" w:themeColor="tx1" w:themeShade="FF"/>
                <w:sz w:val="20"/>
                <w:szCs w:val="20"/>
              </w:rPr>
              <w:t>☐</w:t>
            </w:r>
          </w:p>
        </w:tc>
        <w:tc>
          <w:tcPr>
            <w:tcW w:w="1297" w:type="dxa"/>
            <w:gridSpan w:val="2"/>
            <w:tcBorders>
              <w:top w:val="nil"/>
              <w:left w:val="nil"/>
              <w:bottom w:val="single" w:sz="4" w:space="0" w:color="auto"/>
              <w:right w:val="single" w:sz="4" w:space="0" w:color="auto"/>
            </w:tcBorders>
            <w:textDirection w:val="lrTb"/>
            <w:vAlign w:val="top"/>
          </w:tcPr>
          <w:p w:rsidR="00DD5451" w:rsidRPr="005D6E5F" w:rsidP="00BA78E4">
            <w:pPr>
              <w:bidi w:val="0"/>
              <w:ind w:left="54"/>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Negatívne</w:t>
            </w:r>
          </w:p>
        </w:tc>
      </w:tr>
      <w:tr>
        <w:tblPrEx>
          <w:tblW w:w="9264" w:type="dxa"/>
          <w:jc w:val="center"/>
          <w:tblInd w:w="-84"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Layout w:type="fixed"/>
          <w:tblCellMar>
            <w:left w:w="0" w:type="dxa"/>
            <w:right w:w="0" w:type="dxa"/>
          </w:tblCellMar>
          <w:tblLook w:val="04A0"/>
        </w:tblPrEx>
        <w:trPr>
          <w:gridAfter w:val="1"/>
          <w:wAfter w:w="92" w:type="dxa"/>
          <w:trHeight w:val="270"/>
          <w:jc w:val="center"/>
        </w:trPr>
        <w:tc>
          <w:tcPr>
            <w:tcW w:w="3782" w:type="dxa"/>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D5451" w:rsidRPr="005D6E5F" w:rsidP="00BA78E4">
            <w:pPr>
              <w:bidi w:val="0"/>
              <w:rPr>
                <w:rFonts w:ascii="Times New Roman" w:hAnsi="Times New Roman"/>
                <w:b/>
                <w:bCs/>
                <w:color w:val="000000" w:themeColor="tx1" w:themeShade="FF"/>
                <w:sz w:val="20"/>
                <w:szCs w:val="20"/>
              </w:rPr>
            </w:pPr>
            <w:r w:rsidRPr="005D6E5F">
              <w:rPr>
                <w:rFonts w:ascii="Times New Roman" w:hAnsi="Times New Roman"/>
                <w:b/>
                <w:bCs/>
                <w:color w:val="000000" w:themeColor="tx1" w:themeShade="FF"/>
                <w:sz w:val="20"/>
                <w:szCs w:val="20"/>
              </w:rPr>
              <w:t> Vplyvy na manželstvo, rodičovstvo a </w:t>
            </w:r>
          </w:p>
          <w:p w:rsidR="00DD5451" w:rsidRPr="005D6E5F" w:rsidP="00BA78E4">
            <w:pPr>
              <w:bidi w:val="0"/>
              <w:rPr>
                <w:rFonts w:ascii="Times New Roman" w:hAnsi="Times New Roman"/>
                <w:b/>
                <w:bCs/>
                <w:color w:val="000000" w:themeColor="tx1" w:themeShade="FF"/>
                <w:sz w:val="20"/>
                <w:szCs w:val="20"/>
              </w:rPr>
            </w:pPr>
            <w:r w:rsidRPr="005D6E5F">
              <w:rPr>
                <w:rFonts w:ascii="Times New Roman" w:hAnsi="Times New Roman"/>
                <w:b/>
                <w:bCs/>
                <w:color w:val="000000" w:themeColor="tx1" w:themeShade="FF"/>
                <w:sz w:val="20"/>
                <w:szCs w:val="20"/>
              </w:rPr>
              <w:t xml:space="preserve"> rodinu</w:t>
            </w:r>
          </w:p>
        </w:tc>
        <w:tc>
          <w:tcPr>
            <w:tcW w:w="1843" w:type="dxa"/>
            <w:gridSpan w:val="3"/>
            <w:tcBorders>
              <w:top w:val="outset" w:sz="6" w:space="0" w:color="000000"/>
              <w:left w:val="outset" w:sz="6" w:space="0" w:color="000000"/>
              <w:bottom w:val="outset" w:sz="6" w:space="0" w:color="000000"/>
              <w:right w:val="outset" w:sz="6" w:space="0" w:color="000000"/>
            </w:tcBorders>
            <w:textDirection w:val="lrTb"/>
            <w:vAlign w:val="center"/>
            <w:hideMark/>
          </w:tcPr>
          <w:p w:rsidR="00DD5451" w:rsidRPr="005D6E5F" w:rsidP="00BA78E4">
            <w:pPr>
              <w:bidi w:val="0"/>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   </w:t>
            </w:r>
            <w:r w:rsidRPr="005D6E5F">
              <w:rPr>
                <w:rFonts w:ascii="Times New Roman" w:hAnsi="Times New Roman"/>
                <w:b/>
                <w:color w:val="000000" w:themeColor="tx1" w:themeShade="FF"/>
                <w:sz w:val="20"/>
                <w:szCs w:val="20"/>
              </w:rPr>
              <w:sym w:font="Times New Roman" w:char="F02A"/>
            </w:r>
            <w:r w:rsidRPr="005D6E5F">
              <w:rPr>
                <w:rFonts w:ascii="Times New Roman" w:hAnsi="Times New Roman"/>
                <w:b/>
                <w:color w:val="000000" w:themeColor="tx1" w:themeShade="FF"/>
                <w:sz w:val="20"/>
                <w:szCs w:val="20"/>
              </w:rPr>
              <w:sym w:font="Times New Roman" w:char="0020"/>
            </w:r>
            <w:r w:rsidRPr="005D6E5F">
              <w:rPr>
                <w:rFonts w:ascii="Times New Roman" w:hAnsi="Times New Roman"/>
                <w:color w:val="000000" w:themeColor="tx1" w:themeShade="FF"/>
                <w:sz w:val="20"/>
                <w:szCs w:val="20"/>
              </w:rPr>
              <w:t>   </w:t>
            </w:r>
            <w:r w:rsidRPr="005D6E5F">
              <w:rPr>
                <w:rFonts w:ascii="Times New Roman" w:hAnsi="Times New Roman"/>
                <w:b/>
                <w:color w:val="000000" w:themeColor="tx1" w:themeShade="FF"/>
                <w:sz w:val="20"/>
                <w:szCs w:val="20"/>
              </w:rPr>
              <w:t xml:space="preserve">  Pozitívne</w:t>
            </w:r>
          </w:p>
        </w:tc>
        <w:tc>
          <w:tcPr>
            <w:tcW w:w="1701" w:type="dxa"/>
            <w:gridSpan w:val="3"/>
            <w:tcBorders>
              <w:top w:val="outset" w:sz="6" w:space="0" w:color="000000"/>
              <w:left w:val="outset" w:sz="6" w:space="0" w:color="000000"/>
              <w:bottom w:val="outset" w:sz="6" w:space="0" w:color="000000"/>
              <w:right w:val="outset" w:sz="6" w:space="0" w:color="000000"/>
            </w:tcBorders>
            <w:textDirection w:val="lrTb"/>
            <w:vAlign w:val="center"/>
            <w:hideMark/>
          </w:tcPr>
          <w:p w:rsidR="00DD5451" w:rsidRPr="005D6E5F" w:rsidP="00BA78E4">
            <w:pPr>
              <w:bidi w:val="0"/>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    </w:t>
            </w:r>
            <w:r w:rsidRPr="005D6E5F">
              <w:rPr>
                <w:rFonts w:ascii="Segoe UI Symbol" w:eastAsia="MS Gothic" w:hAnsi="Segoe UI Symbol" w:cs="Segoe UI Symbol" w:hint="default"/>
                <w:b/>
                <w:color w:val="000000" w:themeColor="tx1" w:themeShade="FF"/>
                <w:sz w:val="20"/>
                <w:szCs w:val="20"/>
              </w:rPr>
              <w:t>☒</w:t>
            </w:r>
            <w:r w:rsidRPr="005D6E5F">
              <w:rPr>
                <w:rFonts w:ascii="Times New Roman" w:hAnsi="Times New Roman"/>
                <w:color w:val="000000" w:themeColor="tx1" w:themeShade="FF"/>
                <w:sz w:val="20"/>
                <w:szCs w:val="20"/>
              </w:rPr>
              <w:t xml:space="preserve">     </w:t>
            </w:r>
            <w:r w:rsidRPr="005D6E5F">
              <w:rPr>
                <w:rFonts w:ascii="Times New Roman" w:hAnsi="Times New Roman"/>
                <w:b/>
                <w:color w:val="000000" w:themeColor="tx1" w:themeShade="FF"/>
                <w:sz w:val="20"/>
                <w:szCs w:val="20"/>
              </w:rPr>
              <w:t>Žiadne</w:t>
            </w:r>
          </w:p>
        </w:tc>
        <w:tc>
          <w:tcPr>
            <w:tcW w:w="1846" w:type="dxa"/>
            <w:gridSpan w:val="3"/>
            <w:tcBorders>
              <w:top w:val="outset" w:sz="6" w:space="0" w:color="000000"/>
              <w:left w:val="outset" w:sz="6" w:space="0" w:color="000000"/>
              <w:bottom w:val="outset" w:sz="6" w:space="0" w:color="000000"/>
              <w:right w:val="outset" w:sz="6" w:space="0" w:color="000000"/>
            </w:tcBorders>
            <w:textDirection w:val="lrTb"/>
            <w:vAlign w:val="center"/>
            <w:hideMark/>
          </w:tcPr>
          <w:p w:rsidR="00DD5451" w:rsidRPr="005D6E5F" w:rsidP="00BA78E4">
            <w:pPr>
              <w:bidi w:val="0"/>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   </w:t>
            </w:r>
            <w:r w:rsidRPr="005D6E5F">
              <w:rPr>
                <w:rFonts w:ascii="Times New Roman" w:hAnsi="Times New Roman"/>
                <w:b/>
                <w:color w:val="000000" w:themeColor="tx1" w:themeShade="FF"/>
                <w:sz w:val="20"/>
                <w:szCs w:val="20"/>
              </w:rPr>
              <w:sym w:font="Times New Roman" w:char="F02A"/>
            </w:r>
            <w:r w:rsidRPr="005D6E5F">
              <w:rPr>
                <w:rFonts w:ascii="Times New Roman" w:hAnsi="Times New Roman"/>
                <w:b/>
                <w:color w:val="000000" w:themeColor="tx1" w:themeShade="FF"/>
                <w:sz w:val="20"/>
                <w:szCs w:val="20"/>
              </w:rPr>
              <w:sym w:font="Times New Roman" w:char="0020"/>
            </w:r>
            <w:r w:rsidRPr="005D6E5F">
              <w:rPr>
                <w:rFonts w:ascii="Times New Roman" w:hAnsi="Times New Roman"/>
                <w:color w:val="000000" w:themeColor="tx1" w:themeShade="FF"/>
                <w:sz w:val="20"/>
                <w:szCs w:val="20"/>
              </w:rPr>
              <w:t xml:space="preserve">       </w:t>
            </w:r>
            <w:r w:rsidRPr="005D6E5F">
              <w:rPr>
                <w:rFonts w:ascii="Times New Roman" w:hAnsi="Times New Roman"/>
                <w:b/>
                <w:color w:val="000000" w:themeColor="tx1" w:themeShade="FF"/>
                <w:sz w:val="20"/>
                <w:szCs w:val="20"/>
              </w:rPr>
              <w:t>Negatívne</w:t>
            </w:r>
          </w:p>
        </w:tc>
      </w:tr>
    </w:tbl>
    <w:p w:rsidR="00DD5451" w:rsidRPr="005D6E5F" w:rsidP="00DD5451">
      <w:pPr>
        <w:bidi w:val="0"/>
        <w:ind w:right="141"/>
        <w:rPr>
          <w:rFonts w:ascii="Times New Roman" w:hAnsi="Times New Roman"/>
          <w:b/>
          <w:color w:val="000000" w:themeColor="tx1" w:themeShade="FF"/>
          <w:sz w:val="20"/>
          <w:szCs w:val="20"/>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DD5451" w:rsidRPr="005D6E5F" w:rsidP="00BA78E4">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Predkladaný návrh zákona predpokladá negatívny vplyv na rozpočet verejnej správy </w:t>
              <w:br/>
              <w:t xml:space="preserve">v rokoch 2021 až 2024, a to z dôvodu nákladov na úpravu informačných systémov </w:t>
              <w:br/>
              <w:t>v gescii MDV SR a MV SR, najmä Jednotného informačného systému v cestnej doprave – Modulu správnych deliktov v gescii MDV SR, v rámci ktorých sú zarátané aj náklady na zabezpečenie úradných rozhodnutí v úradných jazykoch členských štátov EÚ, Európskeho informačného systému vozidiel a vodičských preukazov (EUCARIS) – implementácie Modulu Toll a vyvolaných zmien v informačných systémoch v gescii MV SR, nákladov na posilnenie administratívnych kapacít a materiálovo-technického vybavenia Centra logistického zabezpečenia administratívnych činností (CLZAČ) MV SR. Náklady MDV SR predstavujú maximálny pesimistický odhad. Ide o expertný odhad hornej hranice výdavkov MDV SR, ktorý bude pred realizáciou úpravy informačného systému spresnený a doplnený o detaily rozpočtu.</w:t>
            </w:r>
          </w:p>
          <w:p w:rsidR="00DD5451" w:rsidRPr="005D6E5F" w:rsidP="00BA78E4">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Prípadné zvýšenie limitu počtu zamestnancov, osobných výdavkov a nákladov na materiálovo-technické vybavenie CLZAČ MV SR bude riešené v gescii MV SR.</w:t>
            </w:r>
          </w:p>
          <w:p w:rsidR="00DD5451" w:rsidRPr="005D6E5F" w:rsidP="00BA78E4">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color w:val="000000" w:themeColor="tx1" w:themeShade="FF"/>
                <w:sz w:val="20"/>
                <w:szCs w:val="20"/>
              </w:rPr>
            </w:pPr>
            <w:r w:rsidRPr="005D6E5F">
              <w:rPr>
                <w:rFonts w:ascii="Times New Roman" w:hAnsi="Times New Roman"/>
                <w:color w:val="000000" w:themeColor="tx1" w:themeShade="FF"/>
                <w:sz w:val="20"/>
                <w:szCs w:val="20"/>
              </w:rPr>
              <w:t>Zároveň sa predpokladá tiež pozitívny vplyv na rozpočet verejnej správy vo vzťahu k príjmom z výberu pokút od zahraničných prevádzkovateľov; výška tohto vplyvu však záleží od vymožiteľnosti cezhraničného sankcionovania, preto pozitívny vplyv nie je možné vyčísliť. Z týchto príjmov navrhujeme pokryť náklady súvisiace s návrhom.</w:t>
            </w:r>
          </w:p>
          <w:p w:rsidR="00DD5451" w:rsidRPr="005D6E5F" w:rsidP="00BA78E4">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color w:val="000000" w:themeColor="tx1" w:themeShade="FF"/>
                <w:sz w:val="20"/>
                <w:szCs w:val="20"/>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Ministerstvo dopravy a výstavby Slovenskej republiky, Sekcia cestnej dopravy a pozemných komunikácii – Mgr. Tomáš Pšenka,  e-mail: </w:t>
            </w:r>
            <w:hyperlink r:id="rId6" w:history="1">
              <w:r w:rsidRPr="005D6E5F">
                <w:rPr>
                  <w:rStyle w:val="Hyperlink"/>
                  <w:rFonts w:ascii="Times New Roman" w:hAnsi="Times New Roman"/>
                  <w:color w:val="000000" w:themeColor="tx1"/>
                  <w:sz w:val="20"/>
                  <w:szCs w:val="20"/>
                </w:rPr>
                <w:t>tomas.psenka@mindop.sk</w:t>
              </w:r>
            </w:hyperlink>
            <w:r w:rsidRPr="005D6E5F">
              <w:rPr>
                <w:rFonts w:ascii="Times New Roman" w:hAnsi="Times New Roman"/>
                <w:color w:val="000000" w:themeColor="tx1" w:themeShade="FF"/>
                <w:sz w:val="20"/>
                <w:szCs w:val="20"/>
              </w:rPr>
              <w:t xml:space="preserve">, tel. č. 02/59494635, Mgr. Peter Považan, e-mail: </w:t>
            </w:r>
            <w:hyperlink r:id="rId7" w:history="1">
              <w:r w:rsidRPr="005D6E5F">
                <w:rPr>
                  <w:rStyle w:val="Hyperlink"/>
                  <w:rFonts w:ascii="Times New Roman" w:hAnsi="Times New Roman"/>
                  <w:color w:val="000000" w:themeColor="tx1"/>
                  <w:sz w:val="20"/>
                  <w:szCs w:val="20"/>
                </w:rPr>
                <w:t>peter.povazan@mindop.sk</w:t>
              </w:r>
            </w:hyperlink>
            <w:r w:rsidRPr="005D6E5F">
              <w:rPr>
                <w:rFonts w:ascii="Times New Roman" w:hAnsi="Times New Roman"/>
                <w:color w:val="000000" w:themeColor="tx1" w:themeShade="FF"/>
                <w:sz w:val="20"/>
                <w:szCs w:val="20"/>
              </w:rPr>
              <w:t>, tel. č. 02/59494347</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Pri spracovaní doložky vybraných vplyvov predkladateľ vychádzal z dostupných podkladov, najmä </w:t>
              <w:br/>
              <w:t>k predpokladaným úpravám informačných systémov v gescii MDV SR a MV SR.</w:t>
            </w:r>
          </w:p>
          <w:p w:rsidR="00DD5451" w:rsidRPr="005D6E5F" w:rsidP="00BA78E4">
            <w:pPr>
              <w:bidi w:val="0"/>
              <w:spacing w:after="0" w:line="240" w:lineRule="auto"/>
              <w:rPr>
                <w:rFonts w:ascii="Times New Roman" w:hAnsi="Times New Roman"/>
                <w:b/>
                <w:color w:val="000000" w:themeColor="tx1" w:themeShade="FF"/>
                <w:sz w:val="20"/>
                <w:szCs w:val="20"/>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D5451" w:rsidRPr="005D6E5F" w:rsidP="00DD5451">
            <w:pPr>
              <w:pStyle w:val="ListParagraph"/>
              <w:numPr>
                <w:numId w:val="8"/>
              </w:numPr>
              <w:bidi w:val="0"/>
              <w:spacing w:after="0" w:line="240" w:lineRule="auto"/>
              <w:ind w:left="426"/>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Stanovisko Komisie pre posudzovanie vybraných vplyvov z PPK</w:t>
            </w:r>
          </w:p>
        </w:tc>
      </w:tr>
      <w:tr>
        <w:tblPrEx>
          <w:tblW w:w="9176" w:type="dxa"/>
          <w:tblLayout w:type="fixed"/>
          <w:tblLook w:val="04A0"/>
        </w:tblPrEx>
        <w:trPr>
          <w:trHeight w:val="58"/>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p>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b/>
                <w:bCs/>
                <w:color w:val="000000" w:themeColor="tx1" w:themeShade="FF"/>
                <w:sz w:val="20"/>
                <w:szCs w:val="20"/>
              </w:rPr>
              <w:t>II. P</w:t>
            </w:r>
            <w:r w:rsidRPr="005D6E5F">
              <w:rPr>
                <w:rFonts w:ascii="Times New Roman" w:hAnsi="Times New Roman"/>
                <w:b/>
                <w:color w:val="000000" w:themeColor="tx1" w:themeShade="FF"/>
                <w:sz w:val="20"/>
                <w:szCs w:val="20"/>
              </w:rPr>
              <w:t>r</w:t>
            </w:r>
            <w:r w:rsidRPr="005D6E5F">
              <w:rPr>
                <w:rFonts w:ascii="Times New Roman" w:hAnsi="Times New Roman"/>
                <w:b/>
                <w:bCs/>
                <w:color w:val="000000" w:themeColor="tx1" w:themeShade="FF"/>
                <w:sz w:val="20"/>
                <w:szCs w:val="20"/>
              </w:rPr>
              <w:t>ipomienky a návrhy zm</w:t>
            </w:r>
            <w:r w:rsidRPr="005D6E5F">
              <w:rPr>
                <w:rFonts w:ascii="Times New Roman" w:hAnsi="Times New Roman"/>
                <w:b/>
                <w:color w:val="000000" w:themeColor="tx1" w:themeShade="FF"/>
                <w:sz w:val="20"/>
                <w:szCs w:val="20"/>
              </w:rPr>
              <w:t>ie</w:t>
            </w:r>
            <w:r w:rsidRPr="005D6E5F">
              <w:rPr>
                <w:rFonts w:ascii="Times New Roman" w:hAnsi="Times New Roman"/>
                <w:b/>
                <w:bCs/>
                <w:color w:val="000000" w:themeColor="tx1" w:themeShade="FF"/>
                <w:sz w:val="20"/>
                <w:szCs w:val="20"/>
              </w:rPr>
              <w:t xml:space="preserve">n: </w:t>
            </w:r>
            <w:r w:rsidRPr="005D6E5F">
              <w:rPr>
                <w:rFonts w:ascii="Times New Roman" w:hAnsi="Times New Roman"/>
                <w:bCs/>
                <w:color w:val="000000" w:themeColor="tx1" w:themeShade="FF"/>
                <w:sz w:val="20"/>
                <w:szCs w:val="20"/>
              </w:rPr>
              <w:t>Komisia uplatňuje k materiálu nasledovné pripomienky a odporúčania:</w:t>
            </w:r>
          </w:p>
          <w:p w:rsidR="00DD5451" w:rsidRPr="005D6E5F" w:rsidP="00BA78E4">
            <w:pPr>
              <w:tabs>
                <w:tab w:val="center" w:pos="6379"/>
              </w:tabs>
              <w:bidi w:val="0"/>
              <w:spacing w:after="0" w:line="240" w:lineRule="auto"/>
              <w:ind w:right="-2"/>
              <w:jc w:val="both"/>
              <w:rPr>
                <w:rFonts w:ascii="Times New Roman" w:hAnsi="Times New Roman"/>
                <w:bCs/>
                <w:color w:val="000000" w:themeColor="tx1" w:themeShade="FF"/>
                <w:sz w:val="20"/>
                <w:szCs w:val="20"/>
              </w:rPr>
            </w:pPr>
          </w:p>
          <w:p w:rsidR="00DD5451" w:rsidRPr="005D6E5F" w:rsidP="00BA78E4">
            <w:pPr>
              <w:pStyle w:val="norm00e1lny"/>
              <w:bidi w:val="0"/>
              <w:spacing w:line="240" w:lineRule="atLeast"/>
              <w:jc w:val="both"/>
              <w:rPr>
                <w:rStyle w:val="norm00e1lnychar1"/>
                <w:b/>
                <w:bCs/>
                <w:color w:val="000000" w:themeColor="tx1" w:themeShade="FF"/>
                <w:u w:val="none"/>
                <w:effect w:val="none"/>
                <w:lang w:eastAsia="ar-SA"/>
              </w:rPr>
            </w:pPr>
            <w:r w:rsidRPr="005D6E5F">
              <w:rPr>
                <w:rStyle w:val="norm00e1lnychar1"/>
                <w:b/>
                <w:bCs/>
                <w:color w:val="000000" w:themeColor="tx1" w:themeShade="FF"/>
                <w:u w:val="none"/>
                <w:effect w:val="none"/>
                <w:lang w:eastAsia="ar-SA"/>
              </w:rPr>
              <w:t>K doložke vybraných vplyvov</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Komisia odporúča doplniť termín procesu PPK. Zároveň Komisia odporúča zosúladiť časť 3 ciele, kde sa uvádza, že ide o transpozíciu smernice Európskeho Parlamentu a Rady (EÚ) 2019/520 s časťou 7 Transpozícia práva EÚ- žiadna. Komisia žiada predkladateľa, aby do časti 7. Transpozícia práva EÚ Doložky vybraných vplyvov doplnil presné určenie smernice, ktorá byť návrhom transponovaná a zároveň aby uviedol aj skutočnosť, či návrh nejde nad rámec minimálnej transpozičnej povinnosti - tzv. identifikácia efektu gold-platingu, a to najmä z hľadiska odôvodnenosti, resp. neodôvodnenosti jeho existencie v prípade jeho identifikácie; za týmto účelom Komisia žiada predkladateľa o priloženie Tabuľky zhody návrhu právneho predpisu s právom Európskej únie.</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akceptovaná.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Komisia žiada o vyznačenie aj negatívnych vplyvov na podnikateľské prostredie (pozitívne vplyvy súvisia s možnosťou prejsť po spoplatnených cestách EÚ pri úhrade mýta na základe jednej zmluvy a jednej interoperabilnej palubnej jednotky pre každé vozidlo. Na druhej strane zákon stanovuje a upravuje podmienky registrácie poskytovateľov Európskej služby elektronického výberu mýta, pričom sa špecifikuje, čo má žiadosť o udelenie oprávnenia obsahovať a aké dokumenty je k nej potrebné priložiť.)</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neakceptovaná. Predkladateľ neidentifikoval negatívne vplyvy na podnikateľské prostredie, pretože návrhom, naopak, dochádza k zmierneniu súčasných podmienok pre vykonávanie Európskej služby elektronického výberu mýta.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
                <w:bCs/>
                <w:color w:val="000000" w:themeColor="tx1" w:themeShade="FF"/>
                <w:u w:val="none"/>
                <w:effect w:val="none"/>
                <w:lang w:eastAsia="ar-SA"/>
              </w:rPr>
            </w:pPr>
            <w:r w:rsidRPr="005D6E5F">
              <w:rPr>
                <w:rStyle w:val="norm00e1lnychar1"/>
                <w:b/>
                <w:bCs/>
                <w:color w:val="000000" w:themeColor="tx1" w:themeShade="FF"/>
                <w:u w:val="none"/>
                <w:effect w:val="none"/>
                <w:lang w:eastAsia="ar-SA"/>
              </w:rPr>
              <w:t>K vplyvom na podnikateľské prostredie</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Komisia odporúča bod 3.2. vyhodnotenie konzultácií doplniť o hlavné body konzultácií a výsledky konzultácií. Komisia odporúča premiestniť uplatňovanie interoperability elektronických mýtnych systémov z nepriamych do administratívnych vplyvov, vzhľadom k deklarovanému  záujmu dopravcov k zníženiu administratívnych nákladov Komisia odporúča uviesť kvantifikáciu uvedeného vplyvu. Komisia žiada dopracovať negatívny vplyv spolu s jeho kvantifikáciou. Komisia žiada doplniť tabuľku v bode 3.3.4 Súhrnná tabuľka nákladov regulácie o kvantifikáciu, pokiaľ nie je možný výpočet na celé prostredie namiesto 0 Komisia odporúča uvádzať N/A.</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akceptovaná.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Komisia žiada predkladateľa o bližšie popísanie pozitívneho vplyvu predloženého materiálu na podnikateľské prostredie, vrátanie MSP, v súvislosti s avizovaným znižovaním administratívnych nákladov na podnikateľské prostredie. Komisia preto žiada predkladateľa o doplnenie a dopracovanie Analýzy vplyvov na podnikateľské prostredie.</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neakceptovaná. Vzhľadom na charakter navrhovanej právnej úpravy nie je možné podrobnejšie popísať pozitívny vplyv na podnikateľské prostredie.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Komisia rovnako žiada o popis a vyčíslenie úspor v nadväznosti na avizovaný a v Doložke vybraných vplyvov vyznačený pozitívny vplyv predloženého materiálu na podnikateľské prostredie. Odporúčaným riešením je využitie výpočtu ako na celé podnikateľské prostredie, tak na jeden dotknutý podnikateľský subjekt. Využitím </w:t>
            </w:r>
            <w:hyperlink r:id="rId8" w:history="1">
              <w:r w:rsidRPr="005D6E5F">
                <w:rPr>
                  <w:rStyle w:val="Hyperlink"/>
                  <w:rFonts w:ascii="Times New Roman" w:hAnsi="Times New Roman"/>
                  <w:bCs/>
                  <w:color w:val="000000" w:themeColor="tx1"/>
                  <w:lang w:eastAsia="ar-SA"/>
                </w:rPr>
                <w:t>kalkulačky nákladov regulácie</w:t>
              </w:r>
            </w:hyperlink>
            <w:r w:rsidRPr="005D6E5F">
              <w:rPr>
                <w:rStyle w:val="norm00e1lnychar1"/>
                <w:bCs/>
                <w:color w:val="000000" w:themeColor="tx1" w:themeShade="FF"/>
                <w:u w:val="none"/>
                <w:effect w:val="none"/>
                <w:lang w:eastAsia="ar-SA"/>
              </w:rPr>
              <w:t xml:space="preserve"> MH SR a nasledovných predpokladov je možné urobiť prepočet v uvedenom rozsahu:</w:t>
            </w:r>
          </w:p>
          <w:p w:rsidR="00DD5451" w:rsidRPr="005D6E5F" w:rsidP="00BA78E4">
            <w:pPr>
              <w:pStyle w:val="norm00e1lny"/>
              <w:bidi w:val="0"/>
              <w:spacing w:line="240" w:lineRule="atLeast"/>
              <w:ind w:left="851"/>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Počet dopravcov v SR je 16 210 (zdroj: Finstat). Počet registrovaných palubných jednotiek (PJ) na SR je 72 779 (zdroj: Skytoll, údaj k 31.10.2019). Z uvedeného vyplýva, že 1 vozidlo disponuje cca 5PJ. V zmysle novej regulácie bude 1 vozidlo potrebovať len 1PJ.</w:t>
            </w:r>
          </w:p>
          <w:p w:rsidR="00DD5451" w:rsidRPr="005D6E5F" w:rsidP="00BA78E4">
            <w:pPr>
              <w:pStyle w:val="norm00e1lny"/>
              <w:bidi w:val="0"/>
              <w:spacing w:line="240" w:lineRule="atLeast"/>
              <w:ind w:left="851"/>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Priemerný čas na obstaranie 1PJ je 3h.</w:t>
            </w:r>
          </w:p>
          <w:p w:rsidR="00DD5451" w:rsidRPr="005D6E5F" w:rsidP="00BA78E4">
            <w:pPr>
              <w:pStyle w:val="norm00e1lny"/>
              <w:bidi w:val="0"/>
              <w:spacing w:line="240" w:lineRule="atLeast"/>
              <w:ind w:left="851"/>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Priemerná hrubá mesačná mzda v národnom hospodárstve za rok 2019 činila 1092,00 €.</w:t>
              <w:tab/>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Dôjde k úspore spojenej s obstarávaním 4PJ, Komisia túto úsporu vyčísľuje využitím kalkulačky nákladov regulácie MH SR na 871 662 € / celé podnikateľské prostredie, resp. 82 € / 1 podnikateľský subjekt.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Komisia zároveň identifikovala náklady na vrátenie už registrovaných PJ do krajín, kde boli vydané. Administratívne úkony spojené s vrátením 1 PJ sa odhadujú na čas trvania 1h. Za predpokladu, že 1 dopravca vráti 4 PJ, jeho náklady dosiahnu 27 € / 1 podnikateľský subjekt, resp. 290 554 € /celé podnikateľské prostredie.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Dosiahnuté úspory zo zavedenia regulácie je potrebné očistiť od nákladov na vrátenie registrovaných PJ. Celkovú úsporu regulácie tak Komisia odhaduje vo výške 55 € / 1 podnikateľský subjekt a 581 108 € / celé podnikateľské prostredie. </w:t>
            </w:r>
          </w:p>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Style w:val="norm00e1lnychar1"/>
                <w:bCs/>
                <w:color w:val="000000" w:themeColor="tx1" w:themeShade="FF"/>
                <w:szCs w:val="20"/>
                <w:u w:val="none"/>
                <w:effect w:val="none"/>
                <w:lang w:eastAsia="ar-SA"/>
              </w:rPr>
              <w:t>Stanovisko MDV SR: Pripomienka neakceptovaná. Predkladateľ zdôrazňuje, že transponovaná smernica</w:t>
            </w:r>
            <w:r w:rsidRPr="005D6E5F">
              <w:rPr>
                <w:rFonts w:ascii="Times New Roman" w:hAnsi="Times New Roman"/>
                <w:color w:val="000000" w:themeColor="tx1" w:themeShade="FF"/>
                <w:sz w:val="20"/>
                <w:szCs w:val="20"/>
              </w:rPr>
              <w:t xml:space="preserve"> upravuje podmienky s cieľom zjednodušiť a urýchliť zavádzanie Európskej služby elektronického výberu mýta (EETS). Treba podotknúť, že dopravcovi postačí uzatvoriť jednu zmluvu a vybaviť vozidlo jednou palubnou jednotkou od poskytovateľa EETS, ktorého si zvolí a ktorému bude odvádzať mýto za jazdy vo viacerých mýtnych doménach. Poskytovateľ EETS následne odvedie vybrané mýto príslušnému správcovi mýta. Palubné jednotky z iných mýtnych domén, ktoré dopravca nebude potrebovať, vráti a zároveň ukončí zmluvy s ich poskytovateľmi, čo však neupravuje tento návrh. Ide o jednoduchý administratívny úkon, nie „uspôsobenie“ vozidla na nový systém.</w:t>
            </w:r>
          </w:p>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Samozrejme, dopravca môže zostať pri súčasnom systéme, ak sa tak rozhodne.</w:t>
            </w:r>
          </w:p>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V nadväznosti na uvedené je potrebné uviesť, že predostreté výpočty vychádzajú z nepochopenia podstaty danej problematiky a v kontexte predloženého návrhu pôsobia nekorektne.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
                <w:bCs/>
                <w:color w:val="000000" w:themeColor="tx1" w:themeShade="FF"/>
                <w:u w:val="none"/>
                <w:effect w:val="none"/>
                <w:lang w:eastAsia="ar-SA"/>
              </w:rPr>
            </w:pPr>
            <w:r w:rsidRPr="005D6E5F">
              <w:rPr>
                <w:rStyle w:val="norm00e1lnychar1"/>
                <w:b/>
                <w:bCs/>
                <w:color w:val="000000" w:themeColor="tx1" w:themeShade="FF"/>
                <w:u w:val="none"/>
                <w:effect w:val="none"/>
                <w:lang w:eastAsia="ar-SA"/>
              </w:rPr>
              <w:t>K vplyvom na rozpočet verejnej správy</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V doložke vybraných vplyvov je uvedený pozitívny vplyv a negatívny vplyv na rozpočet verejnej správy, ktorý nie je rozpočtovo zabezpečený. Predkladateľ uvádza, že pozitívny vplyv súvisiaci s príjmami z pokút od zahraničných prevádzkovateľov, ktorých výška záleží od vymožiteľnosti cezhraničného sankcionovania, sa nedá vyčísliť. V analýze vplyvov na rozpočet verejnej správy sú výdavky vyčíslené na rok 2021 v sume 1,5 mil. eur a v rokoch 2022 až 2024 každoročne v sume 100 tis. eur z dôvodu implementačných a prevádzkových nákladov na úpravu informačných systémov ako rozpočtovo nezabezpečené.</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Komisia žiada doplniť overiteľný prepočet, na základe ktorého bola stanovená výška výdavkov na úpravu informačných systémov MDV SR a MV SR, resp. alternatívne doplniť, že ide o expertný odhad hornej hranice výdavkov, ktorý bude pred realizáciou úpravy IS spresnený. V analýze sú odhadnuté výdavky na roky 2021 až 2024 na upgrade informačných systémov MDV SR a MV SR v celkovej sume 1,8 mil. eur. Nie je uvedené, akým spôsobom bola suma výdavkov stanovená. V analýze je uvedené, že ide o pesimistický odhad hornej hranice výdavkov. Komisia žiada doplniť overiteľný a detailný rozpočet na úrovni jednotkových cien nakupovaných SW/HW, cien práce IT pozícií a odhadovaný rozsah prácnosti v človekohodinách. Alternatívne Komisia žiada doplniť, že výška výdavkov na upgrade IS je expertný odhad na úrovni hornej hranice výdavkov, ktorý bude pred realizáciou upgradu IS ďalej spresňovaný v súlade s uznesením vlády č. 649/2020, podľa ktorého má každá investícia nad 1 mil. eur prejsť hodnotením MF SR, pričom jedným z podkladov je aj detailný rozpočet projektu.</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akceptovaná. Dokument bol v popise doplnený podľa požiadaviek.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Za oblasť zamestnanosti sa v bodoch „2.2.1. Financovanie návrhu...“ a „2.2.4 Výpočty vplyvov na verejné financie“ uvádza, že implementácia Modulu Toll si môže vyžiadať  posilnenie administratívnych kapacít Centra logistického zabezpečenia administratívnych činností MV SR. V analýze nie sú v tejto súvislosti kvantifikované žiadne konkrétne vplyvy. Prípadné zvýšenie limitu počtu zamestnancov a osobných výdavkov kapitoly súvisiace s implementáciou Modulu Toll Komisia žiada zabezpečiť v rámci schválených limitov počtu zamestnancov a osobných výdavkov kapitoly MV SR na príslušné rozpočtové roky.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vzatá na vedomie. Textácia v popise doplnená.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Zároveň sa v analýze v bodoch 2.2.1. a 2.2.4. uvádza predpokladaný vplyv na rozpočet verejnej správy v súvislosti s nákladmi na zabezpečenie úradných rozhodnutí v úradných jazykoch členských štátov a posilnením materiálovo-technického vybavenia Centra logistického zabezpečenia administratívnych činností MV SR. Uvedené výdavky nie sú kvantifikované, čo je potrebné doplniť.</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Stanovisko MDV SR: Pripomienka vzatá na vedomie. Textácia v popise doplnená.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V bode 2.1.1. Financovanie návrhu - Návrh na riešenie úbytku príjmov alebo zvýšených výdavkov nie je uvedený návrh na krytie zvýšených výdavkov. V súvislosti s nekrytým vplyvom na rok 2021 Komisia uvádza, že uvedené je v rozpore s úlohou C.13. uznesenia vlády SR č. 649/2020 k návrhu rozpočtu verejnej správy na roky 2021 až 2023 „nepredkladať v roku 2021 návrhy legislatívnych predpisov a iných materiálov, ktoré zakladajú nároky na zvýšenie počtu zamestnancov a zvýšenie výdavkov alebo úbytok príjmov schválených v štátnom rozpočte na rok 2021 s rozpočtovými dôsledkami na štátny rozpočet alebo na iné rozpočty tvoriace rozpočet verejnej správy“.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Stanovisko MDV SR: Pripomienka vzatá na vedomie, bod 2.1.1. bol náležite doplnený.</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S návrhom zákona bude možné súhlasiť len za podmienky, že všetky vplyvy na rozpočet verejnej správy  budú zabezpečené v rámci schválených limitov dotknutých kapitol a nebudú predstavovať nekrytý vplyv na rozpočet verejnej správy.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r w:rsidRPr="005D6E5F">
              <w:rPr>
                <w:rStyle w:val="norm00e1lnychar1"/>
                <w:bCs/>
                <w:color w:val="000000" w:themeColor="tx1" w:themeShade="FF"/>
                <w:u w:val="none"/>
                <w:effect w:val="none"/>
                <w:lang w:eastAsia="ar-SA"/>
              </w:rPr>
              <w:t xml:space="preserve">Doložku vybraných vplyvov a analýzu vplyvov na rozpočet verejnej správy Komisia žiada upraviť v zmysle uvedených pripomienok. </w:t>
            </w: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Style w:val="norm00e1lnychar1"/>
                <w:bCs/>
                <w:color w:val="000000" w:themeColor="tx1" w:themeShade="FF"/>
                <w:u w:val="none"/>
                <w:effect w:val="none"/>
                <w:lang w:eastAsia="ar-SA"/>
              </w:rPr>
            </w:pPr>
          </w:p>
          <w:p w:rsidR="00DD5451" w:rsidRPr="005D6E5F" w:rsidP="00BA78E4">
            <w:pPr>
              <w:pStyle w:val="norm00e1lny"/>
              <w:bidi w:val="0"/>
              <w:spacing w:line="240" w:lineRule="atLeast"/>
              <w:jc w:val="both"/>
              <w:rPr>
                <w:rFonts w:ascii="Times New Roman" w:hAnsi="Times New Roman"/>
                <w:color w:val="000000" w:themeColor="tx1" w:themeShade="FF"/>
              </w:rPr>
            </w:pPr>
            <w:r w:rsidRPr="005D6E5F">
              <w:rPr>
                <w:rStyle w:val="norm00e1lnychar1"/>
                <w:b/>
                <w:bCs/>
                <w:color w:val="000000" w:themeColor="tx1" w:themeShade="FF"/>
                <w:u w:val="none"/>
                <w:effect w:val="none"/>
                <w:lang w:eastAsia="ar-SA"/>
              </w:rPr>
              <w:t>I</w:t>
            </w:r>
            <w:r w:rsidRPr="005D6E5F">
              <w:rPr>
                <w:rStyle w:val="norm00e1lnychar1"/>
                <w:b/>
                <w:bCs/>
                <w:color w:val="000000" w:themeColor="tx1" w:themeShade="FF"/>
                <w:u w:val="none"/>
                <w:effect w:val="none"/>
              </w:rPr>
              <w:t xml:space="preserve">II. Záver: </w:t>
            </w:r>
            <w:r w:rsidRPr="005D6E5F">
              <w:rPr>
                <w:rStyle w:val="norm00e1lnychar1"/>
                <w:color w:val="000000" w:themeColor="tx1" w:themeShade="FF"/>
                <w:u w:val="none"/>
                <w:effect w:val="none"/>
              </w:rPr>
              <w:t xml:space="preserve">Stála pracovná komisia na posudzovanie vybraných vplyvov vyjadruje </w:t>
            </w:r>
          </w:p>
          <w:p w:rsidR="00DD5451" w:rsidRPr="005D6E5F" w:rsidP="00BA78E4">
            <w:pPr>
              <w:pStyle w:val="norm00e1lny"/>
              <w:bidi w:val="0"/>
              <w:rPr>
                <w:rFonts w:ascii="Times New Roman" w:hAnsi="Times New Roman"/>
                <w:color w:val="000000" w:themeColor="tx1" w:themeShade="FF"/>
              </w:rPr>
            </w:pPr>
          </w:p>
          <w:p w:rsidR="00DD5451" w:rsidRPr="005D6E5F" w:rsidP="00BA78E4">
            <w:pPr>
              <w:pStyle w:val="norm00e1lny"/>
              <w:bidi w:val="0"/>
              <w:rPr>
                <w:rFonts w:ascii="Times New Roman" w:hAnsi="Times New Roman"/>
                <w:color w:val="000000" w:themeColor="tx1" w:themeShade="FF"/>
              </w:rPr>
            </w:pPr>
            <w:r w:rsidRPr="005D6E5F">
              <w:rPr>
                <w:rFonts w:ascii="Times New Roman" w:hAnsi="Times New Roman"/>
                <w:color w:val="000000" w:themeColor="tx1" w:themeShade="FF"/>
              </w:rPr>
              <w:t> </w:t>
            </w:r>
          </w:p>
          <w:p w:rsidR="00DD5451" w:rsidRPr="005D6E5F" w:rsidP="00BA78E4">
            <w:pPr>
              <w:pStyle w:val="norm00e1lny"/>
              <w:bidi w:val="0"/>
              <w:spacing w:line="240" w:lineRule="atLeast"/>
              <w:jc w:val="center"/>
              <w:rPr>
                <w:rFonts w:ascii="Times New Roman" w:hAnsi="Times New Roman"/>
                <w:color w:val="000000" w:themeColor="tx1" w:themeShade="FF"/>
              </w:rPr>
            </w:pPr>
            <w:r w:rsidRPr="005D6E5F">
              <w:rPr>
                <w:rStyle w:val="norm00e1lnychar1"/>
                <w:b/>
                <w:bCs/>
                <w:color w:val="000000" w:themeColor="tx1" w:themeShade="FF"/>
                <w:u w:val="none"/>
                <w:effect w:val="none"/>
              </w:rPr>
              <w:t>nesúhlasné stanovisko</w:t>
            </w:r>
          </w:p>
          <w:p w:rsidR="00DD5451" w:rsidRPr="005D6E5F" w:rsidP="00BA78E4">
            <w:pPr>
              <w:pStyle w:val="norm00e1lny"/>
              <w:bidi w:val="0"/>
              <w:rPr>
                <w:rFonts w:ascii="Times New Roman" w:hAnsi="Times New Roman"/>
                <w:color w:val="000000" w:themeColor="tx1" w:themeShade="FF"/>
              </w:rPr>
            </w:pPr>
          </w:p>
          <w:p w:rsidR="00DD5451" w:rsidRPr="005D6E5F" w:rsidP="00BA78E4">
            <w:pPr>
              <w:pStyle w:val="norm00e1lny"/>
              <w:bidi w:val="0"/>
              <w:rPr>
                <w:rFonts w:ascii="Times New Roman" w:hAnsi="Times New Roman"/>
                <w:color w:val="000000" w:themeColor="tx1" w:themeShade="FF"/>
              </w:rPr>
            </w:pPr>
            <w:r w:rsidRPr="005D6E5F">
              <w:rPr>
                <w:rFonts w:ascii="Times New Roman" w:hAnsi="Times New Roman"/>
                <w:color w:val="000000" w:themeColor="tx1" w:themeShade="FF"/>
              </w:rPr>
              <w:t> </w:t>
            </w:r>
          </w:p>
          <w:p w:rsidR="00DD5451" w:rsidRPr="005D6E5F" w:rsidP="00BA78E4">
            <w:pPr>
              <w:pStyle w:val="norm00e1lny"/>
              <w:bidi w:val="0"/>
              <w:spacing w:line="240" w:lineRule="atLeast"/>
              <w:jc w:val="both"/>
              <w:rPr>
                <w:rFonts w:ascii="Times New Roman" w:hAnsi="Times New Roman"/>
                <w:color w:val="000000" w:themeColor="tx1" w:themeShade="FF"/>
              </w:rPr>
            </w:pPr>
            <w:r w:rsidRPr="005D6E5F">
              <w:rPr>
                <w:rStyle w:val="norm00e1lnychar1"/>
                <w:color w:val="000000" w:themeColor="tx1" w:themeShade="FF"/>
                <w:u w:val="none"/>
                <w:effect w:val="none"/>
              </w:rPr>
              <w:t>s materiálom predloženým na predbežné pripomienkové konanie s odporúčaním na jeho dopracovanie podľa pripomienok v bode II.</w:t>
            </w:r>
          </w:p>
          <w:p w:rsidR="00DD5451" w:rsidRPr="005D6E5F" w:rsidP="00BA78E4">
            <w:pPr>
              <w:pStyle w:val="norm00e1lny"/>
              <w:bidi w:val="0"/>
              <w:rPr>
                <w:rFonts w:ascii="Times New Roman" w:hAnsi="Times New Roman"/>
                <w:color w:val="000000" w:themeColor="tx1" w:themeShade="FF"/>
              </w:rPr>
            </w:pPr>
          </w:p>
          <w:p w:rsidR="00DD5451" w:rsidRPr="005D6E5F" w:rsidP="00BA78E4">
            <w:pPr>
              <w:pStyle w:val="norm00e1lny"/>
              <w:bidi w:val="0"/>
              <w:rPr>
                <w:rFonts w:ascii="Times New Roman" w:hAnsi="Times New Roman"/>
                <w:color w:val="000000" w:themeColor="tx1" w:themeShade="FF"/>
              </w:rPr>
            </w:pPr>
          </w:p>
          <w:p w:rsidR="00DD5451" w:rsidRPr="005D6E5F" w:rsidP="00BA78E4">
            <w:pPr>
              <w:pStyle w:val="norm00e1lny"/>
              <w:bidi w:val="0"/>
              <w:spacing w:line="240" w:lineRule="atLeast"/>
              <w:jc w:val="both"/>
              <w:rPr>
                <w:rFonts w:ascii="Times New Roman" w:hAnsi="Times New Roman"/>
                <w:color w:val="000000" w:themeColor="tx1" w:themeShade="FF"/>
              </w:rPr>
            </w:pPr>
            <w:r w:rsidRPr="005D6E5F">
              <w:rPr>
                <w:rStyle w:val="norm00e1lnychar1"/>
                <w:b/>
                <w:bCs/>
                <w:color w:val="000000" w:themeColor="tx1" w:themeShade="FF"/>
                <w:u w:val="none"/>
                <w:effect w:val="none"/>
              </w:rPr>
              <w:t>IV. Poznámka:</w:t>
            </w:r>
            <w:r w:rsidRPr="005D6E5F">
              <w:rPr>
                <w:rStyle w:val="norm00e1lnychar1"/>
                <w:color w:val="000000" w:themeColor="tx1" w:themeShade="FF"/>
                <w:u w:val="none"/>
                <w:effect w:val="none"/>
              </w:rPr>
              <w:t xml:space="preserve"> Predkladateľ zapracuje pripomienky a odporúčania na úpravu uvedené v bode II a uvedie stanovisko Komisie do doložky vybraných vplyvov spolu s vyhodnotením pripomienok.</w:t>
            </w:r>
          </w:p>
          <w:p w:rsidR="00DD5451" w:rsidRPr="005D6E5F" w:rsidP="00BA78E4">
            <w:pPr>
              <w:pStyle w:val="norm00e1lny"/>
              <w:bidi w:val="0"/>
              <w:rPr>
                <w:rFonts w:ascii="Times New Roman" w:hAnsi="Times New Roman"/>
                <w:color w:val="000000" w:themeColor="tx1" w:themeShade="FF"/>
              </w:rPr>
            </w:pPr>
            <w:r w:rsidRPr="005D6E5F">
              <w:rPr>
                <w:rFonts w:ascii="Times New Roman" w:hAnsi="Times New Roman"/>
                <w:color w:val="000000" w:themeColor="tx1" w:themeShade="FF"/>
              </w:rPr>
              <w:t> </w:t>
            </w:r>
          </w:p>
          <w:p w:rsidR="00DD5451" w:rsidRPr="005D6E5F" w:rsidP="00BA78E4">
            <w:pPr>
              <w:pStyle w:val="z00e1kladn00fd0020text"/>
              <w:bidi w:val="0"/>
              <w:spacing w:after="0" w:line="240" w:lineRule="atLeast"/>
              <w:jc w:val="both"/>
              <w:rPr>
                <w:rFonts w:ascii="Times New Roman" w:hAnsi="Times New Roman"/>
                <w:color w:val="000000" w:themeColor="tx1" w:themeShade="FF"/>
              </w:rPr>
            </w:pPr>
            <w:r w:rsidRPr="005D6E5F">
              <w:rPr>
                <w:rStyle w:val="z00e1kladn00fd0020textchar1"/>
                <w:color w:val="000000" w:themeColor="tx1" w:themeShade="FF"/>
                <w:u w:val="none"/>
                <w:effect w:val="none"/>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DD5451" w:rsidRPr="005D6E5F" w:rsidP="00BA78E4">
            <w:pPr>
              <w:bidi w:val="0"/>
              <w:spacing w:after="0" w:line="240" w:lineRule="auto"/>
              <w:rPr>
                <w:rFonts w:ascii="Times New Roman" w:hAnsi="Times New Roman"/>
                <w:b/>
                <w:color w:val="000000" w:themeColor="tx1" w:themeShade="FF"/>
                <w:sz w:val="20"/>
                <w:szCs w:val="20"/>
              </w:rPr>
            </w:pPr>
          </w:p>
        </w:tc>
      </w:tr>
    </w:tbl>
    <w:p w:rsidR="00DD5451" w:rsidRPr="005D6E5F" w:rsidP="00DD5451">
      <w:pPr>
        <w:bidi w:val="0"/>
        <w:rPr>
          <w:color w:val="000000" w:themeColor="tx1" w:themeShade="FF"/>
        </w:rPr>
      </w:pPr>
    </w:p>
    <w:p w:rsidR="00DD5451" w:rsidRPr="005D6E5F" w:rsidP="007D5748">
      <w:pPr>
        <w:bidi w:val="0"/>
        <w:spacing w:after="0" w:line="240" w:lineRule="auto"/>
        <w:jc w:val="center"/>
        <w:rPr>
          <w:rFonts w:ascii="Times New Roman" w:hAnsi="Times New Roman"/>
          <w:b/>
          <w:bCs/>
          <w:color w:val="000000" w:themeColor="tx1" w:themeShade="FF"/>
          <w:sz w:val="28"/>
          <w:szCs w:val="28"/>
          <w:lang w:eastAsia="sk-SK"/>
        </w:rPr>
      </w:pPr>
    </w:p>
    <w:p w:rsidR="00DD5451" w:rsidRPr="005D6E5F" w:rsidP="00DD5451">
      <w:pPr>
        <w:bidi w:val="0"/>
        <w:spacing w:after="0" w:line="240" w:lineRule="auto"/>
        <w:rPr>
          <w:rFonts w:ascii="Times New Roman" w:hAnsi="Times New Roman"/>
          <w:b/>
          <w:bCs/>
          <w:color w:val="000000" w:themeColor="tx1" w:themeShade="FF"/>
          <w:sz w:val="28"/>
          <w:szCs w:val="28"/>
          <w:lang w:eastAsia="sk-SK"/>
        </w:rPr>
      </w:pPr>
    </w:p>
    <w:p w:rsidR="007D5748" w:rsidRPr="005D6E5F" w:rsidP="007D5748">
      <w:pPr>
        <w:bidi w:val="0"/>
        <w:spacing w:after="0" w:line="240" w:lineRule="auto"/>
        <w:jc w:val="center"/>
        <w:rPr>
          <w:rFonts w:ascii="Times New Roman" w:hAnsi="Times New Roman"/>
          <w:b/>
          <w:bCs/>
          <w:color w:val="000000" w:themeColor="tx1" w:themeShade="FF"/>
          <w:sz w:val="28"/>
          <w:szCs w:val="28"/>
          <w:lang w:eastAsia="sk-SK"/>
        </w:rPr>
      </w:pPr>
      <w:r w:rsidRPr="005D6E5F">
        <w:rPr>
          <w:rFonts w:ascii="Times New Roman" w:hAnsi="Times New Roman"/>
          <w:b/>
          <w:bCs/>
          <w:color w:val="000000" w:themeColor="tx1" w:themeShade="FF"/>
          <w:sz w:val="28"/>
          <w:szCs w:val="28"/>
          <w:lang w:eastAsia="sk-SK"/>
        </w:rPr>
        <w:t>Analýza vplyvov na rozpočet verejnej správy,</w:t>
      </w:r>
    </w:p>
    <w:p w:rsidR="007D5748" w:rsidRPr="005D6E5F" w:rsidP="007D5748">
      <w:pPr>
        <w:bidi w:val="0"/>
        <w:spacing w:after="0" w:line="240" w:lineRule="auto"/>
        <w:jc w:val="center"/>
        <w:rPr>
          <w:rFonts w:ascii="Times New Roman" w:hAnsi="Times New Roman"/>
          <w:b/>
          <w:bCs/>
          <w:color w:val="000000" w:themeColor="tx1" w:themeShade="FF"/>
          <w:sz w:val="28"/>
          <w:szCs w:val="28"/>
          <w:lang w:eastAsia="sk-SK"/>
        </w:rPr>
      </w:pPr>
      <w:r w:rsidRPr="005D6E5F">
        <w:rPr>
          <w:rFonts w:ascii="Times New Roman" w:hAnsi="Times New Roman"/>
          <w:b/>
          <w:bCs/>
          <w:color w:val="000000" w:themeColor="tx1" w:themeShade="FF"/>
          <w:sz w:val="28"/>
          <w:szCs w:val="28"/>
          <w:lang w:eastAsia="sk-SK"/>
        </w:rPr>
        <w:t>na zamestnanosť vo verejnej správe a financovanie návrhu</w:t>
      </w:r>
    </w:p>
    <w:p w:rsidR="00E963A3" w:rsidRPr="005D6E5F" w:rsidP="00212894">
      <w:pPr>
        <w:bidi w:val="0"/>
        <w:spacing w:after="0" w:line="240" w:lineRule="auto"/>
        <w:rPr>
          <w:rFonts w:ascii="Times New Roman" w:hAnsi="Times New Roman"/>
          <w:b/>
          <w:bCs/>
          <w:color w:val="000000" w:themeColor="tx1" w:themeShade="FF"/>
          <w:sz w:val="24"/>
          <w:szCs w:val="24"/>
          <w:lang w:eastAsia="sk-SK"/>
        </w:rPr>
      </w:pPr>
    </w:p>
    <w:p w:rsidR="00E963A3" w:rsidRPr="005D6E5F" w:rsidP="00212894">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2.1 Zhrnutie vplyvov na rozpočet verejnej správy v návrhu</w:t>
      </w:r>
    </w:p>
    <w:p w:rsidR="00E963A3" w:rsidRPr="005D6E5F" w:rsidP="007D5748">
      <w:pPr>
        <w:bidi w:val="0"/>
        <w:spacing w:after="0" w:line="240" w:lineRule="auto"/>
        <w:jc w:val="right"/>
        <w:rPr>
          <w:rFonts w:ascii="Times New Roman" w:hAnsi="Times New Roman"/>
          <w:color w:val="000000" w:themeColor="tx1" w:themeShade="FF"/>
          <w:sz w:val="20"/>
          <w:szCs w:val="20"/>
          <w:lang w:eastAsia="sk-SK"/>
        </w:rPr>
      </w:pPr>
    </w:p>
    <w:p w:rsidR="007D5748" w:rsidRPr="005D6E5F" w:rsidP="007D5748">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Tabuľka č. 1 </w:t>
      </w:r>
    </w:p>
    <w:tbl>
      <w:tblPr>
        <w:tblStyle w:val="TableNormal"/>
        <w:tblW w:w="9711"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49"/>
        <w:gridCol w:w="1267"/>
        <w:gridCol w:w="1267"/>
        <w:gridCol w:w="1267"/>
      </w:tblGrid>
      <w:tr>
        <w:tblPrEx>
          <w:tblW w:w="9711"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bookmarkStart w:id="0" w:name="OLE_LINK1"/>
            <w:r w:rsidRPr="005D6E5F">
              <w:rPr>
                <w:rFonts w:ascii="Times New Roman" w:hAnsi="Times New Roman"/>
                <w:b/>
                <w:bCs/>
                <w:color w:val="000000" w:themeColor="tx1" w:themeShade="FF"/>
                <w:sz w:val="24"/>
                <w:szCs w:val="24"/>
                <w:lang w:eastAsia="sk-SK"/>
              </w:rPr>
              <w:t>Vplyvy na rozpočet verejnej správy</w:t>
            </w:r>
          </w:p>
        </w:tc>
        <w:tc>
          <w:tcPr>
            <w:tcW w:w="5050"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Vplyv na rozpočet verejnej správy (v eurách)</w:t>
            </w:r>
          </w:p>
        </w:tc>
      </w:tr>
      <w:tr>
        <w:tblPrEx>
          <w:tblW w:w="9711"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p>
        </w:tc>
        <w:tc>
          <w:tcPr>
            <w:tcW w:w="124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C210F2">
            <w:pPr>
              <w:bidi w:val="0"/>
              <w:spacing w:after="0" w:line="240" w:lineRule="auto"/>
              <w:jc w:val="center"/>
              <w:rPr>
                <w:rFonts w:ascii="Times New Roman" w:hAnsi="Times New Roman"/>
                <w:b/>
                <w:bCs/>
                <w:color w:val="000000" w:themeColor="tx1" w:themeShade="FF"/>
                <w:sz w:val="24"/>
                <w:szCs w:val="24"/>
                <w:lang w:eastAsia="sk-SK"/>
              </w:rPr>
            </w:pPr>
            <w:r w:rsidRPr="005D6E5F" w:rsidR="00EF62AE">
              <w:rPr>
                <w:rFonts w:ascii="Times New Roman" w:hAnsi="Times New Roman"/>
                <w:b/>
                <w:bCs/>
                <w:color w:val="000000" w:themeColor="tx1" w:themeShade="FF"/>
                <w:sz w:val="24"/>
                <w:szCs w:val="24"/>
                <w:lang w:eastAsia="sk-SK"/>
              </w:rPr>
              <w:t>2021</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C210F2">
            <w:pPr>
              <w:bidi w:val="0"/>
              <w:spacing w:after="0" w:line="240" w:lineRule="auto"/>
              <w:jc w:val="center"/>
              <w:rPr>
                <w:rFonts w:ascii="Times New Roman" w:hAnsi="Times New Roman"/>
                <w:b/>
                <w:bCs/>
                <w:color w:val="000000" w:themeColor="tx1" w:themeShade="FF"/>
                <w:sz w:val="24"/>
                <w:szCs w:val="24"/>
                <w:lang w:eastAsia="sk-SK"/>
              </w:rPr>
            </w:pPr>
            <w:r w:rsidRPr="005D6E5F" w:rsidR="00410EFF">
              <w:rPr>
                <w:rFonts w:ascii="Times New Roman" w:hAnsi="Times New Roman"/>
                <w:b/>
                <w:bCs/>
                <w:color w:val="000000" w:themeColor="tx1" w:themeShade="FF"/>
                <w:sz w:val="24"/>
                <w:szCs w:val="24"/>
                <w:lang w:eastAsia="sk-SK"/>
              </w:rPr>
              <w:t>20</w:t>
            </w:r>
            <w:r w:rsidRPr="005D6E5F" w:rsidR="00EF62AE">
              <w:rPr>
                <w:rFonts w:ascii="Times New Roman" w:hAnsi="Times New Roman"/>
                <w:b/>
                <w:bCs/>
                <w:color w:val="000000" w:themeColor="tx1" w:themeShade="FF"/>
                <w:sz w:val="24"/>
                <w:szCs w:val="24"/>
                <w:lang w:eastAsia="sk-SK"/>
              </w:rPr>
              <w:t>22</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C210F2">
            <w:pPr>
              <w:bidi w:val="0"/>
              <w:spacing w:after="0" w:line="240" w:lineRule="auto"/>
              <w:jc w:val="center"/>
              <w:rPr>
                <w:rFonts w:ascii="Times New Roman" w:hAnsi="Times New Roman"/>
                <w:b/>
                <w:bCs/>
                <w:color w:val="000000" w:themeColor="tx1" w:themeShade="FF"/>
                <w:sz w:val="24"/>
                <w:szCs w:val="24"/>
                <w:lang w:eastAsia="sk-SK"/>
              </w:rPr>
            </w:pPr>
            <w:r w:rsidRPr="005D6E5F" w:rsidR="00410EFF">
              <w:rPr>
                <w:rFonts w:ascii="Times New Roman" w:hAnsi="Times New Roman"/>
                <w:b/>
                <w:bCs/>
                <w:color w:val="000000" w:themeColor="tx1" w:themeShade="FF"/>
                <w:sz w:val="24"/>
                <w:szCs w:val="24"/>
                <w:lang w:eastAsia="sk-SK"/>
              </w:rPr>
              <w:t>20</w:t>
            </w:r>
            <w:r w:rsidRPr="005D6E5F" w:rsidR="00EF62AE">
              <w:rPr>
                <w:rFonts w:ascii="Times New Roman" w:hAnsi="Times New Roman"/>
                <w:b/>
                <w:bCs/>
                <w:color w:val="000000" w:themeColor="tx1" w:themeShade="FF"/>
                <w:sz w:val="24"/>
                <w:szCs w:val="24"/>
                <w:lang w:eastAsia="sk-SK"/>
              </w:rPr>
              <w:t>23</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C210F2">
            <w:pPr>
              <w:bidi w:val="0"/>
              <w:spacing w:after="0" w:line="240" w:lineRule="auto"/>
              <w:jc w:val="center"/>
              <w:rPr>
                <w:rFonts w:ascii="Times New Roman" w:hAnsi="Times New Roman"/>
                <w:b/>
                <w:bCs/>
                <w:color w:val="000000" w:themeColor="tx1" w:themeShade="FF"/>
                <w:sz w:val="24"/>
                <w:szCs w:val="24"/>
                <w:lang w:eastAsia="sk-SK"/>
              </w:rPr>
            </w:pPr>
            <w:r w:rsidRPr="005D6E5F" w:rsidR="00410EFF">
              <w:rPr>
                <w:rFonts w:ascii="Times New Roman" w:hAnsi="Times New Roman"/>
                <w:b/>
                <w:bCs/>
                <w:color w:val="000000" w:themeColor="tx1" w:themeShade="FF"/>
                <w:sz w:val="24"/>
                <w:szCs w:val="24"/>
                <w:lang w:eastAsia="sk-SK"/>
              </w:rPr>
              <w:t>20</w:t>
            </w:r>
            <w:r w:rsidRPr="005D6E5F" w:rsidR="00E50785">
              <w:rPr>
                <w:rFonts w:ascii="Times New Roman" w:hAnsi="Times New Roman"/>
                <w:b/>
                <w:bCs/>
                <w:color w:val="000000" w:themeColor="tx1" w:themeShade="FF"/>
                <w:sz w:val="24"/>
                <w:szCs w:val="24"/>
                <w:lang w:eastAsia="sk-SK"/>
              </w:rPr>
              <w:t>2</w:t>
            </w:r>
            <w:r w:rsidRPr="005D6E5F" w:rsidR="00EF62AE">
              <w:rPr>
                <w:rFonts w:ascii="Times New Roman" w:hAnsi="Times New Roman"/>
                <w:b/>
                <w:bCs/>
                <w:color w:val="000000" w:themeColor="tx1" w:themeShade="FF"/>
                <w:sz w:val="24"/>
                <w:szCs w:val="24"/>
                <w:lang w:eastAsia="sk-SK"/>
              </w:rPr>
              <w:t>4</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C722A8" w:rsidRPr="005D6E5F" w:rsidP="00C722A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Príjmy verejnej správy celkom</w:t>
            </w:r>
          </w:p>
        </w:tc>
        <w:tc>
          <w:tcPr>
            <w:tcW w:w="124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xml:space="preserve">z toho:  </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ŠR</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4 600 000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4 600 000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4 600 000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ind w:left="259"/>
              <w:rPr>
                <w:rFonts w:ascii="Times New Roman" w:hAnsi="Times New Roman"/>
                <w:b/>
                <w:bCs/>
                <w:i/>
                <w:iCs/>
                <w:color w:val="000000" w:themeColor="tx1" w:themeShade="FF"/>
                <w:sz w:val="24"/>
                <w:szCs w:val="24"/>
                <w:lang w:eastAsia="sk-SK"/>
              </w:rPr>
            </w:pPr>
            <w:r w:rsidRPr="005D6E5F">
              <w:rPr>
                <w:rFonts w:ascii="Times New Roman" w:hAnsi="Times New Roman"/>
                <w:bCs/>
                <w:i/>
                <w:iCs/>
                <w:color w:val="000000" w:themeColor="tx1" w:themeShade="FF"/>
                <w:sz w:val="24"/>
                <w:szCs w:val="24"/>
                <w:lang w:eastAsia="sk-SK"/>
              </w:rPr>
              <w:t>Rozpočtové prostriedky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4 600 000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4 600 000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4 600 000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ind w:left="259"/>
              <w:rPr>
                <w:rFonts w:ascii="Times New Roman" w:hAnsi="Times New Roman"/>
                <w:bCs/>
                <w:i/>
                <w:iCs/>
                <w:color w:val="000000" w:themeColor="tx1" w:themeShade="FF"/>
                <w:sz w:val="24"/>
                <w:szCs w:val="24"/>
                <w:lang w:eastAsia="sk-SK"/>
              </w:rPr>
            </w:pPr>
            <w:r w:rsidRPr="005D6E5F">
              <w:rPr>
                <w:rFonts w:ascii="Times New Roman" w:hAnsi="Times New Roman"/>
                <w:bCs/>
                <w:i/>
                <w:iCs/>
                <w:color w:val="000000" w:themeColor="tx1" w:themeShade="FF"/>
                <w:sz w:val="24"/>
                <w:szCs w:val="24"/>
                <w:lang w:eastAsia="sk-SK"/>
              </w:rPr>
              <w:t>EÚ zdroje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obce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vyššie územné celky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ostatné subjekty verejnej správy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722A8" w:rsidRPr="005D6E5F" w:rsidP="00C722A8">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298"/>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Výdavky verejnej správy celkom</w:t>
            </w:r>
          </w:p>
        </w:tc>
        <w:tc>
          <w:tcPr>
            <w:tcW w:w="124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457292">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8</w:t>
            </w:r>
            <w:r w:rsidRPr="005D6E5F" w:rsidR="00457292">
              <w:rPr>
                <w:rFonts w:ascii="Times New Roman" w:hAnsi="Times New Roman"/>
                <w:b/>
                <w:bCs/>
                <w:color w:val="000000" w:themeColor="tx1" w:themeShade="FF"/>
                <w:sz w:val="24"/>
                <w:szCs w:val="24"/>
                <w:lang w:eastAsia="sk-SK"/>
              </w:rPr>
              <w:t>26</w:t>
            </w:r>
            <w:r w:rsidRPr="005D6E5F">
              <w:rPr>
                <w:rFonts w:ascii="Times New Roman" w:hAnsi="Times New Roman"/>
                <w:b/>
                <w:bCs/>
                <w:color w:val="000000" w:themeColor="tx1" w:themeShade="FF"/>
                <w:sz w:val="24"/>
                <w:szCs w:val="24"/>
                <w:lang w:eastAsia="sk-SK"/>
              </w:rPr>
              <w:t xml:space="preserve"> </w:t>
            </w:r>
            <w:r w:rsidRPr="005D6E5F" w:rsidR="00457292">
              <w:rPr>
                <w:rFonts w:ascii="Times New Roman" w:hAnsi="Times New Roman"/>
                <w:b/>
                <w:bCs/>
                <w:color w:val="000000" w:themeColor="tx1" w:themeShade="FF"/>
                <w:sz w:val="24"/>
                <w:szCs w:val="24"/>
                <w:lang w:eastAsia="sk-SK"/>
              </w:rPr>
              <w:t>607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5F2EF1">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61</w:t>
            </w:r>
            <w:r w:rsidRPr="005D6E5F" w:rsidR="005F2EF1">
              <w:rPr>
                <w:rFonts w:ascii="Times New Roman" w:hAnsi="Times New Roman"/>
                <w:b/>
                <w:bCs/>
                <w:iCs/>
                <w:color w:val="000000" w:themeColor="tx1" w:themeShade="FF"/>
                <w:sz w:val="24"/>
                <w:szCs w:val="24"/>
                <w:lang w:eastAsia="sk-SK"/>
              </w:rPr>
              <w:t>5</w:t>
            </w:r>
            <w:r w:rsidRPr="005D6E5F" w:rsidR="00457292">
              <w:rPr>
                <w:rFonts w:ascii="Times New Roman" w:hAnsi="Times New Roman"/>
                <w:b/>
                <w:bCs/>
                <w:iCs/>
                <w:color w:val="000000" w:themeColor="tx1" w:themeShade="FF"/>
                <w:sz w:val="24"/>
                <w:szCs w:val="24"/>
                <w:lang w:eastAsia="sk-SK"/>
              </w:rPr>
              <w:t xml:space="preserve"> </w:t>
            </w:r>
            <w:r w:rsidRPr="005D6E5F" w:rsidR="000A0CEB">
              <w:rPr>
                <w:rFonts w:ascii="Times New Roman" w:hAnsi="Times New Roman"/>
                <w:b/>
                <w:bCs/>
                <w:iCs/>
                <w:color w:val="000000" w:themeColor="tx1" w:themeShade="FF"/>
                <w:sz w:val="24"/>
                <w:szCs w:val="24"/>
                <w:lang w:eastAsia="sk-SK"/>
              </w:rPr>
              <w:t>6</w:t>
            </w:r>
            <w:r w:rsidRPr="005D6E5F" w:rsidR="00457292">
              <w:rPr>
                <w:rFonts w:ascii="Times New Roman" w:hAnsi="Times New Roman"/>
                <w:b/>
                <w:bCs/>
                <w:iCs/>
                <w:color w:val="000000" w:themeColor="tx1" w:themeShade="FF"/>
                <w:sz w:val="24"/>
                <w:szCs w:val="24"/>
                <w:lang w:eastAsia="sk-SK"/>
              </w:rPr>
              <w:t>73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552 280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552 280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xml:space="preserve">z toho: </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ŠR</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ind w:left="259"/>
              <w:rPr>
                <w:rFonts w:ascii="Times New Roman" w:hAnsi="Times New Roman"/>
                <w:b/>
                <w:bCs/>
                <w:i/>
                <w:iCs/>
                <w:color w:val="000000" w:themeColor="tx1" w:themeShade="FF"/>
                <w:sz w:val="24"/>
                <w:szCs w:val="24"/>
                <w:lang w:eastAsia="sk-SK"/>
              </w:rPr>
            </w:pPr>
            <w:r w:rsidRPr="005D6E5F">
              <w:rPr>
                <w:rFonts w:ascii="Times New Roman" w:hAnsi="Times New Roman"/>
                <w:bCs/>
                <w:i/>
                <w:iCs/>
                <w:color w:val="000000" w:themeColor="tx1" w:themeShade="FF"/>
                <w:sz w:val="24"/>
                <w:szCs w:val="24"/>
                <w:lang w:eastAsia="sk-SK"/>
              </w:rPr>
              <w:t>Rozpočtové prostriedky – MDV SR</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0A0CEB">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 xml:space="preserve">761 </w:t>
            </w:r>
            <w:r w:rsidRPr="005D6E5F" w:rsidR="000A0CEB">
              <w:rPr>
                <w:rFonts w:ascii="Times New Roman" w:hAnsi="Times New Roman"/>
                <w:b/>
                <w:bCs/>
                <w:iCs/>
                <w:color w:val="000000" w:themeColor="tx1" w:themeShade="FF"/>
                <w:sz w:val="24"/>
                <w:szCs w:val="24"/>
                <w:lang w:eastAsia="sk-SK"/>
              </w:rPr>
              <w:t>6</w:t>
            </w:r>
            <w:r w:rsidRPr="005D6E5F" w:rsidR="00457292">
              <w:rPr>
                <w:rFonts w:ascii="Times New Roman" w:hAnsi="Times New Roman"/>
                <w:b/>
                <w:bCs/>
                <w:iCs/>
                <w:color w:val="000000" w:themeColor="tx1" w:themeShade="FF"/>
                <w:sz w:val="24"/>
                <w:szCs w:val="24"/>
                <w:lang w:eastAsia="sk-SK"/>
              </w:rPr>
              <w:t>07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0A0CEB">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 xml:space="preserve">38 </w:t>
            </w:r>
            <w:r w:rsidRPr="005D6E5F" w:rsidR="000A0CEB">
              <w:rPr>
                <w:rFonts w:ascii="Times New Roman" w:hAnsi="Times New Roman"/>
                <w:b/>
                <w:bCs/>
                <w:iCs/>
                <w:color w:val="000000" w:themeColor="tx1" w:themeShade="FF"/>
                <w:sz w:val="24"/>
                <w:szCs w:val="24"/>
                <w:lang w:eastAsia="sk-SK"/>
              </w:rPr>
              <w:t>3</w:t>
            </w:r>
            <w:r w:rsidRPr="005D6E5F" w:rsidR="00457292">
              <w:rPr>
                <w:rFonts w:ascii="Times New Roman" w:hAnsi="Times New Roman"/>
                <w:b/>
                <w:bCs/>
                <w:iCs/>
                <w:color w:val="000000" w:themeColor="tx1" w:themeShade="FF"/>
                <w:sz w:val="24"/>
                <w:szCs w:val="24"/>
                <w:lang w:eastAsia="sk-SK"/>
              </w:rPr>
              <w:t>93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ind w:left="259"/>
              <w:rPr>
                <w:rFonts w:ascii="Times New Roman" w:hAnsi="Times New Roman"/>
                <w:bCs/>
                <w:i/>
                <w:iCs/>
                <w:color w:val="000000" w:themeColor="tx1" w:themeShade="FF"/>
                <w:sz w:val="24"/>
                <w:szCs w:val="24"/>
                <w:lang w:eastAsia="sk-SK"/>
              </w:rPr>
            </w:pPr>
            <w:r w:rsidRPr="005D6E5F">
              <w:rPr>
                <w:rFonts w:ascii="Times New Roman" w:hAnsi="Times New Roman"/>
                <w:bCs/>
                <w:i/>
                <w:iCs/>
                <w:color w:val="000000" w:themeColor="tx1" w:themeShade="FF"/>
                <w:sz w:val="24"/>
                <w:szCs w:val="24"/>
                <w:lang w:eastAsia="sk-SK"/>
              </w:rPr>
              <w:t>Rozpočtové prostriedky – MV SR</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65 000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457292">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5</w:t>
            </w:r>
            <w:r w:rsidRPr="005D6E5F" w:rsidR="00457292">
              <w:rPr>
                <w:rFonts w:ascii="Times New Roman" w:hAnsi="Times New Roman"/>
                <w:b/>
                <w:bCs/>
                <w:iCs/>
                <w:color w:val="000000" w:themeColor="tx1" w:themeShade="FF"/>
                <w:sz w:val="24"/>
                <w:szCs w:val="24"/>
                <w:lang w:eastAsia="sk-SK"/>
              </w:rPr>
              <w:t>77</w:t>
            </w:r>
            <w:r w:rsidRPr="005D6E5F">
              <w:rPr>
                <w:rFonts w:ascii="Times New Roman" w:hAnsi="Times New Roman"/>
                <w:b/>
                <w:bCs/>
                <w:iCs/>
                <w:color w:val="000000" w:themeColor="tx1" w:themeShade="FF"/>
                <w:sz w:val="24"/>
                <w:szCs w:val="24"/>
                <w:lang w:eastAsia="sk-SK"/>
              </w:rPr>
              <w:t xml:space="preserve"> 280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552 280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552 280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Cs/>
                <w:i/>
                <w:iCs/>
                <w:color w:val="000000" w:themeColor="tx1" w:themeShade="FF"/>
                <w:sz w:val="24"/>
                <w:szCs w:val="24"/>
                <w:lang w:eastAsia="sk-SK"/>
              </w:rPr>
            </w:pPr>
            <w:r w:rsidRPr="005D6E5F">
              <w:rPr>
                <w:rFonts w:ascii="Times New Roman" w:hAnsi="Times New Roman"/>
                <w:bCs/>
                <w:i/>
                <w:iCs/>
                <w:color w:val="000000" w:themeColor="tx1" w:themeShade="FF"/>
                <w:sz w:val="24"/>
                <w:szCs w:val="24"/>
                <w:lang w:eastAsia="sk-SK"/>
              </w:rPr>
              <w:t xml:space="preserve">    EÚ zdroje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Cs/>
                <w:i/>
                <w:iCs/>
                <w:color w:val="000000" w:themeColor="tx1" w:themeShade="FF"/>
                <w:sz w:val="24"/>
                <w:szCs w:val="24"/>
                <w:lang w:eastAsia="sk-SK"/>
              </w:rPr>
            </w:pPr>
            <w:r w:rsidRPr="005D6E5F">
              <w:rPr>
                <w:rFonts w:ascii="Times New Roman" w:hAnsi="Times New Roman"/>
                <w:bCs/>
                <w:i/>
                <w:iCs/>
                <w:color w:val="000000" w:themeColor="tx1" w:themeShade="FF"/>
                <w:sz w:val="24"/>
                <w:szCs w:val="24"/>
                <w:lang w:eastAsia="sk-SK"/>
              </w:rPr>
              <w:t xml:space="preserve">    spolufinancovanie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obce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vyššie územné celky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ostatné subjekty verejnej správy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Vplyv na počet zamestnancov </w:t>
            </w:r>
          </w:p>
        </w:tc>
        <w:tc>
          <w:tcPr>
            <w:tcW w:w="12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sidR="009478BA">
              <w:rPr>
                <w:rFonts w:ascii="Times New Roman" w:hAnsi="Times New Roman"/>
                <w:b/>
                <w:bCs/>
                <w:color w:val="000000" w:themeColor="tx1" w:themeShade="FF"/>
                <w:sz w:val="24"/>
                <w:szCs w:val="24"/>
                <w:lang w:eastAsia="sk-SK"/>
              </w:rPr>
              <w:t>35</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ŠR</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obce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vyššie územné celky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ostatné subjekty verejnej správy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2784B" w:rsidRPr="005D6E5F" w:rsidP="0092784B">
            <w:pPr>
              <w:bidi w:val="0"/>
              <w:spacing w:after="0" w:line="240" w:lineRule="auto"/>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Vplyv na mzdové výdavky</w:t>
            </w:r>
          </w:p>
        </w:tc>
        <w:tc>
          <w:tcPr>
            <w:tcW w:w="12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372 900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372 900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372 900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2784B" w:rsidRPr="005D6E5F" w:rsidP="0092784B">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ŠR</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92784B" w:rsidRPr="005D6E5F" w:rsidP="0092784B">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372 900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372 900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2784B" w:rsidRPr="005D6E5F" w:rsidP="0092784B">
            <w:pPr>
              <w:bidi w:val="0"/>
              <w:spacing w:after="0" w:line="240" w:lineRule="auto"/>
              <w:jc w:val="right"/>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372 900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obce</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i/>
                <w:i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vyššie územné celky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i/>
                <w:iCs/>
                <w:color w:val="000000" w:themeColor="tx1" w:themeShade="FF"/>
                <w:sz w:val="24"/>
                <w:szCs w:val="24"/>
                <w:lang w:eastAsia="sk-SK"/>
              </w:rPr>
              <w:t>- vplyv na ostatné subjekty verejnej správy</w:t>
            </w:r>
          </w:p>
        </w:tc>
        <w:tc>
          <w:tcPr>
            <w:tcW w:w="1249"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Pr>
                <w:rFonts w:ascii="Times New Roman" w:hAnsi="Times New Roman"/>
                <w:b/>
                <w:bCs/>
                <w:i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Financovanie zabezpečené v rozpočte</w:t>
            </w:r>
          </w:p>
        </w:tc>
        <w:tc>
          <w:tcPr>
            <w:tcW w:w="124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5F2EF1">
            <w:pPr>
              <w:bidi w:val="0"/>
              <w:spacing w:after="0" w:line="240" w:lineRule="auto"/>
              <w:jc w:val="right"/>
              <w:rPr>
                <w:rFonts w:ascii="Times New Roman" w:hAnsi="Times New Roman"/>
                <w:b/>
                <w:bCs/>
                <w:color w:val="000000" w:themeColor="tx1" w:themeShade="FF"/>
                <w:sz w:val="24"/>
                <w:szCs w:val="24"/>
                <w:lang w:eastAsia="sk-SK"/>
              </w:rPr>
            </w:pPr>
            <w:r w:rsidRPr="005D6E5F" w:rsidR="00457292">
              <w:rPr>
                <w:rFonts w:ascii="Times New Roman" w:hAnsi="Times New Roman"/>
                <w:b/>
                <w:bCs/>
                <w:color w:val="000000" w:themeColor="tx1" w:themeShade="FF"/>
                <w:sz w:val="24"/>
                <w:szCs w:val="24"/>
                <w:lang w:eastAsia="sk-SK"/>
              </w:rPr>
              <w:t xml:space="preserve">826 </w:t>
            </w:r>
            <w:r w:rsidRPr="005D6E5F" w:rsidR="005F2EF1">
              <w:rPr>
                <w:rFonts w:ascii="Times New Roman" w:hAnsi="Times New Roman"/>
                <w:b/>
                <w:bCs/>
                <w:color w:val="000000" w:themeColor="tx1" w:themeShade="FF"/>
                <w:sz w:val="24"/>
                <w:szCs w:val="24"/>
                <w:lang w:eastAsia="sk-SK"/>
              </w:rPr>
              <w:t>6</w:t>
            </w:r>
            <w:r w:rsidRPr="005D6E5F" w:rsidR="00457292">
              <w:rPr>
                <w:rFonts w:ascii="Times New Roman" w:hAnsi="Times New Roman"/>
                <w:b/>
                <w:bCs/>
                <w:color w:val="000000" w:themeColor="tx1" w:themeShade="FF"/>
                <w:sz w:val="24"/>
                <w:szCs w:val="24"/>
                <w:lang w:eastAsia="sk-SK"/>
              </w:rPr>
              <w:t>07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57292" w:rsidRPr="005D6E5F" w:rsidP="00457292">
            <w:pPr>
              <w:bidi w:val="0"/>
              <w:spacing w:after="0" w:line="240" w:lineRule="auto"/>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 xml:space="preserve"> v tom: VPS</w:t>
            </w:r>
          </w:p>
        </w:tc>
        <w:tc>
          <w:tcPr>
            <w:tcW w:w="12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57292" w:rsidRPr="005D6E5F" w:rsidP="005F2EF1">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826 </w:t>
            </w:r>
            <w:r w:rsidRPr="005D6E5F" w:rsidR="005F2EF1">
              <w:rPr>
                <w:rFonts w:ascii="Times New Roman" w:hAnsi="Times New Roman"/>
                <w:b/>
                <w:bCs/>
                <w:color w:val="000000" w:themeColor="tx1" w:themeShade="FF"/>
                <w:sz w:val="24"/>
                <w:szCs w:val="24"/>
                <w:lang w:eastAsia="sk-SK"/>
              </w:rPr>
              <w:t>6</w:t>
            </w:r>
            <w:r w:rsidRPr="005D6E5F">
              <w:rPr>
                <w:rFonts w:ascii="Times New Roman" w:hAnsi="Times New Roman"/>
                <w:b/>
                <w:bCs/>
                <w:color w:val="000000" w:themeColor="tx1" w:themeShade="FF"/>
                <w:sz w:val="24"/>
                <w:szCs w:val="24"/>
                <w:lang w:eastAsia="sk-SK"/>
              </w:rPr>
              <w:t>07</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57292" w:rsidRPr="005D6E5F" w:rsidP="007A2B79">
            <w:pPr>
              <w:bidi w:val="0"/>
              <w:spacing w:after="0" w:line="240" w:lineRule="auto"/>
              <w:jc w:val="right"/>
              <w:rPr>
                <w:rFonts w:ascii="Times New Roman" w:hAnsi="Times New Roman"/>
                <w:b/>
                <w:b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57292" w:rsidRPr="005D6E5F" w:rsidP="007A2B79">
            <w:pPr>
              <w:bidi w:val="0"/>
              <w:spacing w:after="0" w:line="240" w:lineRule="auto"/>
              <w:jc w:val="right"/>
              <w:rPr>
                <w:rFonts w:ascii="Times New Roman" w:hAnsi="Times New Roman"/>
                <w:b/>
                <w:b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57292" w:rsidRPr="005D6E5F" w:rsidP="007A2B79">
            <w:pPr>
              <w:bidi w:val="0"/>
              <w:spacing w:after="0" w:line="240" w:lineRule="auto"/>
              <w:jc w:val="right"/>
              <w:rPr>
                <w:rFonts w:ascii="Times New Roman" w:hAnsi="Times New Roman"/>
                <w:b/>
                <w:bCs/>
                <w:color w:val="000000" w:themeColor="tx1" w:themeShade="FF"/>
                <w:sz w:val="24"/>
                <w:szCs w:val="24"/>
                <w:lang w:eastAsia="sk-SK"/>
              </w:rPr>
            </w:pP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 xml:space="preserve">Iné ako rozpočtové zdroje </w:t>
            </w:r>
          </w:p>
        </w:tc>
        <w:tc>
          <w:tcPr>
            <w:tcW w:w="12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r>
      <w:tr>
        <w:tblPrEx>
          <w:tblW w:w="9711"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A2B79" w:rsidRPr="005D6E5F" w:rsidP="007A2B79">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Rozpočtovo nekrytý vplyv / úspora</w:t>
            </w:r>
          </w:p>
        </w:tc>
        <w:tc>
          <w:tcPr>
            <w:tcW w:w="124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A2B79" w:rsidRPr="005D6E5F" w:rsidP="007A2B79">
            <w:pPr>
              <w:bidi w:val="0"/>
              <w:spacing w:after="0" w:line="240" w:lineRule="auto"/>
              <w:jc w:val="right"/>
              <w:rPr>
                <w:rFonts w:ascii="Times New Roman" w:hAnsi="Times New Roman"/>
                <w:b/>
                <w:bCs/>
                <w:color w:val="000000" w:themeColor="tx1" w:themeShade="FF"/>
                <w:sz w:val="24"/>
                <w:szCs w:val="24"/>
                <w:lang w:eastAsia="sk-SK"/>
              </w:rPr>
            </w:pPr>
            <w:r w:rsidRPr="005D6E5F" w:rsidR="00457292">
              <w:rPr>
                <w:rFonts w:ascii="Times New Roman" w:hAnsi="Times New Roman"/>
                <w:b/>
                <w:bCs/>
                <w:color w:val="000000" w:themeColor="tx1" w:themeShade="FF"/>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A2B79" w:rsidRPr="005D6E5F" w:rsidP="005F2EF1">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3 98</w:t>
            </w:r>
            <w:r w:rsidRPr="005D6E5F" w:rsidR="005F2EF1">
              <w:rPr>
                <w:rFonts w:ascii="Times New Roman" w:hAnsi="Times New Roman"/>
                <w:b/>
                <w:bCs/>
                <w:iCs/>
                <w:color w:val="000000" w:themeColor="tx1" w:themeShade="FF"/>
                <w:sz w:val="24"/>
                <w:szCs w:val="24"/>
                <w:lang w:eastAsia="sk-SK"/>
              </w:rPr>
              <w:t>4</w:t>
            </w:r>
            <w:r w:rsidRPr="005D6E5F" w:rsidR="00457292">
              <w:rPr>
                <w:rFonts w:ascii="Times New Roman" w:hAnsi="Times New Roman"/>
                <w:b/>
                <w:bCs/>
                <w:iCs/>
                <w:color w:val="000000" w:themeColor="tx1" w:themeShade="FF"/>
                <w:sz w:val="24"/>
                <w:szCs w:val="24"/>
                <w:lang w:eastAsia="sk-SK"/>
              </w:rPr>
              <w:t xml:space="preserve"> </w:t>
            </w:r>
            <w:r w:rsidRPr="005D6E5F" w:rsidR="005F2EF1">
              <w:rPr>
                <w:rFonts w:ascii="Times New Roman" w:hAnsi="Times New Roman"/>
                <w:b/>
                <w:bCs/>
                <w:iCs/>
                <w:color w:val="000000" w:themeColor="tx1" w:themeShade="FF"/>
                <w:sz w:val="24"/>
                <w:szCs w:val="24"/>
                <w:lang w:eastAsia="sk-SK"/>
              </w:rPr>
              <w:t>3</w:t>
            </w:r>
            <w:r w:rsidRPr="005D6E5F" w:rsidR="00457292">
              <w:rPr>
                <w:rFonts w:ascii="Times New Roman" w:hAnsi="Times New Roman"/>
                <w:b/>
                <w:bCs/>
                <w:iCs/>
                <w:color w:val="000000" w:themeColor="tx1" w:themeShade="FF"/>
                <w:sz w:val="24"/>
                <w:szCs w:val="24"/>
                <w:lang w:eastAsia="sk-SK"/>
              </w:rPr>
              <w:t>27</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4 047 720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A2B79" w:rsidRPr="005D6E5F" w:rsidP="007A2B79">
            <w:pPr>
              <w:bidi w:val="0"/>
              <w:spacing w:after="0" w:line="240" w:lineRule="auto"/>
              <w:jc w:val="right"/>
              <w:rPr>
                <w:rFonts w:ascii="Times New Roman" w:hAnsi="Times New Roman"/>
                <w:b/>
                <w:bCs/>
                <w:iCs/>
                <w:color w:val="000000" w:themeColor="tx1" w:themeShade="FF"/>
                <w:sz w:val="24"/>
                <w:szCs w:val="24"/>
                <w:lang w:eastAsia="sk-SK"/>
              </w:rPr>
            </w:pPr>
            <w:r w:rsidRPr="005D6E5F" w:rsidR="00457292">
              <w:rPr>
                <w:rFonts w:ascii="Times New Roman" w:hAnsi="Times New Roman"/>
                <w:b/>
                <w:bCs/>
                <w:iCs/>
                <w:color w:val="000000" w:themeColor="tx1" w:themeShade="FF"/>
                <w:sz w:val="24"/>
                <w:szCs w:val="24"/>
                <w:lang w:eastAsia="sk-SK"/>
              </w:rPr>
              <w:t>4 047 720</w:t>
            </w:r>
          </w:p>
        </w:tc>
      </w:tr>
    </w:tbl>
    <w:p w:rsidR="005A099E" w:rsidRPr="005D6E5F" w:rsidP="007D5748">
      <w:pPr>
        <w:bidi w:val="0"/>
        <w:spacing w:after="0" w:line="240" w:lineRule="auto"/>
        <w:rPr>
          <w:rFonts w:ascii="Times New Roman" w:hAnsi="Times New Roman"/>
          <w:b/>
          <w:bCs/>
          <w:color w:val="000000" w:themeColor="tx1" w:themeShade="FF"/>
          <w:sz w:val="24"/>
          <w:szCs w:val="24"/>
          <w:lang w:eastAsia="sk-SK"/>
        </w:rPr>
      </w:pPr>
      <w:bookmarkEnd w:id="0"/>
    </w:p>
    <w:p w:rsidR="007D5748" w:rsidRPr="005D6E5F" w:rsidP="005A099E">
      <w:pPr>
        <w:bidi w:val="0"/>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2.1.1. Financovanie návrhu - Návrh na riešenie úbytku príjmov alebo zvýšených výdavkov podľa § 33 ods. 1 zákona č. 523/2004 Z. z. o rozpočtových pravidlách verejnej správy:</w:t>
      </w:r>
    </w:p>
    <w:p w:rsidR="007D5748" w:rsidRPr="005D6E5F" w:rsidP="007D5748">
      <w:pPr>
        <w:bidi w:val="0"/>
        <w:spacing w:after="0" w:line="240" w:lineRule="auto"/>
        <w:jc w:val="both"/>
        <w:rPr>
          <w:rFonts w:ascii="Times New Roman" w:hAnsi="Times New Roman"/>
          <w:b/>
          <w:bCs/>
          <w:color w:val="000000" w:themeColor="tx1" w:themeShade="FF"/>
          <w:sz w:val="12"/>
          <w:szCs w:val="24"/>
          <w:lang w:eastAsia="sk-SK"/>
        </w:rPr>
      </w:pPr>
    </w:p>
    <w:p w:rsidR="00041EC4" w:rsidRPr="005D6E5F" w:rsidP="00854233">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olor w:val="000000" w:themeColor="tx1" w:themeShade="FF"/>
          <w:sz w:val="24"/>
          <w:szCs w:val="24"/>
        </w:rPr>
      </w:pPr>
      <w:r w:rsidRPr="005D6E5F" w:rsidR="00EF62AE">
        <w:rPr>
          <w:rFonts w:ascii="Times New Roman" w:hAnsi="Times New Roman"/>
          <w:color w:val="000000" w:themeColor="tx1" w:themeShade="FF"/>
          <w:sz w:val="24"/>
          <w:szCs w:val="24"/>
        </w:rPr>
        <w:t xml:space="preserve">Predkladaný návrh zákona predpokladá negatívny vplyv na rozpočet verejnej správy </w:t>
        <w:br/>
        <w:t xml:space="preserve">v rokoch 2021 až 2024, a to z dôvodu nákladov na úpravu informačných systémov </w:t>
        <w:br/>
        <w:t>v gescii MDV SR a MV SR, najmä Jednotného informačného systému v cestnej doprave – Modulu správnych deliktov</w:t>
      </w:r>
      <w:r w:rsidRPr="005D6E5F">
        <w:rPr>
          <w:rFonts w:ascii="Times New Roman" w:hAnsi="Times New Roman"/>
          <w:color w:val="000000" w:themeColor="tx1" w:themeShade="FF"/>
          <w:sz w:val="24"/>
          <w:szCs w:val="24"/>
        </w:rPr>
        <w:t xml:space="preserve"> v gescii MDV SR, v rámci ktorých sú zarátané aj náklady na zabezpečenie úradných rozhodnutí v úradných jazykoch členských štátov EÚ</w:t>
      </w:r>
      <w:r w:rsidRPr="005D6E5F" w:rsidR="00EF62AE">
        <w:rPr>
          <w:rFonts w:ascii="Times New Roman" w:hAnsi="Times New Roman"/>
          <w:color w:val="000000" w:themeColor="tx1" w:themeShade="FF"/>
          <w:sz w:val="24"/>
          <w:szCs w:val="24"/>
        </w:rPr>
        <w:t>, Európskeho informačného systému vozidiel a vodičských preukazov (EUCARIS) – implementácie Modulu Toll</w:t>
      </w:r>
      <w:r w:rsidRPr="005D6E5F">
        <w:rPr>
          <w:rFonts w:ascii="Times New Roman" w:hAnsi="Times New Roman"/>
          <w:color w:val="000000" w:themeColor="tx1" w:themeShade="FF"/>
          <w:sz w:val="24"/>
          <w:szCs w:val="24"/>
        </w:rPr>
        <w:t xml:space="preserve"> a vyvolaných zmien v informačných systémoch v gescii MV SR</w:t>
      </w:r>
      <w:r w:rsidRPr="005D6E5F" w:rsidR="00EF62AE">
        <w:rPr>
          <w:rFonts w:ascii="Times New Roman" w:hAnsi="Times New Roman"/>
          <w:color w:val="000000" w:themeColor="tx1" w:themeShade="FF"/>
          <w:sz w:val="24"/>
          <w:szCs w:val="24"/>
        </w:rPr>
        <w:t xml:space="preserve">, nákladov </w:t>
      </w:r>
      <w:r w:rsidRPr="005D6E5F">
        <w:rPr>
          <w:rFonts w:ascii="Times New Roman" w:hAnsi="Times New Roman"/>
          <w:color w:val="000000" w:themeColor="tx1" w:themeShade="FF"/>
          <w:sz w:val="24"/>
          <w:szCs w:val="24"/>
        </w:rPr>
        <w:t xml:space="preserve">na </w:t>
      </w:r>
      <w:r w:rsidRPr="005D6E5F" w:rsidR="00EF62AE">
        <w:rPr>
          <w:rFonts w:ascii="Times New Roman" w:hAnsi="Times New Roman"/>
          <w:color w:val="000000" w:themeColor="tx1" w:themeShade="FF"/>
          <w:sz w:val="24"/>
          <w:szCs w:val="24"/>
        </w:rPr>
        <w:t>posilnenie administratívnych kapacít</w:t>
      </w:r>
      <w:r w:rsidRPr="005D6E5F" w:rsidR="00C64362">
        <w:rPr>
          <w:rFonts w:ascii="Times New Roman" w:hAnsi="Times New Roman"/>
          <w:color w:val="000000" w:themeColor="tx1" w:themeShade="FF"/>
          <w:sz w:val="24"/>
          <w:szCs w:val="24"/>
        </w:rPr>
        <w:t xml:space="preserve"> a materiálovo-technického vybavenia</w:t>
      </w:r>
      <w:r w:rsidRPr="005D6E5F" w:rsidR="00087864">
        <w:rPr>
          <w:rFonts w:ascii="Times New Roman" w:hAnsi="Times New Roman"/>
          <w:color w:val="000000" w:themeColor="tx1" w:themeShade="FF"/>
          <w:sz w:val="24"/>
          <w:szCs w:val="24"/>
        </w:rPr>
        <w:t xml:space="preserve"> Centra logistického zabezpečenia administratívnych činností </w:t>
      </w:r>
      <w:r w:rsidRPr="005D6E5F">
        <w:rPr>
          <w:rFonts w:ascii="Times New Roman" w:hAnsi="Times New Roman"/>
          <w:color w:val="000000" w:themeColor="tx1" w:themeShade="FF"/>
          <w:sz w:val="24"/>
          <w:szCs w:val="24"/>
        </w:rPr>
        <w:t xml:space="preserve">(CLZAČ) </w:t>
      </w:r>
      <w:r w:rsidRPr="005D6E5F" w:rsidR="00087864">
        <w:rPr>
          <w:rFonts w:ascii="Times New Roman" w:hAnsi="Times New Roman"/>
          <w:color w:val="000000" w:themeColor="tx1" w:themeShade="FF"/>
          <w:sz w:val="24"/>
          <w:szCs w:val="24"/>
        </w:rPr>
        <w:t>MV SR</w:t>
      </w:r>
      <w:r w:rsidRPr="005D6E5F" w:rsidR="00EF62AE">
        <w:rPr>
          <w:rFonts w:ascii="Times New Roman" w:hAnsi="Times New Roman"/>
          <w:color w:val="000000" w:themeColor="tx1" w:themeShade="FF"/>
          <w:sz w:val="24"/>
          <w:szCs w:val="24"/>
        </w:rPr>
        <w:t xml:space="preserve">. </w:t>
      </w:r>
      <w:r w:rsidRPr="005D6E5F" w:rsidR="00087864">
        <w:rPr>
          <w:rFonts w:ascii="Times New Roman" w:hAnsi="Times New Roman"/>
          <w:color w:val="000000" w:themeColor="tx1" w:themeShade="FF"/>
          <w:sz w:val="24"/>
          <w:szCs w:val="24"/>
        </w:rPr>
        <w:t>Nákla</w:t>
      </w:r>
      <w:r w:rsidRPr="005D6E5F" w:rsidR="00C722A8">
        <w:rPr>
          <w:rFonts w:ascii="Times New Roman" w:hAnsi="Times New Roman"/>
          <w:color w:val="000000" w:themeColor="tx1" w:themeShade="FF"/>
          <w:sz w:val="24"/>
          <w:szCs w:val="24"/>
        </w:rPr>
        <w:t>dy MDV SR predstavujú maximálnu výšku</w:t>
      </w:r>
      <w:r w:rsidRPr="005D6E5F" w:rsidR="00087864">
        <w:rPr>
          <w:rFonts w:ascii="Times New Roman" w:hAnsi="Times New Roman"/>
          <w:color w:val="000000" w:themeColor="tx1" w:themeShade="FF"/>
          <w:sz w:val="24"/>
          <w:szCs w:val="24"/>
        </w:rPr>
        <w:t xml:space="preserve">. </w:t>
      </w:r>
      <w:r w:rsidRPr="005D6E5F">
        <w:rPr>
          <w:rFonts w:ascii="Times New Roman" w:hAnsi="Times New Roman"/>
          <w:color w:val="000000" w:themeColor="tx1" w:themeShade="FF"/>
          <w:sz w:val="24"/>
          <w:szCs w:val="24"/>
        </w:rPr>
        <w:t>Ide o expertný odhad hornej hranice výdavkov MDV SR, ktorý bude pred realizáciou úpravy informačného systému spresnený</w:t>
      </w:r>
      <w:r w:rsidRPr="005D6E5F" w:rsidR="000956AE">
        <w:rPr>
          <w:rFonts w:ascii="Times New Roman" w:hAnsi="Times New Roman"/>
          <w:color w:val="000000" w:themeColor="tx1" w:themeShade="FF"/>
          <w:sz w:val="24"/>
          <w:szCs w:val="24"/>
        </w:rPr>
        <w:t xml:space="preserve"> a doplnený o detaily rozpočtu</w:t>
      </w:r>
      <w:r w:rsidRPr="005D6E5F">
        <w:rPr>
          <w:rFonts w:ascii="Times New Roman" w:hAnsi="Times New Roman"/>
          <w:color w:val="000000" w:themeColor="tx1" w:themeShade="FF"/>
          <w:sz w:val="24"/>
          <w:szCs w:val="24"/>
        </w:rPr>
        <w:t>.</w:t>
      </w:r>
      <w:r w:rsidRPr="005D6E5F" w:rsidR="00213D13">
        <w:rPr>
          <w:rFonts w:ascii="Times New Roman" w:hAnsi="Times New Roman"/>
          <w:color w:val="000000" w:themeColor="tx1" w:themeShade="FF"/>
          <w:sz w:val="24"/>
          <w:szCs w:val="24"/>
        </w:rPr>
        <w:t xml:space="preserve"> Zmeny týkajúce sa informačných systémov MDV SR a MV SR sú v roku 2021 rozpočtovo kryté vo výške 826 607,- eur v rámci VPS a v roku 2022 sú kryté očakávanými príjmami z výberu pokút od zahraničných prevádzkovateľov. </w:t>
      </w:r>
    </w:p>
    <w:p w:rsidR="00041EC4" w:rsidRPr="005D6E5F" w:rsidP="00854233">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olor w:val="000000" w:themeColor="tx1" w:themeShade="FF"/>
          <w:sz w:val="24"/>
          <w:szCs w:val="24"/>
        </w:rPr>
      </w:pPr>
      <w:r w:rsidRPr="005D6E5F" w:rsidR="00C722A8">
        <w:rPr>
          <w:rFonts w:ascii="Times New Roman" w:hAnsi="Times New Roman"/>
          <w:color w:val="000000" w:themeColor="tx1" w:themeShade="FF"/>
          <w:sz w:val="24"/>
          <w:szCs w:val="24"/>
        </w:rPr>
        <w:t>Návrh zároveň predstavuje požiadavku na z</w:t>
      </w:r>
      <w:r w:rsidRPr="005D6E5F">
        <w:rPr>
          <w:rFonts w:ascii="Times New Roman" w:hAnsi="Times New Roman"/>
          <w:color w:val="000000" w:themeColor="tx1" w:themeShade="FF"/>
          <w:sz w:val="24"/>
          <w:szCs w:val="24"/>
        </w:rPr>
        <w:t>výšenie limitu počtu zamestnancov,</w:t>
      </w:r>
      <w:r w:rsidRPr="005D6E5F" w:rsidR="00DE2A49">
        <w:rPr>
          <w:rFonts w:ascii="Times New Roman" w:hAnsi="Times New Roman"/>
          <w:color w:val="000000" w:themeColor="tx1" w:themeShade="FF"/>
          <w:sz w:val="24"/>
          <w:szCs w:val="24"/>
        </w:rPr>
        <w:t xml:space="preserve"> osobných výdavkov a </w:t>
      </w:r>
      <w:r w:rsidRPr="005D6E5F">
        <w:rPr>
          <w:rFonts w:ascii="Times New Roman" w:hAnsi="Times New Roman"/>
          <w:color w:val="000000" w:themeColor="tx1" w:themeShade="FF"/>
          <w:sz w:val="24"/>
          <w:szCs w:val="24"/>
        </w:rPr>
        <w:t xml:space="preserve">nákladov na materiálovo-technické vybavenie CLZAČ </w:t>
      </w:r>
      <w:r w:rsidRPr="005D6E5F" w:rsidR="00C722A8">
        <w:rPr>
          <w:rFonts w:ascii="Times New Roman" w:hAnsi="Times New Roman"/>
          <w:color w:val="000000" w:themeColor="tx1" w:themeShade="FF"/>
          <w:sz w:val="24"/>
          <w:szCs w:val="24"/>
        </w:rPr>
        <w:t xml:space="preserve"> (pokutáreň) </w:t>
      </w:r>
      <w:r w:rsidRPr="005D6E5F">
        <w:rPr>
          <w:rFonts w:ascii="Times New Roman" w:hAnsi="Times New Roman"/>
          <w:color w:val="000000" w:themeColor="tx1" w:themeShade="FF"/>
          <w:sz w:val="24"/>
          <w:szCs w:val="24"/>
        </w:rPr>
        <w:t>MV SR</w:t>
      </w:r>
      <w:r w:rsidRPr="005D6E5F" w:rsidR="00C722A8">
        <w:rPr>
          <w:rFonts w:ascii="Times New Roman" w:hAnsi="Times New Roman"/>
          <w:color w:val="000000" w:themeColor="tx1" w:themeShade="FF"/>
          <w:sz w:val="24"/>
          <w:szCs w:val="24"/>
        </w:rPr>
        <w:t>, a to z dôvodu vyššieho počtu úkonov, ktoré sa v súvislosti s prijatím zákona očakávajú.</w:t>
      </w:r>
    </w:p>
    <w:p w:rsidR="007D5748" w:rsidRPr="005D6E5F" w:rsidP="00854233">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olor w:val="000000" w:themeColor="tx1" w:themeShade="FF"/>
          <w:sz w:val="24"/>
          <w:szCs w:val="24"/>
        </w:rPr>
      </w:pPr>
      <w:r w:rsidRPr="005D6E5F" w:rsidR="00EF62AE">
        <w:rPr>
          <w:rFonts w:ascii="Times New Roman" w:hAnsi="Times New Roman"/>
          <w:color w:val="000000" w:themeColor="tx1" w:themeShade="FF"/>
          <w:sz w:val="24"/>
          <w:szCs w:val="24"/>
        </w:rPr>
        <w:t xml:space="preserve">Zároveň sa predpokladá tiež pozitívny vplyv na rozpočet verejnej správy vo vzťahu </w:t>
      </w:r>
      <w:r w:rsidRPr="005D6E5F" w:rsidR="00E87889">
        <w:rPr>
          <w:rFonts w:ascii="Times New Roman" w:hAnsi="Times New Roman"/>
          <w:color w:val="000000" w:themeColor="tx1" w:themeShade="FF"/>
          <w:sz w:val="24"/>
          <w:szCs w:val="24"/>
        </w:rPr>
        <w:br/>
      </w:r>
      <w:r w:rsidRPr="005D6E5F" w:rsidR="00EF62AE">
        <w:rPr>
          <w:rFonts w:ascii="Times New Roman" w:hAnsi="Times New Roman"/>
          <w:color w:val="000000" w:themeColor="tx1" w:themeShade="FF"/>
          <w:sz w:val="24"/>
          <w:szCs w:val="24"/>
        </w:rPr>
        <w:t xml:space="preserve">k príjmom z výberu pokút od zahraničných prevádzkovateľov; výška tohto vplyvu </w:t>
      </w:r>
      <w:r w:rsidRPr="005D6E5F" w:rsidR="00087864">
        <w:rPr>
          <w:rFonts w:ascii="Times New Roman" w:hAnsi="Times New Roman"/>
          <w:color w:val="000000" w:themeColor="tx1" w:themeShade="FF"/>
          <w:sz w:val="24"/>
          <w:szCs w:val="24"/>
        </w:rPr>
        <w:t xml:space="preserve">však </w:t>
      </w:r>
      <w:r w:rsidRPr="005D6E5F" w:rsidR="00EF62AE">
        <w:rPr>
          <w:rFonts w:ascii="Times New Roman" w:hAnsi="Times New Roman"/>
          <w:color w:val="000000" w:themeColor="tx1" w:themeShade="FF"/>
          <w:sz w:val="24"/>
          <w:szCs w:val="24"/>
        </w:rPr>
        <w:t xml:space="preserve">záleží od vymožiteľnosti cezhraničného sankcionovania, preto pozitívny vplyv nie je možné </w:t>
      </w:r>
      <w:r w:rsidRPr="005D6E5F" w:rsidR="00C722A8">
        <w:rPr>
          <w:rFonts w:ascii="Times New Roman" w:hAnsi="Times New Roman"/>
          <w:color w:val="000000" w:themeColor="tx1" w:themeShade="FF"/>
          <w:sz w:val="24"/>
          <w:szCs w:val="24"/>
        </w:rPr>
        <w:t xml:space="preserve">exaktne </w:t>
      </w:r>
      <w:r w:rsidRPr="005D6E5F" w:rsidR="00EF62AE">
        <w:rPr>
          <w:rFonts w:ascii="Times New Roman" w:hAnsi="Times New Roman"/>
          <w:color w:val="000000" w:themeColor="tx1" w:themeShade="FF"/>
          <w:sz w:val="24"/>
          <w:szCs w:val="24"/>
        </w:rPr>
        <w:t>vyčísliť</w:t>
      </w:r>
      <w:r w:rsidRPr="005D6E5F" w:rsidR="00C722A8">
        <w:rPr>
          <w:rFonts w:ascii="Times New Roman" w:hAnsi="Times New Roman"/>
          <w:color w:val="000000" w:themeColor="tx1" w:themeShade="FF"/>
          <w:sz w:val="24"/>
          <w:szCs w:val="24"/>
        </w:rPr>
        <w:t>, ale do doložky vplyvov je započítaná tá najpesimistickejšia verzia</w:t>
      </w:r>
      <w:r w:rsidRPr="005D6E5F" w:rsidR="007A2B79">
        <w:rPr>
          <w:rFonts w:ascii="Times New Roman" w:hAnsi="Times New Roman"/>
          <w:color w:val="000000" w:themeColor="tx1" w:themeShade="FF"/>
          <w:sz w:val="24"/>
          <w:szCs w:val="24"/>
        </w:rPr>
        <w:t xml:space="preserve"> (viď. kapitola 2.2.4 tejto doložky)</w:t>
      </w:r>
      <w:r w:rsidRPr="005D6E5F" w:rsidR="00EF62AE">
        <w:rPr>
          <w:rFonts w:ascii="Times New Roman" w:hAnsi="Times New Roman"/>
          <w:color w:val="000000" w:themeColor="tx1" w:themeShade="FF"/>
          <w:sz w:val="24"/>
          <w:szCs w:val="24"/>
        </w:rPr>
        <w:t>.</w:t>
      </w:r>
      <w:r w:rsidRPr="005D6E5F" w:rsidR="00041EC4">
        <w:rPr>
          <w:rFonts w:ascii="Times New Roman" w:hAnsi="Times New Roman"/>
          <w:color w:val="000000" w:themeColor="tx1" w:themeShade="FF"/>
          <w:sz w:val="24"/>
          <w:szCs w:val="24"/>
        </w:rPr>
        <w:t xml:space="preserve"> Z týchto príjmov </w:t>
      </w:r>
      <w:r w:rsidRPr="005D6E5F" w:rsidR="00384DD1">
        <w:rPr>
          <w:rFonts w:ascii="Times New Roman" w:hAnsi="Times New Roman"/>
          <w:color w:val="000000" w:themeColor="tx1" w:themeShade="FF"/>
          <w:sz w:val="24"/>
          <w:szCs w:val="24"/>
        </w:rPr>
        <w:t>navrhujeme pokryť</w:t>
      </w:r>
      <w:r w:rsidRPr="005D6E5F" w:rsidR="00041EC4">
        <w:rPr>
          <w:rFonts w:ascii="Times New Roman" w:hAnsi="Times New Roman"/>
          <w:color w:val="000000" w:themeColor="tx1" w:themeShade="FF"/>
          <w:sz w:val="24"/>
          <w:szCs w:val="24"/>
        </w:rPr>
        <w:t xml:space="preserve"> náklady súvisiace s návrhom.</w:t>
      </w:r>
      <w:r w:rsidRPr="005D6E5F" w:rsidR="00C722A8">
        <w:rPr>
          <w:rFonts w:ascii="Times New Roman" w:hAnsi="Times New Roman"/>
          <w:color w:val="000000" w:themeColor="tx1" w:themeShade="FF"/>
          <w:sz w:val="24"/>
          <w:szCs w:val="24"/>
        </w:rPr>
        <w:t xml:space="preserve"> </w:t>
      </w:r>
      <w:r w:rsidRPr="005D6E5F" w:rsidR="00981FC3">
        <w:rPr>
          <w:rFonts w:ascii="Times New Roman" w:hAnsi="Times New Roman"/>
          <w:color w:val="000000" w:themeColor="tx1" w:themeShade="FF"/>
          <w:sz w:val="24"/>
          <w:szCs w:val="24"/>
        </w:rPr>
        <w:t>Vzhľadom na aktuálne štádium prác na návrhu rozpočtu verejnej správy na roky 2022 až 2024, zvýšenie limitu zamestnancov ako aj s tým súvisiacich výdavkov si bude kapitola MV SR uplatňovať v rámci podkladov a rokovaní k návrhu rozpočtu verejnej správy na roky 2022 - 2024.</w:t>
      </w:r>
    </w:p>
    <w:p w:rsidR="00C64362" w:rsidRPr="005D6E5F" w:rsidP="007D5748">
      <w:pPr>
        <w:bidi w:val="0"/>
        <w:spacing w:after="0" w:line="240" w:lineRule="auto"/>
        <w:rPr>
          <w:rFonts w:ascii="Times New Roman" w:hAnsi="Times New Roman"/>
          <w:b/>
          <w:bCs/>
          <w:color w:val="000000" w:themeColor="tx1" w:themeShade="FF"/>
          <w:sz w:val="24"/>
          <w:szCs w:val="24"/>
          <w:lang w:eastAsia="sk-SK"/>
        </w:rPr>
      </w:pPr>
    </w:p>
    <w:p w:rsidR="007D5748" w:rsidRPr="005D6E5F" w:rsidP="007D574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2.2. Popis a charakteristika návrhu</w:t>
      </w:r>
    </w:p>
    <w:p w:rsidR="007D5748" w:rsidRPr="005D6E5F" w:rsidP="007D5748">
      <w:pPr>
        <w:bidi w:val="0"/>
        <w:spacing w:after="0" w:line="240" w:lineRule="auto"/>
        <w:rPr>
          <w:rFonts w:ascii="Times New Roman" w:hAnsi="Times New Roman"/>
          <w:color w:val="000000" w:themeColor="tx1" w:themeShade="FF"/>
          <w:sz w:val="24"/>
          <w:szCs w:val="24"/>
          <w:lang w:eastAsia="sk-SK"/>
        </w:rPr>
      </w:pPr>
    </w:p>
    <w:p w:rsidR="007D5748" w:rsidRPr="005D6E5F" w:rsidP="007D5748">
      <w:pPr>
        <w:bidi w:val="0"/>
        <w:spacing w:after="0" w:line="240" w:lineRule="auto"/>
        <w:jc w:val="both"/>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2.2.1. Popis návrhu:</w:t>
      </w:r>
    </w:p>
    <w:p w:rsidR="007D5748" w:rsidRPr="005D6E5F" w:rsidP="007D5748">
      <w:pPr>
        <w:bidi w:val="0"/>
        <w:spacing w:after="0" w:line="240" w:lineRule="auto"/>
        <w:rPr>
          <w:rFonts w:ascii="Times New Roman" w:hAnsi="Times New Roman"/>
          <w:b/>
          <w:bCs/>
          <w:color w:val="000000" w:themeColor="tx1" w:themeShade="FF"/>
          <w:sz w:val="24"/>
          <w:szCs w:val="24"/>
          <w:lang w:eastAsia="sk-SK"/>
        </w:rPr>
      </w:pPr>
    </w:p>
    <w:p w:rsidR="00886BE1" w:rsidRPr="005D6E5F" w:rsidP="00886BE1">
      <w:pPr>
        <w:bidi w:val="0"/>
        <w:spacing w:after="0" w:line="240" w:lineRule="auto"/>
        <w:ind w:firstLine="708"/>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Účelom návrhu zákona je transpozícia Smernice Európskeho Parlamentu a Rady (EÚ) 2019/520 z 19. marca 2019 o interoperabilite elektronických cestných mýtnych systémov a uľahčení cezhraničnej výmeny informácií o neuhradenom cestnom mýte v Únii (ďalej len „smernica), ktorá je výsledkom celoeurópskeho úsilia predovšetkým o</w:t>
      </w:r>
      <w:r w:rsidRPr="005D6E5F" w:rsidR="00EF62AE">
        <w:rPr>
          <w:rFonts w:ascii="Times New Roman" w:hAnsi="Times New Roman"/>
          <w:color w:val="000000" w:themeColor="tx1" w:themeShade="FF"/>
          <w:sz w:val="24"/>
          <w:szCs w:val="24"/>
        </w:rPr>
        <w:t xml:space="preserve"> uľahčenie interoperability pri výbere cestných poplatkov a </w:t>
      </w:r>
      <w:r w:rsidRPr="005D6E5F">
        <w:rPr>
          <w:rFonts w:ascii="Times New Roman" w:hAnsi="Times New Roman"/>
          <w:color w:val="000000" w:themeColor="tx1" w:themeShade="FF"/>
          <w:sz w:val="24"/>
          <w:szCs w:val="24"/>
        </w:rPr>
        <w:t>náležité vymáhanie neuhradených poplatkov za použitie cestnej infraštruktúry v inom členkom štáte Európskej únie, a to najmä mýta, iných cestných poplatkov (diaľničná známka), poplatkov za použitie mosta, tunela, trajektu a pod. Návrhom zákona dochádza k transpozícii novoprijatej smernice v celej jej komplexnosti, jej premietnutiu do právneho poriadku SR a k zabezpečeniu dvoch základných cieľov smernice:</w:t>
      </w:r>
    </w:p>
    <w:p w:rsidR="00886BE1" w:rsidRPr="005D6E5F" w:rsidP="00886BE1">
      <w:pPr>
        <w:numPr>
          <w:numId w:val="6"/>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harmonizácia cezhraničnej výmeny údajov potrebných pre objasnenie neuhradených cestných poplatkov v inom členskom štáte EÚ,</w:t>
      </w:r>
    </w:p>
    <w:p w:rsidR="00886BE1" w:rsidRPr="005D6E5F" w:rsidP="00886BE1">
      <w:pPr>
        <w:numPr>
          <w:numId w:val="6"/>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za</w:t>
      </w:r>
      <w:r w:rsidRPr="005D6E5F" w:rsidR="00BD6C95">
        <w:rPr>
          <w:rFonts w:ascii="Times New Roman" w:hAnsi="Times New Roman"/>
          <w:color w:val="000000" w:themeColor="tx1" w:themeShade="FF"/>
          <w:sz w:val="24"/>
          <w:szCs w:val="24"/>
        </w:rPr>
        <w:t>bezpečenie</w:t>
      </w:r>
      <w:r w:rsidRPr="005D6E5F">
        <w:rPr>
          <w:rFonts w:ascii="Times New Roman" w:hAnsi="Times New Roman"/>
          <w:color w:val="000000" w:themeColor="tx1" w:themeShade="FF"/>
          <w:sz w:val="24"/>
          <w:szCs w:val="24"/>
        </w:rPr>
        <w:t xml:space="preserve"> interoperability (vzájomného prepojenia) elektronických mýtnych systémov v rámci EÚ.</w:t>
      </w:r>
    </w:p>
    <w:p w:rsidR="00854233" w:rsidRPr="005D6E5F" w:rsidP="004A13F9">
      <w:pPr>
        <w:bidi w:val="0"/>
        <w:spacing w:after="0" w:line="240" w:lineRule="auto"/>
        <w:jc w:val="both"/>
        <w:rPr>
          <w:rFonts w:ascii="Times New Roman" w:hAnsi="Times New Roman"/>
          <w:color w:val="000000" w:themeColor="tx1" w:themeShade="FF"/>
          <w:sz w:val="24"/>
          <w:szCs w:val="24"/>
          <w:lang w:eastAsia="sk-SK"/>
        </w:rPr>
      </w:pPr>
    </w:p>
    <w:p w:rsidR="007D5748" w:rsidRPr="005D6E5F" w:rsidP="007D574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2.2.2. Charakteristika návrhu:</w:t>
      </w:r>
    </w:p>
    <w:p w:rsidR="007D5748" w:rsidRPr="005D6E5F" w:rsidP="007D5748">
      <w:pPr>
        <w:bidi w:val="0"/>
        <w:spacing w:after="0" w:line="240" w:lineRule="auto"/>
        <w:rPr>
          <w:rFonts w:ascii="Times New Roman" w:hAnsi="Times New Roman"/>
          <w:color w:val="000000" w:themeColor="tx1" w:themeShade="FF"/>
          <w:sz w:val="24"/>
          <w:szCs w:val="24"/>
          <w:lang w:eastAsia="sk-SK"/>
        </w:rPr>
      </w:pPr>
    </w:p>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b/>
          <w:color w:val="000000" w:themeColor="tx1" w:themeShade="FF"/>
          <w:sz w:val="24"/>
          <w:szCs w:val="24"/>
          <w:bdr w:val="single" w:sz="4" w:space="0" w:color="auto"/>
          <w:lang w:eastAsia="sk-SK"/>
        </w:rPr>
        <w:t xml:space="preserve">     </w:t>
      </w:r>
      <w:r w:rsidRPr="005D6E5F">
        <w:rPr>
          <w:rFonts w:ascii="Times New Roman" w:hAnsi="Times New Roman"/>
          <w:b/>
          <w:color w:val="000000" w:themeColor="tx1" w:themeShade="FF"/>
          <w:sz w:val="24"/>
          <w:szCs w:val="24"/>
          <w:lang w:eastAsia="sk-SK"/>
        </w:rPr>
        <w:t xml:space="preserve">  </w:t>
      </w:r>
      <w:r w:rsidRPr="005D6E5F">
        <w:rPr>
          <w:rFonts w:ascii="Times New Roman" w:hAnsi="Times New Roman"/>
          <w:color w:val="000000" w:themeColor="tx1" w:themeShade="FF"/>
          <w:sz w:val="24"/>
          <w:szCs w:val="24"/>
          <w:lang w:eastAsia="sk-SK"/>
        </w:rPr>
        <w:t>zmena sadzby</w:t>
      </w:r>
    </w:p>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bdr w:val="single" w:sz="4" w:space="0" w:color="auto"/>
          <w:lang w:eastAsia="sk-SK"/>
        </w:rPr>
        <w:t xml:space="preserve">     </w:t>
      </w:r>
      <w:r w:rsidRPr="005D6E5F">
        <w:rPr>
          <w:rFonts w:ascii="Times New Roman" w:hAnsi="Times New Roman"/>
          <w:color w:val="000000" w:themeColor="tx1" w:themeShade="FF"/>
          <w:sz w:val="24"/>
          <w:szCs w:val="24"/>
          <w:lang w:eastAsia="sk-SK"/>
        </w:rPr>
        <w:t xml:space="preserve">  zmena v nároku</w:t>
      </w:r>
    </w:p>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bdr w:val="single" w:sz="4" w:space="0" w:color="auto"/>
          <w:lang w:eastAsia="sk-SK"/>
        </w:rPr>
        <w:t xml:space="preserve">     </w:t>
      </w:r>
      <w:r w:rsidRPr="005D6E5F">
        <w:rPr>
          <w:rFonts w:ascii="Times New Roman" w:hAnsi="Times New Roman"/>
          <w:color w:val="000000" w:themeColor="tx1" w:themeShade="FF"/>
          <w:sz w:val="24"/>
          <w:szCs w:val="24"/>
          <w:lang w:eastAsia="sk-SK"/>
        </w:rPr>
        <w:t xml:space="preserve">  nová služba alebo nariadenie (alebo ich zrušenie)</w:t>
      </w:r>
    </w:p>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bdr w:val="single" w:sz="4" w:space="0" w:color="auto"/>
          <w:lang w:eastAsia="sk-SK"/>
        </w:rPr>
        <w:t xml:space="preserve">     </w:t>
      </w:r>
      <w:r w:rsidRPr="005D6E5F">
        <w:rPr>
          <w:rFonts w:ascii="Times New Roman" w:hAnsi="Times New Roman"/>
          <w:color w:val="000000" w:themeColor="tx1" w:themeShade="FF"/>
          <w:sz w:val="24"/>
          <w:szCs w:val="24"/>
          <w:lang w:eastAsia="sk-SK"/>
        </w:rPr>
        <w:t xml:space="preserve">  kombinovaný návrh</w:t>
      </w:r>
    </w:p>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sidR="00854233">
        <w:rPr>
          <w:rFonts w:ascii="Times New Roman" w:hAnsi="Times New Roman"/>
          <w:color w:val="000000" w:themeColor="tx1" w:themeShade="FF"/>
          <w:sz w:val="24"/>
          <w:szCs w:val="24"/>
          <w:bdr w:val="single" w:sz="4" w:space="0" w:color="auto"/>
          <w:lang w:eastAsia="sk-SK"/>
        </w:rPr>
        <w:t xml:space="preserve">  x</w:t>
      </w:r>
      <w:r w:rsidRPr="005D6E5F">
        <w:rPr>
          <w:rFonts w:ascii="Times New Roman" w:hAnsi="Times New Roman"/>
          <w:color w:val="000000" w:themeColor="tx1" w:themeShade="FF"/>
          <w:sz w:val="24"/>
          <w:szCs w:val="24"/>
          <w:bdr w:val="single" w:sz="4" w:space="0" w:color="auto"/>
          <w:lang w:eastAsia="sk-SK"/>
        </w:rPr>
        <w:t xml:space="preserve"> </w:t>
      </w:r>
      <w:r w:rsidRPr="005D6E5F">
        <w:rPr>
          <w:rFonts w:ascii="Times New Roman" w:hAnsi="Times New Roman"/>
          <w:color w:val="000000" w:themeColor="tx1" w:themeShade="FF"/>
          <w:sz w:val="24"/>
          <w:szCs w:val="24"/>
          <w:lang w:eastAsia="sk-SK"/>
        </w:rPr>
        <w:t xml:space="preserve">  iné </w:t>
      </w:r>
    </w:p>
    <w:p w:rsidR="007D5748" w:rsidRPr="005D6E5F" w:rsidP="007D5748">
      <w:pPr>
        <w:bidi w:val="0"/>
        <w:spacing w:after="0" w:line="240" w:lineRule="auto"/>
        <w:rPr>
          <w:rFonts w:ascii="Times New Roman" w:hAnsi="Times New Roman"/>
          <w:color w:val="000000" w:themeColor="tx1" w:themeShade="FF"/>
          <w:sz w:val="24"/>
          <w:szCs w:val="24"/>
          <w:lang w:eastAsia="sk-SK"/>
        </w:rPr>
      </w:pPr>
    </w:p>
    <w:p w:rsidR="007D5748" w:rsidRPr="005D6E5F" w:rsidP="007D5748">
      <w:pPr>
        <w:bidi w:val="0"/>
        <w:spacing w:after="0" w:line="240" w:lineRule="auto"/>
        <w:rPr>
          <w:rFonts w:ascii="Times New Roman" w:hAnsi="Times New Roman"/>
          <w:color w:val="000000" w:themeColor="tx1" w:themeShade="FF"/>
          <w:sz w:val="24"/>
          <w:szCs w:val="24"/>
          <w:lang w:eastAsia="sk-SK"/>
        </w:rPr>
      </w:pPr>
    </w:p>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2.2.3. Predpoklady vývoja objemu aktivít:</w:t>
      </w:r>
    </w:p>
    <w:p w:rsidR="007D5748" w:rsidRPr="005D6E5F" w:rsidP="007D5748">
      <w:pPr>
        <w:bidi w:val="0"/>
        <w:spacing w:after="0" w:line="240" w:lineRule="auto"/>
        <w:rPr>
          <w:rFonts w:ascii="Times New Roman" w:hAnsi="Times New Roman"/>
          <w:color w:val="000000" w:themeColor="tx1" w:themeShade="FF"/>
          <w:sz w:val="24"/>
          <w:szCs w:val="24"/>
          <w:lang w:eastAsia="sk-SK"/>
        </w:rPr>
      </w:pPr>
    </w:p>
    <w:p w:rsidR="007D5748" w:rsidRPr="005D6E5F" w:rsidP="007D5748">
      <w:pPr>
        <w:bidi w:val="0"/>
        <w:spacing w:after="0" w:line="240" w:lineRule="auto"/>
        <w:ind w:firstLine="708"/>
        <w:jc w:val="both"/>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Jasne popíšte, v prípade potreby použite nižšie uvedenú tabuľku. Uveďte aj odhady základov daní a/alebo poplatkov, ak sa ich táto zmena týka.</w:t>
      </w:r>
    </w:p>
    <w:p w:rsidR="007D5748" w:rsidRPr="005D6E5F" w:rsidP="007D5748">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5D6E5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r>
    </w:tbl>
    <w:p w:rsidR="00460328" w:rsidRPr="005D6E5F" w:rsidP="007D5748">
      <w:pPr>
        <w:bidi w:val="0"/>
        <w:spacing w:after="0" w:line="240" w:lineRule="auto"/>
        <w:rPr>
          <w:rFonts w:ascii="Times New Roman" w:hAnsi="Times New Roman"/>
          <w:b/>
          <w:bCs/>
          <w:color w:val="000000" w:themeColor="tx1" w:themeShade="FF"/>
          <w:sz w:val="24"/>
          <w:szCs w:val="24"/>
          <w:lang w:eastAsia="sk-SK"/>
        </w:rPr>
      </w:pPr>
    </w:p>
    <w:p w:rsidR="007D5748" w:rsidRPr="005D6E5F" w:rsidP="007D574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2.2.4. Výpočty vplyvov na verejné financie</w:t>
      </w:r>
    </w:p>
    <w:p w:rsidR="007D5748" w:rsidRPr="005D6E5F" w:rsidP="007D5748">
      <w:pPr>
        <w:bidi w:val="0"/>
        <w:spacing w:after="0" w:line="240" w:lineRule="auto"/>
        <w:rPr>
          <w:rFonts w:ascii="Times New Roman" w:hAnsi="Times New Roman"/>
          <w:color w:val="000000" w:themeColor="tx1" w:themeShade="FF"/>
          <w:sz w:val="24"/>
          <w:szCs w:val="24"/>
          <w:lang w:eastAsia="sk-SK"/>
        </w:rPr>
      </w:pPr>
    </w:p>
    <w:p w:rsidR="00384DD1" w:rsidRPr="005D6E5F" w:rsidP="00384DD1">
      <w:pPr>
        <w:pStyle w:val="BodyText"/>
        <w:bidi w:val="0"/>
        <w:ind w:firstLine="709"/>
        <w:rPr>
          <w:rFonts w:ascii="Times New Roman" w:hAnsi="Times New Roman"/>
          <w:color w:val="000000" w:themeColor="tx1" w:themeShade="FF"/>
          <w:szCs w:val="24"/>
          <w:lang w:eastAsia="sk-SK"/>
        </w:rPr>
      </w:pPr>
      <w:r w:rsidRPr="005D6E5F">
        <w:rPr>
          <w:rFonts w:ascii="Times New Roman" w:hAnsi="Times New Roman"/>
          <w:color w:val="000000" w:themeColor="tx1" w:themeShade="FF"/>
          <w:szCs w:val="24"/>
          <w:lang w:eastAsia="sk-SK"/>
        </w:rPr>
        <w:t xml:space="preserve">Predkladaný návrh zákona predpokladá negatívny vplyv na rozpočet verejnej správy </w:t>
        <w:br/>
        <w:t xml:space="preserve">v rokoch 2021 až 2024, a to z dôvodu nákladov na úpravu informačných systémov v gescii MDV SR a MV SR, najmä Jednotného informačného systému v cestnej doprave – Modulu správnych deliktov v gescii MDV SR, v rámci ktorých sú zarátané aj náklady na zabezpečenie úradných rozhodnutí v úradných jazykoch členských štátov EÚ, Európskeho informačného systému vozidiel a vodičských preukazov (EUCARIS) – implementácie Modulu Toll a vyvolaných zmien v informačných systémoch v gescii MV SR, nákladov na zabezpečenie úradných rozhodnutí v úradných jazykoch členských štátov EÚ a na posilnenie administratívnych kapacít a materiálovo-technického vybavenia Centra logistického zabezpečenia administratívnych činností (CLZAČ) MV SR. Náklady MDV SR </w:t>
      </w:r>
      <w:r w:rsidRPr="005D6E5F" w:rsidR="00621E7A">
        <w:rPr>
          <w:rFonts w:ascii="Times New Roman" w:hAnsi="Times New Roman"/>
          <w:color w:val="000000" w:themeColor="tx1" w:themeShade="FF"/>
          <w:szCs w:val="24"/>
          <w:lang w:eastAsia="sk-SK"/>
        </w:rPr>
        <w:t>predstavujú</w:t>
      </w:r>
      <w:r w:rsidRPr="005D6E5F">
        <w:rPr>
          <w:rFonts w:ascii="Times New Roman" w:hAnsi="Times New Roman"/>
          <w:color w:val="000000" w:themeColor="tx1" w:themeShade="FF"/>
          <w:szCs w:val="24"/>
          <w:lang w:eastAsia="sk-SK"/>
        </w:rPr>
        <w:t xml:space="preserve"> expertný odhad hornej hranice výdavkov MDV SR, ktorý bude pred realizáciou úpravy in</w:t>
      </w:r>
      <w:r w:rsidRPr="005D6E5F" w:rsidR="00DE2A49">
        <w:rPr>
          <w:rFonts w:ascii="Times New Roman" w:hAnsi="Times New Roman"/>
          <w:color w:val="000000" w:themeColor="tx1" w:themeShade="FF"/>
          <w:szCs w:val="24"/>
          <w:lang w:eastAsia="sk-SK"/>
        </w:rPr>
        <w:t xml:space="preserve">formačného systému spresnený  a </w:t>
      </w:r>
      <w:r w:rsidRPr="005D6E5F">
        <w:rPr>
          <w:rFonts w:ascii="Times New Roman" w:hAnsi="Times New Roman"/>
          <w:color w:val="000000" w:themeColor="tx1" w:themeShade="FF"/>
          <w:szCs w:val="24"/>
          <w:lang w:eastAsia="sk-SK"/>
        </w:rPr>
        <w:t>doplnený o detaily rozpočtu.</w:t>
      </w:r>
    </w:p>
    <w:p w:rsidR="00384DD1" w:rsidRPr="005D6E5F" w:rsidP="00384DD1">
      <w:pPr>
        <w:pStyle w:val="BodyText"/>
        <w:bidi w:val="0"/>
        <w:ind w:firstLine="709"/>
        <w:rPr>
          <w:rFonts w:ascii="Times New Roman" w:hAnsi="Times New Roman"/>
          <w:color w:val="000000" w:themeColor="tx1" w:themeShade="FF"/>
          <w:szCs w:val="24"/>
          <w:lang w:eastAsia="sk-SK"/>
        </w:rPr>
      </w:pPr>
      <w:r w:rsidRPr="005D6E5F" w:rsidR="00621E7A">
        <w:rPr>
          <w:rFonts w:ascii="Times New Roman" w:hAnsi="Times New Roman"/>
          <w:color w:val="000000" w:themeColor="tx1" w:themeShade="FF"/>
          <w:szCs w:val="24"/>
          <w:lang w:eastAsia="sk-SK"/>
        </w:rPr>
        <w:t>V prípade MV SR sa navrhuje zvýšenie  l</w:t>
      </w:r>
      <w:r w:rsidRPr="005D6E5F">
        <w:rPr>
          <w:rFonts w:ascii="Times New Roman" w:hAnsi="Times New Roman"/>
          <w:color w:val="000000" w:themeColor="tx1" w:themeShade="FF"/>
          <w:szCs w:val="24"/>
          <w:lang w:eastAsia="sk-SK"/>
        </w:rPr>
        <w:t xml:space="preserve">imitu počtu </w:t>
      </w:r>
      <w:r w:rsidRPr="005D6E5F" w:rsidR="00DE2A49">
        <w:rPr>
          <w:rFonts w:ascii="Times New Roman" w:hAnsi="Times New Roman"/>
          <w:color w:val="000000" w:themeColor="tx1" w:themeShade="FF"/>
          <w:szCs w:val="24"/>
          <w:lang w:eastAsia="sk-SK"/>
        </w:rPr>
        <w:t>zamestnancov, osobných výdavkov</w:t>
      </w:r>
      <w:r w:rsidRPr="005D6E5F" w:rsidR="00621E7A">
        <w:rPr>
          <w:rFonts w:ascii="Times New Roman" w:hAnsi="Times New Roman"/>
          <w:color w:val="000000" w:themeColor="tx1" w:themeShade="FF"/>
          <w:szCs w:val="24"/>
          <w:lang w:eastAsia="sk-SK"/>
        </w:rPr>
        <w:t xml:space="preserve"> </w:t>
      </w:r>
      <w:r w:rsidRPr="005D6E5F">
        <w:rPr>
          <w:rFonts w:ascii="Times New Roman" w:hAnsi="Times New Roman"/>
          <w:color w:val="000000" w:themeColor="tx1" w:themeShade="FF"/>
          <w:szCs w:val="24"/>
          <w:lang w:eastAsia="sk-SK"/>
        </w:rPr>
        <w:t>a nákladov na materi</w:t>
      </w:r>
      <w:r w:rsidRPr="005D6E5F" w:rsidR="00621E7A">
        <w:rPr>
          <w:rFonts w:ascii="Times New Roman" w:hAnsi="Times New Roman"/>
          <w:color w:val="000000" w:themeColor="tx1" w:themeShade="FF"/>
          <w:szCs w:val="24"/>
          <w:lang w:eastAsia="sk-SK"/>
        </w:rPr>
        <w:t>álovo-technické vybavenie CLZAČ</w:t>
      </w:r>
      <w:r w:rsidRPr="005D6E5F" w:rsidR="004C779A">
        <w:rPr>
          <w:rFonts w:ascii="Times New Roman" w:hAnsi="Times New Roman"/>
          <w:color w:val="000000" w:themeColor="tx1" w:themeShade="FF"/>
          <w:szCs w:val="24"/>
          <w:lang w:eastAsia="sk-SK"/>
        </w:rPr>
        <w:t xml:space="preserve"> </w:t>
      </w:r>
      <w:r w:rsidRPr="005D6E5F" w:rsidR="009478BA">
        <w:rPr>
          <w:rFonts w:ascii="Times New Roman" w:hAnsi="Times New Roman"/>
          <w:color w:val="000000" w:themeColor="tx1" w:themeShade="FF"/>
          <w:szCs w:val="24"/>
          <w:lang w:eastAsia="sk-SK"/>
        </w:rPr>
        <w:t xml:space="preserve"> MV SR</w:t>
      </w:r>
      <w:r w:rsidRPr="005D6E5F">
        <w:rPr>
          <w:rFonts w:ascii="Times New Roman" w:hAnsi="Times New Roman"/>
          <w:color w:val="000000" w:themeColor="tx1" w:themeShade="FF"/>
          <w:szCs w:val="24"/>
          <w:lang w:eastAsia="sk-SK"/>
        </w:rPr>
        <w:t>.</w:t>
      </w:r>
    </w:p>
    <w:p w:rsidR="004C779A" w:rsidRPr="005D6E5F" w:rsidP="00384DD1">
      <w:pPr>
        <w:pStyle w:val="BodyText"/>
        <w:bidi w:val="0"/>
        <w:ind w:firstLine="709"/>
        <w:rPr>
          <w:rFonts w:ascii="Times New Roman" w:hAnsi="Times New Roman"/>
          <w:color w:val="000000" w:themeColor="tx1" w:themeShade="FF"/>
          <w:szCs w:val="24"/>
          <w:lang w:eastAsia="sk-SK"/>
        </w:rPr>
      </w:pPr>
    </w:p>
    <w:p w:rsidR="007D5748" w:rsidRPr="005D6E5F" w:rsidP="00EE46EC">
      <w:pPr>
        <w:bidi w:val="0"/>
        <w:spacing w:after="0" w:line="240" w:lineRule="auto"/>
        <w:ind w:firstLine="708"/>
        <w:jc w:val="both"/>
        <w:rPr>
          <w:rFonts w:ascii="Times New Roman" w:hAnsi="Times New Roman"/>
          <w:color w:val="000000" w:themeColor="tx1" w:themeShade="FF"/>
          <w:sz w:val="24"/>
          <w:szCs w:val="24"/>
          <w:lang w:eastAsia="sk-SK"/>
        </w:rPr>
      </w:pPr>
      <w:r w:rsidRPr="005D6E5F" w:rsidR="00384DD1">
        <w:rPr>
          <w:rFonts w:ascii="Times New Roman" w:hAnsi="Times New Roman"/>
          <w:color w:val="000000" w:themeColor="tx1" w:themeShade="FF"/>
          <w:sz w:val="24"/>
          <w:szCs w:val="24"/>
          <w:lang w:eastAsia="sk-SK"/>
        </w:rPr>
        <w:t xml:space="preserve">Zároveň sa predpokladá tiež pozitívny vplyv na rozpočet verejnej správy vo vzťahu </w:t>
      </w:r>
      <w:r w:rsidRPr="005D6E5F" w:rsidR="00621E7A">
        <w:rPr>
          <w:rFonts w:ascii="Times New Roman" w:hAnsi="Times New Roman"/>
          <w:color w:val="000000" w:themeColor="tx1" w:themeShade="FF"/>
          <w:sz w:val="24"/>
          <w:szCs w:val="24"/>
          <w:lang w:eastAsia="sk-SK"/>
        </w:rPr>
        <w:br/>
      </w:r>
      <w:r w:rsidRPr="005D6E5F" w:rsidR="00384DD1">
        <w:rPr>
          <w:rFonts w:ascii="Times New Roman" w:hAnsi="Times New Roman"/>
          <w:color w:val="000000" w:themeColor="tx1" w:themeShade="FF"/>
          <w:sz w:val="24"/>
          <w:szCs w:val="24"/>
          <w:lang w:eastAsia="sk-SK"/>
        </w:rPr>
        <w:t>k príjmom z výberu pokút od zahraničných prevádzkovateľov; výška tohto vplyvu však záleží od vymožiteľnosti cezhraničného sankcionovania, preto pozitívny vplyv. Z týchto príjmov navrhujeme pokryť náklady súvisiace s návrhom.</w:t>
      </w:r>
    </w:p>
    <w:p w:rsidR="004C779A" w:rsidRPr="005D6E5F" w:rsidP="00EE46EC">
      <w:pPr>
        <w:bidi w:val="0"/>
        <w:spacing w:after="0" w:line="240" w:lineRule="auto"/>
        <w:ind w:firstLine="360"/>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Uvažujeme, že z cca 1 160 tisíc podnetov zahraničných prevádzkovateľov (podklad z kontrolného systému NDS) sa spracuje cca 1/5, t. j. cca 230 tisíc podnetov za rok, t. j. pri 25 pracovníkoch na jedného 9 280 podnetov za rok, čo je ešte viac ako pripadá na jedného pracovníka v súčasnosti (cca 7 370 podnetov za rok). Ak z uvedenej 1/5, t. j. cca 230 tisíc rozkazov s pokutou bude uhradená:</w:t>
      </w:r>
    </w:p>
    <w:p w:rsidR="00EE46EC" w:rsidRPr="005D6E5F" w:rsidP="00EE46EC">
      <w:pPr>
        <w:bidi w:val="0"/>
        <w:spacing w:after="0" w:line="240" w:lineRule="auto"/>
        <w:ind w:firstLine="360"/>
        <w:jc w:val="both"/>
        <w:rPr>
          <w:rFonts w:ascii="Times New Roman" w:hAnsi="Times New Roman"/>
          <w:color w:val="000000" w:themeColor="tx1" w:themeShade="FF"/>
          <w:sz w:val="24"/>
          <w:szCs w:val="24"/>
        </w:rPr>
      </w:pPr>
    </w:p>
    <w:p w:rsidR="004C779A" w:rsidRPr="005D6E5F" w:rsidP="00EE46EC">
      <w:pPr>
        <w:pStyle w:val="ListParagraph"/>
        <w:numPr>
          <w:numId w:val="7"/>
        </w:numPr>
        <w:bidi w:val="0"/>
        <w:spacing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1/5, t. j. cca 46 tisíc pokút, s tým, že všetci využijú možnosť úhrady pokuty vo výške 2/3 (100 zo 150 eur) do 15 dní od doručenia rozkazu, tak to predstavuje pre štátny rozpočet príjem vo výške  cca 4,6 mil. eur;</w:t>
      </w:r>
    </w:p>
    <w:p w:rsidR="004C779A" w:rsidRPr="005D6E5F" w:rsidP="00EE46EC">
      <w:pPr>
        <w:pStyle w:val="ListParagraph"/>
        <w:numPr>
          <w:numId w:val="7"/>
        </w:numPr>
        <w:bidi w:val="0"/>
        <w:spacing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1/3, t. j. cca 77 tisíc pokút, s tým, že všetci využijú možnosť úhrady pokuty vo výške 2/3 (100 zo 150 eur) do 15 dní od doručenia rozkazu, tak to predstavuje pre štátny rozpočet príjem vo výške  cca 7,7 mil. eur;</w:t>
      </w:r>
    </w:p>
    <w:p w:rsidR="004C779A" w:rsidRPr="005D6E5F" w:rsidP="00EE46EC">
      <w:pPr>
        <w:pStyle w:val="ListParagraph"/>
        <w:numPr>
          <w:numId w:val="7"/>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1/2, t. j. cca 115 tisíc pokút, s tým, že všetci využijú možnosť úhrady pokuty vo výške 2/3 (100 zo 150 eur) do 15 dní od doručenia rozkazu, tak to predstavuje pre štátny rozpočet prí</w:t>
      </w:r>
      <w:r w:rsidRPr="005D6E5F" w:rsidR="00EE46EC">
        <w:rPr>
          <w:rFonts w:ascii="Times New Roman" w:hAnsi="Times New Roman"/>
          <w:color w:val="000000" w:themeColor="tx1" w:themeShade="FF"/>
          <w:sz w:val="24"/>
          <w:szCs w:val="24"/>
        </w:rPr>
        <w:t>jem vo výške  cca 11,5 mil. eur.</w:t>
      </w:r>
    </w:p>
    <w:p w:rsidR="00EE46EC" w:rsidRPr="005D6E5F" w:rsidP="00EE46EC">
      <w:pPr>
        <w:pStyle w:val="ListParagraph"/>
        <w:bidi w:val="0"/>
        <w:spacing w:after="0" w:line="240" w:lineRule="auto"/>
        <w:jc w:val="both"/>
        <w:rPr>
          <w:rFonts w:ascii="Times New Roman" w:hAnsi="Times New Roman"/>
          <w:color w:val="000000" w:themeColor="tx1" w:themeShade="FF"/>
          <w:sz w:val="24"/>
          <w:szCs w:val="24"/>
        </w:rPr>
      </w:pPr>
    </w:p>
    <w:p w:rsidR="00C722A8" w:rsidRPr="005D6E5F" w:rsidP="00EE46EC">
      <w:pPr>
        <w:bidi w:val="0"/>
        <w:spacing w:after="0" w:line="240" w:lineRule="auto"/>
        <w:ind w:firstLine="360"/>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Výška pozitívneho vplyvu (príjmu z pokút) záleží od úspešnosti doručovania, od toho, koľko sankcionovaných využije možnosť uhradiť pokutu vo výške 2/3 do 15 dní od doručenia rozkazu a následnej vymožiteľnosti cezhraničného sankcionovania pri neuhradených pokutách, preto výšku pozitívneho vplyvu nie je možné exaktnejšie vyčísliť. Z týchto príjmov navrhujeme pokryť náklady súvisiace s návrhom.</w:t>
      </w:r>
    </w:p>
    <w:p w:rsidR="00EE46EC" w:rsidRPr="005D6E5F" w:rsidP="00EE46EC">
      <w:pPr>
        <w:bidi w:val="0"/>
        <w:spacing w:after="0" w:line="240" w:lineRule="auto"/>
        <w:ind w:firstLine="360"/>
        <w:jc w:val="both"/>
        <w:rPr>
          <w:rFonts w:ascii="Times New Roman" w:hAnsi="Times New Roman"/>
          <w:color w:val="000000" w:themeColor="tx1" w:themeShade="FF"/>
          <w:sz w:val="24"/>
          <w:szCs w:val="24"/>
        </w:rPr>
      </w:pPr>
    </w:p>
    <w:p w:rsidR="00C722A8" w:rsidRPr="005D6E5F" w:rsidP="00EE46EC">
      <w:pPr>
        <w:bidi w:val="0"/>
        <w:spacing w:line="240" w:lineRule="auto"/>
        <w:ind w:firstLine="360"/>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So spustením sankcionovania zahraničných prevádzkovateľov v režime objektívnej zodpovednosti možno zároveň očakávať zvýšenie plnenia si povinnosti úhrady diaľničnej známky a tým zvýšenia príjmov NDS z úhrady diaľničnej známky.</w:t>
      </w:r>
    </w:p>
    <w:p w:rsidR="004C779A" w:rsidRPr="005D6E5F" w:rsidP="00C722A8">
      <w:pPr>
        <w:bidi w:val="0"/>
        <w:jc w:val="both"/>
        <w:rPr>
          <w:rFonts w:ascii="Times New Roman" w:hAnsi="Times New Roman"/>
          <w:color w:val="000000" w:themeColor="tx1" w:themeShade="FF"/>
          <w:sz w:val="24"/>
          <w:szCs w:val="24"/>
        </w:rPr>
      </w:pPr>
    </w:p>
    <w:p w:rsidR="007D5748" w:rsidRPr="005D6E5F" w:rsidP="00C722A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5D6E5F" w:rsidP="00C722A8">
      <w:pPr>
        <w:bidi w:val="0"/>
        <w:ind w:left="360"/>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sectPr w:rsidSect="00BF7801">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lnNumType w:distance="0"/>
          <w:pgNumType w:start="1"/>
          <w:cols w:space="708"/>
          <w:noEndnote w:val="0"/>
          <w:bidi w:val="0"/>
          <w:docGrid w:linePitch="360"/>
        </w:sectPr>
      </w:pPr>
    </w:p>
    <w:p w:rsidR="007D5748" w:rsidRPr="005D6E5F" w:rsidP="007D5748">
      <w:pPr>
        <w:tabs>
          <w:tab w:val="num" w:pos="1080"/>
        </w:tabs>
        <w:bidi w:val="0"/>
        <w:spacing w:after="0" w:line="240" w:lineRule="auto"/>
        <w:jc w:val="right"/>
        <w:rPr>
          <w:rFonts w:ascii="Times New Roman" w:hAnsi="Times New Roman"/>
          <w:bCs/>
          <w:color w:val="000000" w:themeColor="tx1" w:themeShade="FF"/>
          <w:sz w:val="24"/>
          <w:szCs w:val="24"/>
          <w:lang w:eastAsia="sk-SK"/>
        </w:rPr>
      </w:pPr>
      <w:r w:rsidRPr="005D6E5F">
        <w:rPr>
          <w:rFonts w:ascii="Times New Roman" w:hAnsi="Times New Roman"/>
          <w:bCs/>
          <w:color w:val="000000" w:themeColor="tx1" w:themeShade="FF"/>
          <w:sz w:val="24"/>
          <w:szCs w:val="24"/>
          <w:lang w:eastAsia="sk-SK"/>
        </w:rPr>
        <w:t>Tabuľka č. 3</w:t>
      </w:r>
      <w:r w:rsidRPr="005D6E5F" w:rsidR="004637F1">
        <w:rPr>
          <w:rFonts w:ascii="Times New Roman" w:hAnsi="Times New Roman"/>
          <w:bCs/>
          <w:color w:val="000000" w:themeColor="tx1" w:themeShade="FF"/>
          <w:sz w:val="24"/>
          <w:szCs w:val="24"/>
          <w:lang w:eastAsia="sk-SK"/>
        </w:rPr>
        <w:t>- MV SR</w:t>
      </w: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5D6E5F" w:rsidP="007D5748">
            <w:pPr>
              <w:bidi w:val="0"/>
              <w:spacing w:after="0" w:line="240" w:lineRule="auto"/>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5D6E5F" w:rsidP="0085334B">
            <w:pPr>
              <w:bidi w:val="0"/>
              <w:spacing w:after="0" w:line="240" w:lineRule="auto"/>
              <w:jc w:val="center"/>
              <w:rPr>
                <w:rFonts w:ascii="Times New Roman" w:hAnsi="Times New Roman"/>
                <w:b/>
                <w:bCs/>
                <w:color w:val="000000" w:themeColor="tx1" w:themeShade="FF"/>
                <w:sz w:val="24"/>
                <w:szCs w:val="24"/>
                <w:lang w:eastAsia="sk-SK"/>
              </w:rPr>
            </w:pPr>
            <w:r w:rsidRPr="005D6E5F" w:rsidR="002A2E2B">
              <w:rPr>
                <w:rFonts w:ascii="Times New Roman" w:hAnsi="Times New Roman"/>
                <w:b/>
                <w:bCs/>
                <w:color w:val="000000" w:themeColor="tx1" w:themeShade="FF"/>
                <w:sz w:val="24"/>
                <w:szCs w:val="24"/>
                <w:lang w:eastAsia="sk-SK"/>
              </w:rPr>
              <w:t>20</w:t>
            </w:r>
            <w:r w:rsidRPr="005D6E5F" w:rsidR="00EF62AE">
              <w:rPr>
                <w:rFonts w:ascii="Times New Roman" w:hAnsi="Times New Roman"/>
                <w:b/>
                <w:bCs/>
                <w:color w:val="000000" w:themeColor="tx1" w:themeShade="FF"/>
                <w:sz w:val="24"/>
                <w:szCs w:val="24"/>
                <w:lang w:eastAsia="sk-SK"/>
              </w:rPr>
              <w:t>21</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5D6E5F" w:rsidP="0085334B">
            <w:pPr>
              <w:bidi w:val="0"/>
              <w:spacing w:after="0" w:line="240" w:lineRule="auto"/>
              <w:jc w:val="center"/>
              <w:rPr>
                <w:rFonts w:ascii="Times New Roman" w:hAnsi="Times New Roman"/>
                <w:b/>
                <w:bCs/>
                <w:color w:val="000000" w:themeColor="tx1" w:themeShade="FF"/>
                <w:sz w:val="24"/>
                <w:szCs w:val="24"/>
                <w:lang w:eastAsia="sk-SK"/>
              </w:rPr>
            </w:pPr>
            <w:r w:rsidRPr="005D6E5F" w:rsidR="00CE0EDC">
              <w:rPr>
                <w:rFonts w:ascii="Times New Roman" w:hAnsi="Times New Roman"/>
                <w:b/>
                <w:bCs/>
                <w:color w:val="000000" w:themeColor="tx1" w:themeShade="FF"/>
                <w:sz w:val="24"/>
                <w:szCs w:val="24"/>
                <w:lang w:eastAsia="sk-SK"/>
              </w:rPr>
              <w:t>202</w:t>
            </w:r>
            <w:r w:rsidRPr="005D6E5F" w:rsidR="00EF62AE">
              <w:rPr>
                <w:rFonts w:ascii="Times New Roman" w:hAnsi="Times New Roman"/>
                <w:b/>
                <w:bCs/>
                <w:color w:val="000000" w:themeColor="tx1" w:themeShade="FF"/>
                <w:sz w:val="24"/>
                <w:szCs w:val="24"/>
                <w:lang w:eastAsia="sk-SK"/>
              </w:rPr>
              <w:t>2</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5D6E5F" w:rsidP="0085334B">
            <w:pPr>
              <w:bidi w:val="0"/>
              <w:spacing w:after="0" w:line="240" w:lineRule="auto"/>
              <w:jc w:val="center"/>
              <w:rPr>
                <w:rFonts w:ascii="Times New Roman" w:hAnsi="Times New Roman"/>
                <w:b/>
                <w:bCs/>
                <w:color w:val="000000" w:themeColor="tx1" w:themeShade="FF"/>
                <w:sz w:val="24"/>
                <w:szCs w:val="24"/>
                <w:lang w:eastAsia="sk-SK"/>
              </w:rPr>
            </w:pPr>
            <w:r w:rsidRPr="005D6E5F" w:rsidR="00CE0EDC">
              <w:rPr>
                <w:rFonts w:ascii="Times New Roman" w:hAnsi="Times New Roman"/>
                <w:b/>
                <w:bCs/>
                <w:color w:val="000000" w:themeColor="tx1" w:themeShade="FF"/>
                <w:sz w:val="24"/>
                <w:szCs w:val="24"/>
                <w:lang w:eastAsia="sk-SK"/>
              </w:rPr>
              <w:t>202</w:t>
            </w:r>
            <w:r w:rsidRPr="005D6E5F" w:rsidR="00EF62AE">
              <w:rPr>
                <w:rFonts w:ascii="Times New Roman" w:hAnsi="Times New Roman"/>
                <w:b/>
                <w:bCs/>
                <w:color w:val="000000" w:themeColor="tx1" w:themeShade="FF"/>
                <w:sz w:val="24"/>
                <w:szCs w:val="24"/>
                <w:lang w:eastAsia="sk-SK"/>
              </w:rPr>
              <w:t>3</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5D6E5F" w:rsidP="0085334B">
            <w:pPr>
              <w:bidi w:val="0"/>
              <w:spacing w:after="0" w:line="240" w:lineRule="auto"/>
              <w:jc w:val="center"/>
              <w:rPr>
                <w:rFonts w:ascii="Times New Roman" w:hAnsi="Times New Roman"/>
                <w:b/>
                <w:bCs/>
                <w:color w:val="000000" w:themeColor="tx1" w:themeShade="FF"/>
                <w:sz w:val="24"/>
                <w:szCs w:val="24"/>
                <w:lang w:eastAsia="sk-SK"/>
              </w:rPr>
            </w:pPr>
            <w:r w:rsidRPr="005D6E5F" w:rsidR="002A2E2B">
              <w:rPr>
                <w:rFonts w:ascii="Times New Roman" w:hAnsi="Times New Roman"/>
                <w:b/>
                <w:bCs/>
                <w:color w:val="000000" w:themeColor="tx1" w:themeShade="FF"/>
                <w:sz w:val="24"/>
                <w:szCs w:val="24"/>
                <w:lang w:eastAsia="sk-SK"/>
              </w:rPr>
              <w:t>20</w:t>
            </w:r>
            <w:r w:rsidRPr="005D6E5F" w:rsidR="00CE0EDC">
              <w:rPr>
                <w:rFonts w:ascii="Times New Roman" w:hAnsi="Times New Roman"/>
                <w:b/>
                <w:bCs/>
                <w:color w:val="000000" w:themeColor="tx1" w:themeShade="FF"/>
                <w:sz w:val="24"/>
                <w:szCs w:val="24"/>
                <w:lang w:eastAsia="sk-SK"/>
              </w:rPr>
              <w:t>2</w:t>
            </w:r>
            <w:r w:rsidRPr="005D6E5F" w:rsidR="00EF62AE">
              <w:rPr>
                <w:rFonts w:ascii="Times New Roman" w:hAnsi="Times New Roman"/>
                <w:b/>
                <w:bCs/>
                <w:color w:val="000000" w:themeColor="tx1" w:themeShade="FF"/>
                <w:sz w:val="24"/>
                <w:szCs w:val="24"/>
                <w:lang w:eastAsia="sk-SK"/>
              </w:rPr>
              <w:t>4</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5D6E5F" w:rsidP="007D5748">
            <w:pPr>
              <w:bidi w:val="0"/>
              <w:spacing w:after="0" w:line="240" w:lineRule="auto"/>
              <w:rPr>
                <w:rFonts w:ascii="Times New Roman" w:hAnsi="Times New Roman"/>
                <w:b/>
                <w:bCs/>
                <w:color w:val="000000" w:themeColor="tx1" w:themeShade="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b/>
                <w:bCs/>
                <w:color w:val="000000" w:themeColor="tx1" w:themeShade="FF"/>
                <w:sz w:val="24"/>
                <w:szCs w:val="24"/>
                <w:vertAlign w:val="superscript"/>
                <w:lang w:eastAsia="sk-SK"/>
              </w:rPr>
            </w:pPr>
            <w:r w:rsidRPr="005D6E5F">
              <w:rPr>
                <w:rFonts w:ascii="Times New Roman" w:hAnsi="Times New Roman"/>
                <w:b/>
                <w:bCs/>
                <w:color w:val="000000" w:themeColor="tx1" w:themeShade="FF"/>
                <w:sz w:val="24"/>
                <w:szCs w:val="24"/>
                <w:lang w:eastAsia="sk-SK"/>
              </w:rPr>
              <w:t>Daňové príjmy (100)</w:t>
            </w:r>
            <w:r w:rsidRPr="005D6E5F">
              <w:rPr>
                <w:rFonts w:ascii="Times New Roman" w:hAnsi="Times New Roman"/>
                <w:b/>
                <w:bCs/>
                <w:color w:val="000000" w:themeColor="tx1" w:themeShade="FF"/>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722A8" w:rsidRPr="005D6E5F" w:rsidP="00C722A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Nedaňové príjmy (200)</w:t>
            </w:r>
            <w:r w:rsidRPr="005D6E5F">
              <w:rPr>
                <w:rFonts w:ascii="Times New Roman" w:hAnsi="Times New Roman"/>
                <w:b/>
                <w:bCs/>
                <w:color w:val="000000" w:themeColor="tx1" w:themeShade="FF"/>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sidR="009478BA">
              <w:rPr>
                <w:rFonts w:ascii="Times New Roman" w:hAnsi="Times New Roman"/>
                <w:b/>
                <w:bCs/>
                <w:color w:val="000000" w:themeColor="tx1" w:themeShade="FF"/>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3000" w:type="dxa"/>
            <w:tcBorders>
              <w:top w:val="nil"/>
              <w:left w:val="nil"/>
              <w:bottom w:val="single" w:sz="4" w:space="0" w:color="auto"/>
              <w:right w:val="single" w:sz="4" w:space="0" w:color="auto"/>
            </w:tcBorders>
            <w:noWrap/>
            <w:textDirection w:val="lrTb"/>
            <w:vAlign w:val="bottom"/>
          </w:tcPr>
          <w:p w:rsidR="00C722A8" w:rsidRPr="005D6E5F" w:rsidP="00C722A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722A8" w:rsidRPr="005D6E5F" w:rsidP="00C722A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Granty a transfery (300)</w:t>
            </w:r>
            <w:r w:rsidRPr="005D6E5F">
              <w:rPr>
                <w:rFonts w:ascii="Times New Roman" w:hAnsi="Times New Roman"/>
                <w:b/>
                <w:bCs/>
                <w:color w:val="000000" w:themeColor="tx1" w:themeShade="FF"/>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C722A8" w:rsidRPr="005D6E5F" w:rsidP="00C722A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722A8" w:rsidRPr="005D6E5F" w:rsidP="00C722A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C722A8" w:rsidRPr="005D6E5F" w:rsidP="00C722A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722A8" w:rsidRPr="005D6E5F" w:rsidP="00C722A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C722A8" w:rsidRPr="005D6E5F" w:rsidP="00C722A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C722A8" w:rsidRPr="005D6E5F" w:rsidP="00C722A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sidR="009478BA">
              <w:rPr>
                <w:rFonts w:ascii="Times New Roman" w:hAnsi="Times New Roman"/>
                <w:b/>
                <w:bCs/>
                <w:color w:val="000000" w:themeColor="tx1" w:themeShade="FF"/>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1500" w:type="dxa"/>
            <w:tcBorders>
              <w:top w:val="nil"/>
              <w:left w:val="nil"/>
              <w:bottom w:val="single" w:sz="4" w:space="0" w:color="auto"/>
              <w:right w:val="single" w:sz="4" w:space="0" w:color="auto"/>
            </w:tcBorders>
            <w:shd w:val="clear" w:color="auto" w:fill="BFBFBF"/>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1500" w:type="dxa"/>
            <w:tcBorders>
              <w:top w:val="nil"/>
              <w:left w:val="nil"/>
              <w:bottom w:val="single" w:sz="4" w:space="0" w:color="auto"/>
              <w:right w:val="single" w:sz="4" w:space="0" w:color="auto"/>
            </w:tcBorders>
            <w:shd w:val="clear" w:color="auto" w:fill="BFBFBF"/>
            <w:textDirection w:val="lrTb"/>
            <w:vAlign w:val="top"/>
          </w:tcPr>
          <w:p w:rsidR="00C722A8" w:rsidRPr="005D6E5F" w:rsidP="00C722A8">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4 600 000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C722A8" w:rsidRPr="005D6E5F" w:rsidP="00C722A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bl>
    <w:p w:rsidR="007D5748" w:rsidRPr="005D6E5F" w:rsidP="007D5748">
      <w:pPr>
        <w:tabs>
          <w:tab w:val="num" w:pos="1080"/>
        </w:tabs>
        <w:bidi w:val="0"/>
        <w:spacing w:after="0" w:line="240" w:lineRule="auto"/>
        <w:jc w:val="both"/>
        <w:rPr>
          <w:rFonts w:ascii="Times New Roman" w:hAnsi="Times New Roman"/>
          <w:bCs/>
          <w:color w:val="000000" w:themeColor="tx1" w:themeShade="FF"/>
          <w:sz w:val="20"/>
          <w:szCs w:val="20"/>
          <w:lang w:eastAsia="sk-SK"/>
        </w:rPr>
      </w:pPr>
      <w:r w:rsidRPr="005D6E5F" w:rsidR="00C722A8">
        <w:rPr>
          <w:rFonts w:ascii="Times New Roman" w:hAnsi="Times New Roman"/>
          <w:bCs/>
          <w:color w:val="000000" w:themeColor="tx1" w:themeShade="FF"/>
          <w:sz w:val="20"/>
          <w:szCs w:val="20"/>
          <w:lang w:eastAsia="sk-SK"/>
        </w:rPr>
        <w:t>Poznámka:</w:t>
      </w:r>
    </w:p>
    <w:p w:rsidR="00C722A8" w:rsidRPr="005D6E5F" w:rsidP="007D5748">
      <w:pPr>
        <w:tabs>
          <w:tab w:val="num" w:pos="1080"/>
        </w:tabs>
        <w:bidi w:val="0"/>
        <w:spacing w:after="0" w:line="240" w:lineRule="auto"/>
        <w:jc w:val="both"/>
        <w:rPr>
          <w:rFonts w:ascii="Times New Roman" w:hAnsi="Times New Roman"/>
          <w:bCs/>
          <w:color w:val="000000" w:themeColor="tx1" w:themeShade="FF"/>
          <w:sz w:val="20"/>
          <w:szCs w:val="20"/>
          <w:lang w:eastAsia="sk-SK"/>
        </w:rPr>
      </w:pPr>
    </w:p>
    <w:p w:rsidR="00C722A8" w:rsidRPr="005D6E5F" w:rsidP="007D5748">
      <w:pPr>
        <w:tabs>
          <w:tab w:val="num" w:pos="1080"/>
        </w:tabs>
        <w:bidi w:val="0"/>
        <w:spacing w:after="0" w:line="240" w:lineRule="auto"/>
        <w:jc w:val="both"/>
        <w:rPr>
          <w:rFonts w:ascii="Times New Roman" w:hAnsi="Times New Roman"/>
          <w:bCs/>
          <w:color w:val="000000" w:themeColor="tx1" w:themeShade="FF"/>
          <w:sz w:val="20"/>
          <w:szCs w:val="20"/>
          <w:lang w:eastAsia="sk-SK"/>
        </w:rPr>
      </w:pPr>
      <w:r w:rsidRPr="005D6E5F">
        <w:rPr>
          <w:rFonts w:ascii="Times New Roman" w:hAnsi="Times New Roman"/>
          <w:bCs/>
          <w:color w:val="000000" w:themeColor="tx1" w:themeShade="FF"/>
          <w:sz w:val="20"/>
          <w:szCs w:val="20"/>
          <w:lang w:eastAsia="sk-SK"/>
        </w:rPr>
        <w:t>Výška očakávaných príjmov predstavuje ten najpesimistickejší odhad uvedený v kapitole 2.2.4  Výpočty vplyvov na verejné financie.</w:t>
      </w: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6C113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6C113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578"/>
        <w:jc w:val="right"/>
        <w:rPr>
          <w:rFonts w:ascii="Times New Roman" w:hAnsi="Times New Roman"/>
          <w:bCs/>
          <w:color w:val="000000" w:themeColor="tx1" w:themeShade="FF"/>
          <w:sz w:val="24"/>
          <w:szCs w:val="24"/>
          <w:lang w:eastAsia="sk-SK"/>
        </w:rPr>
      </w:pPr>
    </w:p>
    <w:p w:rsidR="007D5748" w:rsidRPr="005D6E5F" w:rsidP="007D5748">
      <w:pPr>
        <w:tabs>
          <w:tab w:val="num" w:pos="1080"/>
        </w:tabs>
        <w:bidi w:val="0"/>
        <w:spacing w:after="0" w:line="240" w:lineRule="auto"/>
        <w:ind w:right="-32"/>
        <w:jc w:val="right"/>
        <w:rPr>
          <w:rFonts w:ascii="Times New Roman" w:hAnsi="Times New Roman"/>
          <w:bCs/>
          <w:color w:val="000000" w:themeColor="tx1" w:themeShade="FF"/>
          <w:sz w:val="24"/>
          <w:szCs w:val="24"/>
          <w:lang w:eastAsia="sk-SK"/>
        </w:rPr>
      </w:pPr>
      <w:r w:rsidRPr="005D6E5F">
        <w:rPr>
          <w:rFonts w:ascii="Times New Roman" w:hAnsi="Times New Roman"/>
          <w:bCs/>
          <w:color w:val="000000" w:themeColor="tx1" w:themeShade="FF"/>
          <w:sz w:val="24"/>
          <w:szCs w:val="24"/>
          <w:lang w:eastAsia="sk-SK"/>
        </w:rPr>
        <w:t>Tabuľka č. 4</w:t>
      </w:r>
      <w:r w:rsidRPr="005D6E5F" w:rsidR="00AD1CF5">
        <w:rPr>
          <w:rFonts w:ascii="Times New Roman" w:hAnsi="Times New Roman"/>
          <w:bCs/>
          <w:color w:val="000000" w:themeColor="tx1" w:themeShade="FF"/>
          <w:sz w:val="24"/>
          <w:szCs w:val="24"/>
          <w:lang w:eastAsia="sk-SK"/>
        </w:rPr>
        <w:t xml:space="preserve"> </w:t>
      </w:r>
      <w:r w:rsidRPr="005D6E5F" w:rsidR="00087864">
        <w:rPr>
          <w:rFonts w:ascii="Times New Roman" w:hAnsi="Times New Roman"/>
          <w:bCs/>
          <w:color w:val="000000" w:themeColor="tx1" w:themeShade="FF"/>
          <w:sz w:val="24"/>
          <w:szCs w:val="24"/>
          <w:lang w:eastAsia="sk-SK"/>
        </w:rPr>
        <w:t>–</w:t>
      </w:r>
      <w:r w:rsidRPr="005D6E5F" w:rsidR="00AD1CF5">
        <w:rPr>
          <w:rFonts w:ascii="Times New Roman" w:hAnsi="Times New Roman"/>
          <w:bCs/>
          <w:color w:val="000000" w:themeColor="tx1" w:themeShade="FF"/>
          <w:sz w:val="24"/>
          <w:szCs w:val="24"/>
          <w:lang w:eastAsia="sk-SK"/>
        </w:rPr>
        <w:t xml:space="preserve"> </w:t>
      </w:r>
      <w:r w:rsidRPr="005D6E5F" w:rsidR="00087864">
        <w:rPr>
          <w:rFonts w:ascii="Times New Roman" w:hAnsi="Times New Roman"/>
          <w:color w:val="000000" w:themeColor="tx1" w:themeShade="FF"/>
          <w:sz w:val="24"/>
          <w:szCs w:val="24"/>
          <w:lang w:eastAsia="sk-SK"/>
        </w:rPr>
        <w:t>MDV SR</w:t>
      </w:r>
      <w:r w:rsidRPr="005D6E5F">
        <w:rPr>
          <w:rFonts w:ascii="Times New Roman" w:hAnsi="Times New Roman"/>
          <w:bCs/>
          <w:color w:val="000000" w:themeColor="tx1" w:themeShade="FF"/>
          <w:sz w:val="24"/>
          <w:szCs w:val="24"/>
          <w:lang w:eastAsia="sk-SK"/>
        </w:rPr>
        <w:t xml:space="preserve"> </w:t>
      </w: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5D6E5F" w:rsidP="007D5748">
            <w:pPr>
              <w:bidi w:val="0"/>
              <w:spacing w:after="0" w:line="240" w:lineRule="auto"/>
              <w:jc w:val="center"/>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5D6E5F" w:rsidP="007D5748">
            <w:pPr>
              <w:bidi w:val="0"/>
              <w:spacing w:after="0" w:line="240" w:lineRule="auto"/>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5D6E5F" w:rsidP="002A76C0">
            <w:pPr>
              <w:bidi w:val="0"/>
              <w:spacing w:after="0" w:line="240" w:lineRule="auto"/>
              <w:jc w:val="right"/>
              <w:rPr>
                <w:rFonts w:ascii="Times New Roman" w:hAnsi="Times New Roman"/>
                <w:b/>
                <w:bCs/>
                <w:color w:val="000000" w:themeColor="tx1" w:themeShade="FF"/>
                <w:sz w:val="20"/>
                <w:szCs w:val="20"/>
                <w:lang w:eastAsia="sk-SK"/>
              </w:rPr>
            </w:pPr>
            <w:r w:rsidRPr="005D6E5F" w:rsidR="0085334B">
              <w:rPr>
                <w:rFonts w:ascii="Times New Roman" w:hAnsi="Times New Roman"/>
                <w:b/>
                <w:bCs/>
                <w:color w:val="000000" w:themeColor="tx1" w:themeShade="FF"/>
                <w:sz w:val="20"/>
                <w:szCs w:val="20"/>
                <w:lang w:eastAsia="sk-SK"/>
              </w:rPr>
              <w:t>202</w:t>
            </w:r>
            <w:r w:rsidRPr="005D6E5F" w:rsidR="002A76C0">
              <w:rPr>
                <w:rFonts w:ascii="Times New Roman" w:hAnsi="Times New Roman"/>
                <w:b/>
                <w:bCs/>
                <w:color w:val="000000" w:themeColor="tx1" w:themeShade="FF"/>
                <w:sz w:val="20"/>
                <w:szCs w:val="20"/>
                <w:lang w:eastAsia="sk-SK"/>
              </w:rPr>
              <w:t>1</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5D6E5F" w:rsidP="002A76C0">
            <w:pPr>
              <w:bidi w:val="0"/>
              <w:spacing w:after="0" w:line="240" w:lineRule="auto"/>
              <w:jc w:val="right"/>
              <w:rPr>
                <w:rFonts w:ascii="Times New Roman" w:hAnsi="Times New Roman"/>
                <w:b/>
                <w:bCs/>
                <w:color w:val="000000" w:themeColor="tx1" w:themeShade="FF"/>
                <w:sz w:val="20"/>
                <w:szCs w:val="20"/>
                <w:lang w:eastAsia="sk-SK"/>
              </w:rPr>
            </w:pPr>
            <w:r w:rsidRPr="005D6E5F" w:rsidR="00CE0EDC">
              <w:rPr>
                <w:rFonts w:ascii="Times New Roman" w:hAnsi="Times New Roman"/>
                <w:b/>
                <w:bCs/>
                <w:color w:val="000000" w:themeColor="tx1" w:themeShade="FF"/>
                <w:sz w:val="20"/>
                <w:szCs w:val="20"/>
                <w:lang w:eastAsia="sk-SK"/>
              </w:rPr>
              <w:t>202</w:t>
            </w:r>
            <w:r w:rsidRPr="005D6E5F" w:rsidR="002A76C0">
              <w:rPr>
                <w:rFonts w:ascii="Times New Roman" w:hAnsi="Times New Roman"/>
                <w:b/>
                <w:bCs/>
                <w:color w:val="000000" w:themeColor="tx1" w:themeShade="FF"/>
                <w:sz w:val="20"/>
                <w:szCs w:val="20"/>
                <w:lang w:eastAsia="sk-SK"/>
              </w:rPr>
              <w:t>2</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5D6E5F" w:rsidP="002A76C0">
            <w:pPr>
              <w:bidi w:val="0"/>
              <w:spacing w:after="0" w:line="240" w:lineRule="auto"/>
              <w:jc w:val="right"/>
              <w:rPr>
                <w:rFonts w:ascii="Times New Roman" w:hAnsi="Times New Roman"/>
                <w:b/>
                <w:bCs/>
                <w:color w:val="000000" w:themeColor="tx1" w:themeShade="FF"/>
                <w:sz w:val="20"/>
                <w:szCs w:val="20"/>
                <w:lang w:eastAsia="sk-SK"/>
              </w:rPr>
            </w:pPr>
            <w:r w:rsidRPr="005D6E5F" w:rsidR="00CE0EDC">
              <w:rPr>
                <w:rFonts w:ascii="Times New Roman" w:hAnsi="Times New Roman"/>
                <w:b/>
                <w:bCs/>
                <w:color w:val="000000" w:themeColor="tx1" w:themeShade="FF"/>
                <w:sz w:val="20"/>
                <w:szCs w:val="20"/>
                <w:lang w:eastAsia="sk-SK"/>
              </w:rPr>
              <w:t>202</w:t>
            </w:r>
            <w:r w:rsidRPr="005D6E5F" w:rsidR="002A76C0">
              <w:rPr>
                <w:rFonts w:ascii="Times New Roman" w:hAnsi="Times New Roman"/>
                <w:b/>
                <w:bCs/>
                <w:color w:val="000000" w:themeColor="tx1" w:themeShade="FF"/>
                <w:sz w:val="20"/>
                <w:szCs w:val="20"/>
                <w:lang w:eastAsia="sk-SK"/>
              </w:rPr>
              <w:t>3</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5D6E5F" w:rsidP="002A76C0">
            <w:pPr>
              <w:bidi w:val="0"/>
              <w:spacing w:after="0" w:line="240" w:lineRule="auto"/>
              <w:jc w:val="right"/>
              <w:rPr>
                <w:rFonts w:ascii="Times New Roman" w:hAnsi="Times New Roman"/>
                <w:b/>
                <w:bCs/>
                <w:color w:val="000000" w:themeColor="tx1" w:themeShade="FF"/>
                <w:sz w:val="20"/>
                <w:szCs w:val="20"/>
                <w:lang w:eastAsia="sk-SK"/>
              </w:rPr>
            </w:pPr>
            <w:r w:rsidRPr="005D6E5F" w:rsidR="002A2E2B">
              <w:rPr>
                <w:rFonts w:ascii="Times New Roman" w:hAnsi="Times New Roman"/>
                <w:b/>
                <w:bCs/>
                <w:color w:val="000000" w:themeColor="tx1" w:themeShade="FF"/>
                <w:sz w:val="20"/>
                <w:szCs w:val="20"/>
                <w:lang w:eastAsia="sk-SK"/>
              </w:rPr>
              <w:t>20</w:t>
            </w:r>
            <w:r w:rsidRPr="005D6E5F" w:rsidR="00CE0EDC">
              <w:rPr>
                <w:rFonts w:ascii="Times New Roman" w:hAnsi="Times New Roman"/>
                <w:b/>
                <w:bCs/>
                <w:color w:val="000000" w:themeColor="tx1" w:themeShade="FF"/>
                <w:sz w:val="20"/>
                <w:szCs w:val="20"/>
                <w:lang w:eastAsia="sk-SK"/>
              </w:rPr>
              <w:t>2</w:t>
            </w:r>
            <w:r w:rsidRPr="005D6E5F" w:rsidR="002A76C0">
              <w:rPr>
                <w:rFonts w:ascii="Times New Roman" w:hAnsi="Times New Roman"/>
                <w:b/>
                <w:bCs/>
                <w:color w:val="000000" w:themeColor="tx1" w:themeShade="FF"/>
                <w:sz w:val="20"/>
                <w:szCs w:val="20"/>
                <w:lang w:eastAsia="sk-SK"/>
              </w:rPr>
              <w:t>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5D6E5F" w:rsidP="007D5748">
            <w:pPr>
              <w:bidi w:val="0"/>
              <w:spacing w:after="0" w:line="240" w:lineRule="auto"/>
              <w:rPr>
                <w:rFonts w:ascii="Times New Roman" w:hAnsi="Times New Roman"/>
                <w:b/>
                <w:bCs/>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color w:val="000000" w:themeColor="tx1" w:themeShade="FF"/>
                <w:sz w:val="20"/>
                <w:szCs w:val="20"/>
                <w:vertAlign w:val="superscript"/>
                <w:lang w:eastAsia="sk-SK"/>
              </w:rPr>
            </w:pPr>
            <w:r w:rsidRPr="005D6E5F">
              <w:rPr>
                <w:rFonts w:ascii="Times New Roman" w:hAnsi="Times New Roman"/>
                <w:color w:val="000000" w:themeColor="tx1" w:themeShade="FF"/>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color w:val="000000" w:themeColor="tx1" w:themeShade="FF"/>
                <w:sz w:val="20"/>
                <w:szCs w:val="20"/>
                <w:vertAlign w:val="superscript"/>
                <w:lang w:eastAsia="sk-SK"/>
              </w:rPr>
            </w:pPr>
            <w:r w:rsidRPr="005D6E5F">
              <w:rPr>
                <w:rFonts w:ascii="Times New Roman" w:hAnsi="Times New Roman"/>
                <w:color w:val="000000" w:themeColor="tx1" w:themeShade="FF"/>
                <w:sz w:val="20"/>
                <w:szCs w:val="20"/>
                <w:lang w:eastAsia="sk-SK"/>
              </w:rPr>
              <w:t xml:space="preserve">  Tovary a služby (630)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Bežné transfery (640)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5D6E5F" w:rsidP="008D339D">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Splácanie úrokov a ostatné platby súvisiace s </w:t>
            </w:r>
            <w:r w:rsidRPr="005D6E5F" w:rsidR="008D339D">
              <w:rPr>
                <w:color w:val="000000" w:themeColor="tx1" w:themeShade="FF"/>
              </w:rPr>
              <w:t xml:space="preserve"> </w:t>
            </w:r>
            <w:r w:rsidRPr="005D6E5F" w:rsidR="008D339D">
              <w:rPr>
                <w:rFonts w:ascii="Times New Roman" w:hAnsi="Times New Roman"/>
                <w:color w:val="000000" w:themeColor="tx1" w:themeShade="FF"/>
                <w:sz w:val="20"/>
                <w:szCs w:val="20"/>
                <w:lang w:eastAsia="sk-SK"/>
              </w:rPr>
              <w:t>úverom, pôžičkou, návratnou finančnou výpomocou a finančným prenájmom</w:t>
            </w:r>
            <w:r w:rsidRPr="005D6E5F">
              <w:rPr>
                <w:rFonts w:ascii="Times New Roman" w:hAnsi="Times New Roman"/>
                <w:color w:val="000000" w:themeColor="tx1" w:themeShade="FF"/>
                <w:sz w:val="20"/>
                <w:szCs w:val="20"/>
                <w:lang w:eastAsia="sk-SK"/>
              </w:rPr>
              <w:t xml:space="preserve"> (650)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5D6E5F" w:rsidP="000A0CEB">
            <w:pPr>
              <w:bidi w:val="0"/>
              <w:spacing w:after="0" w:line="240" w:lineRule="auto"/>
              <w:jc w:val="right"/>
              <w:rPr>
                <w:rFonts w:ascii="Times New Roman" w:hAnsi="Times New Roman"/>
                <w:b/>
                <w:bCs/>
                <w:color w:val="000000" w:themeColor="tx1" w:themeShade="FF"/>
                <w:sz w:val="20"/>
                <w:szCs w:val="20"/>
                <w:lang w:eastAsia="sk-SK"/>
              </w:rPr>
            </w:pPr>
            <w:r w:rsidRPr="005D6E5F" w:rsidR="00981FC3">
              <w:rPr>
                <w:rFonts w:ascii="Times New Roman" w:hAnsi="Times New Roman"/>
                <w:b/>
                <w:bCs/>
                <w:color w:val="000000" w:themeColor="tx1" w:themeShade="FF"/>
                <w:sz w:val="20"/>
                <w:szCs w:val="20"/>
                <w:lang w:eastAsia="sk-SK"/>
              </w:rPr>
              <w:t xml:space="preserve">761 </w:t>
            </w:r>
            <w:r w:rsidRPr="005D6E5F" w:rsidR="000A0CEB">
              <w:rPr>
                <w:rFonts w:ascii="Times New Roman" w:hAnsi="Times New Roman"/>
                <w:b/>
                <w:bCs/>
                <w:color w:val="000000" w:themeColor="tx1" w:themeShade="FF"/>
                <w:sz w:val="20"/>
                <w:szCs w:val="20"/>
                <w:lang w:eastAsia="sk-SK"/>
              </w:rPr>
              <w:t>6</w:t>
            </w:r>
            <w:r w:rsidRPr="005D6E5F" w:rsidR="00981FC3">
              <w:rPr>
                <w:rFonts w:ascii="Times New Roman" w:hAnsi="Times New Roman"/>
                <w:b/>
                <w:bCs/>
                <w:color w:val="000000" w:themeColor="tx1" w:themeShade="FF"/>
                <w:sz w:val="20"/>
                <w:szCs w:val="20"/>
                <w:lang w:eastAsia="sk-SK"/>
              </w:rPr>
              <w:t>07</w:t>
            </w:r>
          </w:p>
        </w:tc>
        <w:tc>
          <w:tcPr>
            <w:tcW w:w="1540" w:type="dxa"/>
            <w:tcBorders>
              <w:top w:val="nil"/>
              <w:left w:val="nil"/>
              <w:bottom w:val="single" w:sz="4" w:space="0" w:color="auto"/>
              <w:right w:val="single" w:sz="4" w:space="0" w:color="auto"/>
            </w:tcBorders>
            <w:textDirection w:val="lrTb"/>
            <w:vAlign w:val="top"/>
          </w:tcPr>
          <w:p w:rsidR="007D5748" w:rsidRPr="005D6E5F" w:rsidP="000A0CEB">
            <w:pPr>
              <w:bidi w:val="0"/>
              <w:spacing w:after="0" w:line="240" w:lineRule="auto"/>
              <w:jc w:val="right"/>
              <w:rPr>
                <w:rFonts w:ascii="Times New Roman" w:hAnsi="Times New Roman"/>
                <w:b/>
                <w:bCs/>
                <w:color w:val="000000" w:themeColor="tx1" w:themeShade="FF"/>
                <w:sz w:val="20"/>
                <w:szCs w:val="20"/>
                <w:lang w:eastAsia="sk-SK"/>
              </w:rPr>
            </w:pPr>
            <w:r w:rsidRPr="005D6E5F" w:rsidR="00981FC3">
              <w:rPr>
                <w:rFonts w:ascii="Times New Roman" w:hAnsi="Times New Roman"/>
                <w:b/>
                <w:bCs/>
                <w:color w:val="000000" w:themeColor="tx1" w:themeShade="FF"/>
                <w:sz w:val="20"/>
                <w:szCs w:val="20"/>
                <w:lang w:eastAsia="sk-SK"/>
              </w:rPr>
              <w:t xml:space="preserve">38 </w:t>
            </w:r>
            <w:r w:rsidRPr="005D6E5F" w:rsidR="000A0CEB">
              <w:rPr>
                <w:rFonts w:ascii="Times New Roman" w:hAnsi="Times New Roman"/>
                <w:b/>
                <w:bCs/>
                <w:color w:val="000000" w:themeColor="tx1" w:themeShade="FF"/>
                <w:sz w:val="20"/>
                <w:szCs w:val="20"/>
                <w:lang w:eastAsia="sk-SK"/>
              </w:rPr>
              <w:t>3</w:t>
            </w:r>
            <w:r w:rsidRPr="005D6E5F" w:rsidR="00981FC3">
              <w:rPr>
                <w:rFonts w:ascii="Times New Roman" w:hAnsi="Times New Roman"/>
                <w:b/>
                <w:bCs/>
                <w:color w:val="000000" w:themeColor="tx1" w:themeShade="FF"/>
                <w:sz w:val="20"/>
                <w:szCs w:val="20"/>
                <w:lang w:eastAsia="sk-SK"/>
              </w:rPr>
              <w:t>93</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r w:rsidRPr="005D6E5F" w:rsidR="00E87889">
              <w:rPr>
                <w:rFonts w:ascii="Times New Roman" w:hAnsi="Times New Roman"/>
                <w:b/>
                <w:bCs/>
                <w:color w:val="000000" w:themeColor="tx1" w:themeShade="FF"/>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r w:rsidRPr="005D6E5F" w:rsidR="00E87889">
              <w:rPr>
                <w:rFonts w:ascii="Times New Roman" w:hAnsi="Times New Roman"/>
                <w:b/>
                <w:bCs/>
                <w:color w:val="000000" w:themeColor="tx1" w:themeShade="FF"/>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Obstarávanie kapitálových aktív (710)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Kapitálové transfery (720)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5D6E5F" w:rsidP="007D5748">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 </w:t>
            </w: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5D6E5F" w:rsidP="006F189B">
            <w:pPr>
              <w:bidi w:val="0"/>
              <w:spacing w:after="0" w:line="240" w:lineRule="auto"/>
              <w:jc w:val="right"/>
              <w:rPr>
                <w:rFonts w:ascii="Times New Roman" w:hAnsi="Times New Roman"/>
                <w:b/>
                <w:bCs/>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81FC3" w:rsidRPr="005D6E5F" w:rsidP="00981FC3">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81FC3" w:rsidRPr="005D6E5F" w:rsidP="000A0CEB">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 xml:space="preserve">761 </w:t>
            </w:r>
            <w:r w:rsidRPr="005D6E5F" w:rsidR="000A0CEB">
              <w:rPr>
                <w:rFonts w:ascii="Times New Roman" w:hAnsi="Times New Roman"/>
                <w:b/>
                <w:bCs/>
                <w:color w:val="000000" w:themeColor="tx1" w:themeShade="FF"/>
                <w:sz w:val="20"/>
                <w:szCs w:val="20"/>
                <w:lang w:eastAsia="sk-SK"/>
              </w:rPr>
              <w:t>6</w:t>
            </w:r>
            <w:r w:rsidRPr="005D6E5F">
              <w:rPr>
                <w:rFonts w:ascii="Times New Roman" w:hAnsi="Times New Roman"/>
                <w:b/>
                <w:bCs/>
                <w:color w:val="000000" w:themeColor="tx1" w:themeShade="FF"/>
                <w:sz w:val="20"/>
                <w:szCs w:val="20"/>
                <w:lang w:eastAsia="sk-SK"/>
              </w:rPr>
              <w:t>07</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81FC3" w:rsidRPr="005D6E5F" w:rsidP="000A0CEB">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 xml:space="preserve">38 </w:t>
            </w:r>
            <w:r w:rsidRPr="005D6E5F" w:rsidR="000A0CEB">
              <w:rPr>
                <w:rFonts w:ascii="Times New Roman" w:hAnsi="Times New Roman"/>
                <w:b/>
                <w:bCs/>
                <w:color w:val="000000" w:themeColor="tx1" w:themeShade="FF"/>
                <w:sz w:val="20"/>
                <w:szCs w:val="20"/>
                <w:lang w:eastAsia="sk-SK"/>
              </w:rPr>
              <w:t>3</w:t>
            </w:r>
            <w:r w:rsidRPr="005D6E5F">
              <w:rPr>
                <w:rFonts w:ascii="Times New Roman" w:hAnsi="Times New Roman"/>
                <w:b/>
                <w:bCs/>
                <w:color w:val="000000" w:themeColor="tx1" w:themeShade="FF"/>
                <w:sz w:val="20"/>
                <w:szCs w:val="20"/>
                <w:lang w:eastAsia="sk-SK"/>
              </w:rPr>
              <w:t>93</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81FC3" w:rsidRPr="005D6E5F" w:rsidP="00981FC3">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81FC3" w:rsidRPr="005D6E5F" w:rsidP="00981FC3">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981FC3" w:rsidRPr="005D6E5F" w:rsidP="00981FC3">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bl>
    <w:p w:rsidR="00087864" w:rsidRPr="005D6E5F" w:rsidP="007D5748">
      <w:pPr>
        <w:tabs>
          <w:tab w:val="num" w:pos="1080"/>
        </w:tabs>
        <w:bidi w:val="0"/>
        <w:spacing w:after="0" w:line="240" w:lineRule="auto"/>
        <w:ind w:left="-900"/>
        <w:jc w:val="both"/>
        <w:rPr>
          <w:rFonts w:ascii="Times New Roman" w:hAnsi="Times New Roman"/>
          <w:bCs/>
          <w:color w:val="000000" w:themeColor="tx1" w:themeShade="FF"/>
          <w:sz w:val="20"/>
          <w:szCs w:val="20"/>
          <w:lang w:eastAsia="sk-SK"/>
        </w:rPr>
      </w:pPr>
      <w:r w:rsidRPr="005D6E5F" w:rsidR="00E87889">
        <w:rPr>
          <w:rFonts w:ascii="Times New Roman" w:hAnsi="Times New Roman"/>
          <w:bCs/>
          <w:color w:val="000000" w:themeColor="tx1" w:themeShade="FF"/>
          <w:sz w:val="20"/>
          <w:szCs w:val="20"/>
          <w:lang w:eastAsia="sk-SK"/>
        </w:rPr>
        <w:t>0</w:t>
      </w:r>
    </w:p>
    <w:p w:rsidR="00087864" w:rsidRPr="005D6E5F">
      <w:pPr>
        <w:bidi w:val="0"/>
        <w:rPr>
          <w:rFonts w:ascii="Times New Roman" w:hAnsi="Times New Roman"/>
          <w:bCs/>
          <w:color w:val="000000" w:themeColor="tx1" w:themeShade="FF"/>
          <w:sz w:val="20"/>
          <w:szCs w:val="20"/>
          <w:lang w:eastAsia="sk-SK"/>
        </w:rPr>
      </w:pPr>
      <w:r w:rsidRPr="005D6E5F">
        <w:rPr>
          <w:rFonts w:ascii="Times New Roman" w:hAnsi="Times New Roman"/>
          <w:bCs/>
          <w:color w:val="000000" w:themeColor="tx1" w:themeShade="FF"/>
          <w:sz w:val="20"/>
          <w:szCs w:val="20"/>
          <w:lang w:eastAsia="sk-SK"/>
        </w:rPr>
        <w:br w:type="page"/>
      </w:r>
    </w:p>
    <w:p w:rsidR="00087864" w:rsidRPr="005D6E5F" w:rsidP="00087864">
      <w:pPr>
        <w:tabs>
          <w:tab w:val="num" w:pos="1080"/>
        </w:tabs>
        <w:bidi w:val="0"/>
        <w:spacing w:after="0" w:line="240" w:lineRule="auto"/>
        <w:ind w:right="-32"/>
        <w:jc w:val="right"/>
        <w:rPr>
          <w:rFonts w:ascii="Times New Roman" w:hAnsi="Times New Roman"/>
          <w:bCs/>
          <w:color w:val="000000" w:themeColor="tx1" w:themeShade="FF"/>
          <w:sz w:val="24"/>
          <w:szCs w:val="24"/>
          <w:lang w:eastAsia="sk-SK"/>
        </w:rPr>
      </w:pPr>
      <w:r w:rsidRPr="005D6E5F">
        <w:rPr>
          <w:rFonts w:ascii="Times New Roman" w:hAnsi="Times New Roman"/>
          <w:bCs/>
          <w:color w:val="000000" w:themeColor="tx1" w:themeShade="FF"/>
          <w:sz w:val="24"/>
          <w:szCs w:val="24"/>
          <w:lang w:eastAsia="sk-SK"/>
        </w:rPr>
        <w:t xml:space="preserve">Tabuľka č. 4 – </w:t>
      </w:r>
      <w:r w:rsidRPr="005D6E5F">
        <w:rPr>
          <w:rFonts w:ascii="Times New Roman" w:hAnsi="Times New Roman"/>
          <w:color w:val="000000" w:themeColor="tx1" w:themeShade="FF"/>
          <w:sz w:val="24"/>
          <w:szCs w:val="24"/>
          <w:lang w:eastAsia="sk-SK"/>
        </w:rPr>
        <w:t>MV SR</w:t>
      </w:r>
    </w:p>
    <w:p w:rsidR="00087864" w:rsidRPr="005D6E5F" w:rsidP="00087864">
      <w:pPr>
        <w:tabs>
          <w:tab w:val="num" w:pos="1080"/>
        </w:tabs>
        <w:bidi w:val="0"/>
        <w:spacing w:after="0" w:line="240" w:lineRule="auto"/>
        <w:jc w:val="both"/>
        <w:rPr>
          <w:rFonts w:ascii="Times New Roman" w:hAnsi="Times New Roman"/>
          <w:bCs/>
          <w:color w:val="000000" w:themeColor="tx1" w:themeShade="FF"/>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087864" w:rsidRPr="005D6E5F" w:rsidP="007C33E0">
            <w:pPr>
              <w:bidi w:val="0"/>
              <w:spacing w:after="0" w:line="240" w:lineRule="auto"/>
              <w:jc w:val="center"/>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87864" w:rsidRPr="005D6E5F" w:rsidP="007C33E0">
            <w:pPr>
              <w:bidi w:val="0"/>
              <w:spacing w:after="0" w:line="240" w:lineRule="auto"/>
              <w:jc w:val="center"/>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87864" w:rsidRPr="005D6E5F" w:rsidP="007C33E0">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87864" w:rsidRPr="005D6E5F" w:rsidP="007C33E0">
            <w:pPr>
              <w:bidi w:val="0"/>
              <w:spacing w:after="0" w:line="240" w:lineRule="auto"/>
              <w:rPr>
                <w:rFonts w:ascii="Times New Roman" w:hAnsi="Times New Roman"/>
                <w:b/>
                <w:bCs/>
                <w:color w:val="000000" w:themeColor="tx1" w:themeShade="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2021</w:t>
            </w:r>
          </w:p>
        </w:tc>
        <w:tc>
          <w:tcPr>
            <w:tcW w:w="1540" w:type="dxa"/>
            <w:tcBorders>
              <w:top w:val="nil"/>
              <w:left w:val="nil"/>
              <w:bottom w:val="single" w:sz="4" w:space="0" w:color="auto"/>
              <w:right w:val="single" w:sz="4" w:space="0" w:color="auto"/>
            </w:tcBorders>
            <w:shd w:val="clear" w:color="auto" w:fill="BFBFBF"/>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2022</w:t>
            </w:r>
          </w:p>
        </w:tc>
        <w:tc>
          <w:tcPr>
            <w:tcW w:w="1540" w:type="dxa"/>
            <w:tcBorders>
              <w:top w:val="nil"/>
              <w:left w:val="nil"/>
              <w:bottom w:val="single" w:sz="4" w:space="0" w:color="auto"/>
              <w:right w:val="single" w:sz="4" w:space="0" w:color="auto"/>
            </w:tcBorders>
            <w:shd w:val="clear" w:color="auto" w:fill="BFBFBF"/>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2023</w:t>
            </w:r>
          </w:p>
        </w:tc>
        <w:tc>
          <w:tcPr>
            <w:tcW w:w="1540" w:type="dxa"/>
            <w:tcBorders>
              <w:top w:val="nil"/>
              <w:left w:val="nil"/>
              <w:bottom w:val="single" w:sz="4" w:space="0" w:color="auto"/>
              <w:right w:val="single" w:sz="4" w:space="0" w:color="auto"/>
            </w:tcBorders>
            <w:shd w:val="clear" w:color="auto" w:fill="BFBFBF"/>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2024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87864" w:rsidRPr="005D6E5F" w:rsidP="007C33E0">
            <w:pPr>
              <w:bidi w:val="0"/>
              <w:spacing w:after="0" w:line="240" w:lineRule="auto"/>
              <w:rPr>
                <w:rFonts w:ascii="Times New Roman" w:hAnsi="Times New Roman"/>
                <w:b/>
                <w:bCs/>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35C" w:rsidRPr="005D6E5F" w:rsidP="0008735C">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b/>
                <w:bCs/>
                <w:color w:val="000000" w:themeColor="tx1" w:themeShade="FF"/>
                <w:sz w:val="20"/>
                <w:szCs w:val="20"/>
                <w:lang w:eastAsia="sk-SK"/>
              </w:rPr>
            </w:pPr>
            <w:r w:rsidRPr="005D6E5F" w:rsidR="00A97616">
              <w:rPr>
                <w:rFonts w:ascii="Times New Roman" w:hAnsi="Times New Roman"/>
                <w:b/>
                <w:bCs/>
                <w:color w:val="000000" w:themeColor="tx1" w:themeShade="FF"/>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552 280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552 280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552 280</w:t>
            </w:r>
          </w:p>
        </w:tc>
        <w:tc>
          <w:tcPr>
            <w:tcW w:w="2220" w:type="dxa"/>
            <w:tcBorders>
              <w:top w:val="nil"/>
              <w:left w:val="nil"/>
              <w:bottom w:val="single" w:sz="4" w:space="0" w:color="auto"/>
              <w:right w:val="single" w:sz="4" w:space="0" w:color="auto"/>
            </w:tcBorders>
            <w:noWrap/>
            <w:textDirection w:val="lrTb"/>
            <w:vAlign w:val="bottom"/>
          </w:tcPr>
          <w:p w:rsidR="0008735C" w:rsidRPr="005D6E5F" w:rsidP="0008735C">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35C" w:rsidRPr="005D6E5F" w:rsidP="0008735C">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372 900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372 900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372 900</w:t>
            </w:r>
          </w:p>
        </w:tc>
        <w:tc>
          <w:tcPr>
            <w:tcW w:w="2220" w:type="dxa"/>
            <w:tcBorders>
              <w:top w:val="nil"/>
              <w:left w:val="nil"/>
              <w:bottom w:val="single" w:sz="4" w:space="0" w:color="auto"/>
              <w:right w:val="single" w:sz="4" w:space="0" w:color="auto"/>
            </w:tcBorders>
            <w:noWrap/>
            <w:textDirection w:val="lrTb"/>
            <w:vAlign w:val="bottom"/>
          </w:tcPr>
          <w:p w:rsidR="0008735C" w:rsidRPr="005D6E5F" w:rsidP="0008735C">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35C" w:rsidRPr="005D6E5F" w:rsidP="0008735C">
            <w:pPr>
              <w:bidi w:val="0"/>
              <w:spacing w:after="0" w:line="240" w:lineRule="auto"/>
              <w:rPr>
                <w:rFonts w:ascii="Times New Roman" w:hAnsi="Times New Roman"/>
                <w:color w:val="000000" w:themeColor="tx1" w:themeShade="FF"/>
                <w:sz w:val="20"/>
                <w:szCs w:val="20"/>
                <w:vertAlign w:val="superscript"/>
                <w:lang w:eastAsia="sk-SK"/>
              </w:rPr>
            </w:pPr>
            <w:r w:rsidRPr="005D6E5F">
              <w:rPr>
                <w:rFonts w:ascii="Times New Roman" w:hAnsi="Times New Roman"/>
                <w:color w:val="000000" w:themeColor="tx1" w:themeShade="FF"/>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144 380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144 380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144 380</w:t>
            </w:r>
          </w:p>
        </w:tc>
        <w:tc>
          <w:tcPr>
            <w:tcW w:w="2220" w:type="dxa"/>
            <w:tcBorders>
              <w:top w:val="nil"/>
              <w:left w:val="nil"/>
              <w:bottom w:val="single" w:sz="4" w:space="0" w:color="auto"/>
              <w:right w:val="single" w:sz="4" w:space="0" w:color="auto"/>
            </w:tcBorders>
            <w:noWrap/>
            <w:textDirection w:val="lrTb"/>
            <w:vAlign w:val="bottom"/>
          </w:tcPr>
          <w:p w:rsidR="0008735C" w:rsidRPr="005D6E5F" w:rsidP="0008735C">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35C" w:rsidRPr="005D6E5F" w:rsidP="0008735C">
            <w:pPr>
              <w:bidi w:val="0"/>
              <w:spacing w:after="0" w:line="240" w:lineRule="auto"/>
              <w:rPr>
                <w:rFonts w:ascii="Times New Roman" w:hAnsi="Times New Roman"/>
                <w:color w:val="000000" w:themeColor="tx1" w:themeShade="FF"/>
                <w:sz w:val="20"/>
                <w:szCs w:val="20"/>
                <w:vertAlign w:val="superscript"/>
                <w:lang w:eastAsia="sk-SK"/>
              </w:rPr>
            </w:pPr>
            <w:r w:rsidRPr="005D6E5F">
              <w:rPr>
                <w:rFonts w:ascii="Times New Roman" w:hAnsi="Times New Roman"/>
                <w:color w:val="000000" w:themeColor="tx1" w:themeShade="FF"/>
                <w:sz w:val="20"/>
                <w:szCs w:val="20"/>
                <w:lang w:eastAsia="sk-SK"/>
              </w:rPr>
              <w:t xml:space="preserve">  Tovary a služby (630)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35 000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35 000</w:t>
            </w:r>
          </w:p>
        </w:tc>
        <w:tc>
          <w:tcPr>
            <w:tcW w:w="1540" w:type="dxa"/>
            <w:tcBorders>
              <w:top w:val="nil"/>
              <w:left w:val="nil"/>
              <w:bottom w:val="single" w:sz="4" w:space="0" w:color="auto"/>
              <w:right w:val="single" w:sz="4" w:space="0" w:color="auto"/>
            </w:tcBorders>
            <w:textDirection w:val="lrTb"/>
            <w:vAlign w:val="top"/>
          </w:tcPr>
          <w:p w:rsidR="0008735C" w:rsidRPr="005D6E5F" w:rsidP="0008735C">
            <w:pPr>
              <w:bidi w:val="0"/>
              <w:spacing w:after="0" w:line="240" w:lineRule="auto"/>
              <w:jc w:val="right"/>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35 000</w:t>
            </w:r>
          </w:p>
        </w:tc>
        <w:tc>
          <w:tcPr>
            <w:tcW w:w="2220" w:type="dxa"/>
            <w:tcBorders>
              <w:top w:val="nil"/>
              <w:left w:val="nil"/>
              <w:bottom w:val="single" w:sz="4" w:space="0" w:color="auto"/>
              <w:right w:val="single" w:sz="4" w:space="0" w:color="auto"/>
            </w:tcBorders>
            <w:noWrap/>
            <w:textDirection w:val="lrTb"/>
            <w:vAlign w:val="bottom"/>
          </w:tcPr>
          <w:p w:rsidR="0008735C" w:rsidRPr="005D6E5F" w:rsidP="0008735C">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864" w:rsidRPr="005D6E5F" w:rsidP="007C33E0">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Bežné transfery (640)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087864" w:rsidRPr="005D6E5F" w:rsidP="007C33E0">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87864" w:rsidRPr="005D6E5F" w:rsidP="007C33E0">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Splácanie úrokov a ostatné platby súvisiace s </w:t>
            </w:r>
            <w:r w:rsidRPr="005D6E5F">
              <w:rPr>
                <w:color w:val="000000" w:themeColor="tx1" w:themeShade="FF"/>
              </w:rPr>
              <w:t xml:space="preserve"> </w:t>
            </w:r>
            <w:r w:rsidRPr="005D6E5F">
              <w:rPr>
                <w:rFonts w:ascii="Times New Roman" w:hAnsi="Times New Roman"/>
                <w:color w:val="000000" w:themeColor="tx1" w:themeShade="FF"/>
                <w:sz w:val="20"/>
                <w:szCs w:val="20"/>
                <w:lang w:eastAsia="sk-SK"/>
              </w:rPr>
              <w:t>úverom, pôžičkou, návratnou finančnou výpomocou a finančným prenájmom (650)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087864" w:rsidRPr="005D6E5F" w:rsidP="007C33E0">
            <w:pPr>
              <w:bidi w:val="0"/>
              <w:spacing w:after="0" w:line="240" w:lineRule="auto"/>
              <w:rPr>
                <w:rFonts w:ascii="Times New Roman" w:hAnsi="Times New Roman"/>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864" w:rsidRPr="005D6E5F" w:rsidP="007C33E0">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sidR="00981FC3">
              <w:rPr>
                <w:rFonts w:ascii="Times New Roman" w:hAnsi="Times New Roman"/>
                <w:b/>
                <w:bCs/>
                <w:color w:val="000000" w:themeColor="tx1" w:themeShade="FF"/>
                <w:sz w:val="20"/>
                <w:szCs w:val="20"/>
                <w:lang w:eastAsia="sk-SK"/>
              </w:rPr>
              <w:t>65 000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sidR="00981FC3">
              <w:rPr>
                <w:rFonts w:ascii="Times New Roman" w:hAnsi="Times New Roman"/>
                <w:b/>
                <w:bCs/>
                <w:color w:val="000000" w:themeColor="tx1" w:themeShade="FF"/>
                <w:sz w:val="20"/>
                <w:szCs w:val="20"/>
                <w:lang w:eastAsia="sk-SK"/>
              </w:rPr>
              <w:t>25 00</w:t>
            </w:r>
            <w:r w:rsidRPr="005D6E5F">
              <w:rPr>
                <w:rFonts w:ascii="Times New Roman" w:hAnsi="Times New Roman"/>
                <w:b/>
                <w:bCs/>
                <w:color w:val="000000" w:themeColor="tx1" w:themeShade="FF"/>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087864" w:rsidRPr="005D6E5F" w:rsidP="007C33E0">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864" w:rsidRPr="005D6E5F" w:rsidP="007C33E0">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Obstarávanie kapitálových aktív (710)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r w:rsidRPr="005D6E5F" w:rsidR="00981FC3">
              <w:rPr>
                <w:rFonts w:ascii="Times New Roman" w:hAnsi="Times New Roman"/>
                <w:color w:val="000000" w:themeColor="tx1" w:themeShade="FF"/>
                <w:sz w:val="20"/>
                <w:szCs w:val="20"/>
                <w:lang w:eastAsia="sk-SK"/>
              </w:rPr>
              <w:t>65 000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r w:rsidRPr="005D6E5F" w:rsidR="00981FC3">
              <w:rPr>
                <w:rFonts w:ascii="Times New Roman" w:hAnsi="Times New Roman"/>
                <w:color w:val="000000" w:themeColor="tx1" w:themeShade="FF"/>
                <w:sz w:val="20"/>
                <w:szCs w:val="20"/>
                <w:lang w:eastAsia="sk-SK"/>
              </w:rPr>
              <w:t>25 000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087864" w:rsidRPr="005D6E5F" w:rsidP="007C33E0">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87864" w:rsidRPr="005D6E5F" w:rsidP="007C33E0">
            <w:pPr>
              <w:bidi w:val="0"/>
              <w:spacing w:after="0" w:line="240" w:lineRule="auto"/>
              <w:rPr>
                <w:rFonts w:ascii="Times New Roman" w:hAnsi="Times New Roman"/>
                <w:color w:val="000000" w:themeColor="tx1" w:themeShade="FF"/>
                <w:sz w:val="20"/>
                <w:szCs w:val="20"/>
                <w:lang w:eastAsia="sk-SK"/>
              </w:rPr>
            </w:pPr>
            <w:r w:rsidRPr="005D6E5F">
              <w:rPr>
                <w:rFonts w:ascii="Times New Roman" w:hAnsi="Times New Roman"/>
                <w:color w:val="000000" w:themeColor="tx1" w:themeShade="FF"/>
                <w:sz w:val="20"/>
                <w:szCs w:val="20"/>
                <w:lang w:eastAsia="sk-SK"/>
              </w:rPr>
              <w:t xml:space="preserve">  Kapitálové transfery (720)</w:t>
            </w:r>
            <w:r w:rsidRPr="005D6E5F">
              <w:rPr>
                <w:rFonts w:ascii="Times New Roman" w:hAnsi="Times New Roman"/>
                <w:color w:val="000000" w:themeColor="tx1" w:themeShade="FF"/>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087864" w:rsidRPr="005D6E5F" w:rsidP="007C33E0">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397"/>
        </w:trPr>
        <w:tc>
          <w:tcPr>
            <w:tcW w:w="7070" w:type="dxa"/>
            <w:tcBorders>
              <w:top w:val="nil"/>
              <w:left w:val="single" w:sz="4" w:space="0" w:color="auto"/>
              <w:bottom w:val="single" w:sz="4" w:space="0" w:color="auto"/>
              <w:right w:val="single" w:sz="4" w:space="0" w:color="auto"/>
            </w:tcBorders>
            <w:textDirection w:val="lrTb"/>
            <w:vAlign w:val="top"/>
          </w:tcPr>
          <w:p w:rsidR="00087864" w:rsidRPr="005D6E5F" w:rsidP="007C33E0">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 </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 </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 </w:t>
            </w:r>
          </w:p>
        </w:tc>
        <w:tc>
          <w:tcPr>
            <w:tcW w:w="1540" w:type="dxa"/>
            <w:tcBorders>
              <w:top w:val="nil"/>
              <w:left w:val="nil"/>
              <w:bottom w:val="single" w:sz="4" w:space="0" w:color="auto"/>
              <w:right w:val="single" w:sz="4" w:space="0" w:color="auto"/>
            </w:tcBorders>
            <w:textDirection w:val="lrTb"/>
            <w:vAlign w:val="top"/>
          </w:tcPr>
          <w:p w:rsidR="00087864" w:rsidRPr="005D6E5F" w:rsidP="007C33E0">
            <w:pPr>
              <w:bidi w:val="0"/>
              <w:spacing w:after="0" w:line="240" w:lineRule="auto"/>
              <w:jc w:val="right"/>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087864" w:rsidRPr="005D6E5F" w:rsidP="007C33E0">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7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735C" w:rsidRPr="005D6E5F" w:rsidP="0008735C">
            <w:pPr>
              <w:bidi w:val="0"/>
              <w:spacing w:after="0" w:line="240" w:lineRule="auto"/>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8735C" w:rsidRPr="005D6E5F" w:rsidP="0008735C">
            <w:pPr>
              <w:bidi w:val="0"/>
              <w:spacing w:after="0" w:line="240" w:lineRule="auto"/>
              <w:jc w:val="right"/>
              <w:rPr>
                <w:rFonts w:ascii="Times New Roman" w:hAnsi="Times New Roman"/>
                <w:b/>
                <w:bCs/>
                <w:color w:val="000000" w:themeColor="tx1" w:themeShade="FF"/>
                <w:sz w:val="20"/>
                <w:szCs w:val="20"/>
                <w:lang w:eastAsia="sk-SK"/>
              </w:rPr>
            </w:pPr>
            <w:r w:rsidRPr="005D6E5F" w:rsidR="00981FC3">
              <w:rPr>
                <w:rFonts w:ascii="Times New Roman" w:hAnsi="Times New Roman"/>
                <w:b/>
                <w:bCs/>
                <w:color w:val="000000" w:themeColor="tx1" w:themeShade="FF"/>
                <w:sz w:val="20"/>
                <w:szCs w:val="20"/>
                <w:lang w:eastAsia="sk-SK"/>
              </w:rPr>
              <w:t>65 000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8735C" w:rsidRPr="005D6E5F" w:rsidP="0038259B">
            <w:pPr>
              <w:bidi w:val="0"/>
              <w:spacing w:after="0" w:line="240" w:lineRule="auto"/>
              <w:jc w:val="right"/>
              <w:rPr>
                <w:rFonts w:ascii="Times New Roman" w:hAnsi="Times New Roman"/>
                <w:b/>
                <w:bCs/>
                <w:color w:val="000000" w:themeColor="tx1" w:themeShade="FF"/>
                <w:sz w:val="20"/>
                <w:szCs w:val="20"/>
                <w:lang w:eastAsia="sk-SK"/>
              </w:rPr>
            </w:pPr>
            <w:r w:rsidRPr="005D6E5F">
              <w:rPr>
                <w:rFonts w:ascii="Times New Roman" w:hAnsi="Times New Roman"/>
                <w:b/>
                <w:bCs/>
                <w:color w:val="000000" w:themeColor="tx1" w:themeShade="FF"/>
                <w:sz w:val="20"/>
                <w:szCs w:val="20"/>
                <w:lang w:eastAsia="sk-SK"/>
              </w:rPr>
              <w:t>5</w:t>
            </w:r>
            <w:r w:rsidRPr="005D6E5F" w:rsidR="0038259B">
              <w:rPr>
                <w:rFonts w:ascii="Times New Roman" w:hAnsi="Times New Roman"/>
                <w:b/>
                <w:bCs/>
                <w:color w:val="000000" w:themeColor="tx1" w:themeShade="FF"/>
                <w:sz w:val="20"/>
                <w:szCs w:val="20"/>
                <w:lang w:eastAsia="sk-SK"/>
              </w:rPr>
              <w:t>77 280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8735C" w:rsidRPr="005D6E5F" w:rsidP="0008735C">
            <w:pPr>
              <w:bidi w:val="0"/>
              <w:jc w:val="right"/>
              <w:rPr>
                <w:color w:val="000000" w:themeColor="tx1" w:themeShade="FF"/>
              </w:rPr>
            </w:pPr>
            <w:r w:rsidRPr="005D6E5F">
              <w:rPr>
                <w:rFonts w:ascii="Times New Roman" w:hAnsi="Times New Roman"/>
                <w:b/>
                <w:bCs/>
                <w:color w:val="000000" w:themeColor="tx1" w:themeShade="FF"/>
                <w:sz w:val="20"/>
                <w:szCs w:val="20"/>
                <w:lang w:eastAsia="sk-SK"/>
              </w:rPr>
              <w:t>552 280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8735C" w:rsidRPr="005D6E5F" w:rsidP="0008735C">
            <w:pPr>
              <w:bidi w:val="0"/>
              <w:jc w:val="right"/>
              <w:rPr>
                <w:color w:val="000000" w:themeColor="tx1" w:themeShade="FF"/>
              </w:rPr>
            </w:pPr>
            <w:r w:rsidRPr="005D6E5F">
              <w:rPr>
                <w:rFonts w:ascii="Times New Roman" w:hAnsi="Times New Roman"/>
                <w:b/>
                <w:bCs/>
                <w:color w:val="000000" w:themeColor="tx1" w:themeShade="FF"/>
                <w:sz w:val="20"/>
                <w:szCs w:val="20"/>
                <w:lang w:eastAsia="sk-SK"/>
              </w:rPr>
              <w:t>552 280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08735C" w:rsidRPr="005D6E5F" w:rsidP="0008735C">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bl>
    <w:p w:rsidR="003A647F" w:rsidRPr="005D6E5F" w:rsidP="007D5748">
      <w:pPr>
        <w:tabs>
          <w:tab w:val="num" w:pos="1080"/>
        </w:tabs>
        <w:bidi w:val="0"/>
        <w:spacing w:after="0" w:line="240" w:lineRule="auto"/>
        <w:ind w:left="-900"/>
        <w:jc w:val="both"/>
        <w:rPr>
          <w:rFonts w:ascii="Times New Roman" w:hAnsi="Times New Roman"/>
          <w:bCs/>
          <w:color w:val="000000" w:themeColor="tx1" w:themeShade="FF"/>
          <w:sz w:val="20"/>
          <w:szCs w:val="20"/>
          <w:lang w:eastAsia="sk-SK"/>
        </w:rPr>
      </w:pPr>
    </w:p>
    <w:p w:rsidR="00087864" w:rsidRPr="005D6E5F" w:rsidP="0008735C">
      <w:pPr>
        <w:bidi w:val="0"/>
        <w:jc w:val="right"/>
        <w:rPr>
          <w:rFonts w:ascii="Times New Roman" w:hAnsi="Times New Roman"/>
          <w:bCs/>
          <w:color w:val="000000" w:themeColor="tx1" w:themeShade="FF"/>
          <w:sz w:val="20"/>
          <w:szCs w:val="20"/>
          <w:lang w:eastAsia="sk-SK"/>
        </w:rPr>
      </w:pPr>
      <w:r w:rsidRPr="005D6E5F">
        <w:rPr>
          <w:rFonts w:ascii="Times New Roman" w:hAnsi="Times New Roman"/>
          <w:bCs/>
          <w:color w:val="000000" w:themeColor="tx1" w:themeShade="FF"/>
          <w:sz w:val="20"/>
          <w:szCs w:val="20"/>
          <w:lang w:eastAsia="sk-SK"/>
        </w:rPr>
        <w:br w:type="page"/>
      </w:r>
    </w:p>
    <w:p w:rsidR="007D5748" w:rsidRPr="005D6E5F" w:rsidP="007D5748">
      <w:pPr>
        <w:tabs>
          <w:tab w:val="num" w:pos="1080"/>
        </w:tabs>
        <w:bidi w:val="0"/>
        <w:spacing w:after="0" w:line="240" w:lineRule="auto"/>
        <w:jc w:val="right"/>
        <w:rPr>
          <w:rFonts w:ascii="Times New Roman" w:hAnsi="Times New Roman"/>
          <w:bCs/>
          <w:color w:val="000000" w:themeColor="tx1" w:themeShade="FF"/>
          <w:sz w:val="24"/>
          <w:szCs w:val="24"/>
          <w:lang w:eastAsia="sk-SK"/>
        </w:rPr>
      </w:pPr>
      <w:r w:rsidRPr="005D6E5F">
        <w:rPr>
          <w:rFonts w:ascii="Times New Roman" w:hAnsi="Times New Roman"/>
          <w:bCs/>
          <w:color w:val="000000" w:themeColor="tx1" w:themeShade="FF"/>
          <w:sz w:val="24"/>
          <w:szCs w:val="24"/>
          <w:lang w:eastAsia="sk-SK"/>
        </w:rPr>
        <w:t xml:space="preserve">                 Tabuľka č. 5 </w:t>
      </w:r>
      <w:r w:rsidRPr="005D6E5F" w:rsidR="0008735C">
        <w:rPr>
          <w:rFonts w:ascii="Times New Roman" w:hAnsi="Times New Roman"/>
          <w:bCs/>
          <w:color w:val="000000" w:themeColor="tx1" w:themeShade="FF"/>
          <w:sz w:val="24"/>
          <w:szCs w:val="24"/>
          <w:lang w:eastAsia="sk-SK"/>
        </w:rPr>
        <w:t>–MV SR</w:t>
      </w:r>
    </w:p>
    <w:p w:rsidR="007D5748" w:rsidRPr="005D6E5F" w:rsidP="007D5748">
      <w:pPr>
        <w:tabs>
          <w:tab w:val="num" w:pos="1080"/>
        </w:tabs>
        <w:bidi w:val="0"/>
        <w:spacing w:after="0" w:line="240" w:lineRule="auto"/>
        <w:jc w:val="both"/>
        <w:rPr>
          <w:rFonts w:ascii="Times New Roman" w:hAnsi="Times New Roman"/>
          <w:bCs/>
          <w:color w:val="000000" w:themeColor="tx1" w:themeShade="FF"/>
          <w:sz w:val="24"/>
          <w:szCs w:val="20"/>
          <w:lang w:eastAsia="sk-SK"/>
        </w:rPr>
      </w:pPr>
    </w:p>
    <w:tbl>
      <w:tblPr>
        <w:tblStyle w:val="TableNormal"/>
        <w:tblW w:w="18935" w:type="dxa"/>
        <w:tblInd w:w="-784" w:type="dxa"/>
        <w:tblCellMar>
          <w:left w:w="70" w:type="dxa"/>
          <w:right w:w="70" w:type="dxa"/>
        </w:tblCellMar>
      </w:tblPr>
      <w:tblGrid>
        <w:gridCol w:w="6188"/>
        <w:gridCol w:w="1698"/>
        <w:gridCol w:w="1788"/>
        <w:gridCol w:w="2418"/>
        <w:gridCol w:w="1722"/>
        <w:gridCol w:w="81"/>
        <w:gridCol w:w="1539"/>
        <w:gridCol w:w="159"/>
        <w:gridCol w:w="2352"/>
        <w:gridCol w:w="990"/>
      </w:tblGrid>
      <w:tr>
        <w:tblPrEx>
          <w:tblW w:w="18935" w:type="dxa"/>
          <w:tblInd w:w="-784" w:type="dxa"/>
          <w:tblCellMar>
            <w:left w:w="70" w:type="dxa"/>
            <w:right w:w="70" w:type="dxa"/>
          </w:tblCellMar>
        </w:tblPrEx>
        <w:trPr>
          <w:gridAfter w:val="3"/>
          <w:wAfter w:w="3501" w:type="dxa"/>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5D6E5F" w:rsidP="007D5748">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poznámka</w:t>
            </w:r>
          </w:p>
        </w:tc>
      </w:tr>
      <w:tr>
        <w:tblPrEx>
          <w:tblW w:w="18935" w:type="dxa"/>
          <w:tblInd w:w="-784" w:type="dxa"/>
          <w:tblCellMar>
            <w:left w:w="70" w:type="dxa"/>
            <w:right w:w="70" w:type="dxa"/>
          </w:tblCellMar>
        </w:tblPrEx>
        <w:trPr>
          <w:gridAfter w:val="3"/>
          <w:wAfter w:w="3501" w:type="dxa"/>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rPr>
                <w:rFonts w:ascii="Times New Roman" w:hAnsi="Times New Roman"/>
                <w:b/>
                <w:bCs/>
                <w:color w:val="000000" w:themeColor="tx1" w:themeShade="FF"/>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5D6E5F" w:rsidP="00E929FA">
            <w:pPr>
              <w:bidi w:val="0"/>
              <w:spacing w:after="0" w:line="240" w:lineRule="auto"/>
              <w:jc w:val="center"/>
              <w:rPr>
                <w:rFonts w:ascii="Times New Roman" w:hAnsi="Times New Roman"/>
                <w:b/>
                <w:bCs/>
                <w:color w:val="000000" w:themeColor="tx1" w:themeShade="FF"/>
                <w:sz w:val="24"/>
                <w:szCs w:val="24"/>
                <w:lang w:eastAsia="sk-SK"/>
              </w:rPr>
            </w:pPr>
            <w:r w:rsidRPr="005D6E5F" w:rsidR="002A2E2B">
              <w:rPr>
                <w:rFonts w:ascii="Times New Roman" w:hAnsi="Times New Roman"/>
                <w:b/>
                <w:bCs/>
                <w:color w:val="000000" w:themeColor="tx1" w:themeShade="FF"/>
                <w:sz w:val="24"/>
                <w:szCs w:val="24"/>
                <w:lang w:eastAsia="sk-SK"/>
              </w:rPr>
              <w:t>20</w:t>
            </w:r>
            <w:r w:rsidRPr="005D6E5F" w:rsidR="00854987">
              <w:rPr>
                <w:rFonts w:ascii="Times New Roman" w:hAnsi="Times New Roman"/>
                <w:b/>
                <w:bCs/>
                <w:color w:val="000000" w:themeColor="tx1" w:themeShade="FF"/>
                <w:sz w:val="24"/>
                <w:szCs w:val="24"/>
                <w:lang w:eastAsia="sk-SK"/>
              </w:rPr>
              <w:t>21</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5D6E5F" w:rsidP="00E929FA">
            <w:pPr>
              <w:bidi w:val="0"/>
              <w:spacing w:after="0" w:line="240" w:lineRule="auto"/>
              <w:jc w:val="center"/>
              <w:rPr>
                <w:rFonts w:ascii="Times New Roman" w:hAnsi="Times New Roman"/>
                <w:b/>
                <w:bCs/>
                <w:color w:val="000000" w:themeColor="tx1" w:themeShade="FF"/>
                <w:sz w:val="24"/>
                <w:szCs w:val="24"/>
                <w:lang w:eastAsia="sk-SK"/>
              </w:rPr>
            </w:pPr>
            <w:r w:rsidRPr="005D6E5F" w:rsidR="002A2E2B">
              <w:rPr>
                <w:rFonts w:ascii="Times New Roman" w:hAnsi="Times New Roman"/>
                <w:b/>
                <w:bCs/>
                <w:color w:val="000000" w:themeColor="tx1" w:themeShade="FF"/>
                <w:sz w:val="24"/>
                <w:szCs w:val="24"/>
                <w:lang w:eastAsia="sk-SK"/>
              </w:rPr>
              <w:t>20</w:t>
            </w:r>
            <w:r w:rsidRPr="005D6E5F" w:rsidR="00CE0EDC">
              <w:rPr>
                <w:rFonts w:ascii="Times New Roman" w:hAnsi="Times New Roman"/>
                <w:b/>
                <w:bCs/>
                <w:color w:val="000000" w:themeColor="tx1" w:themeShade="FF"/>
                <w:sz w:val="24"/>
                <w:szCs w:val="24"/>
                <w:lang w:eastAsia="sk-SK"/>
              </w:rPr>
              <w:t>2</w:t>
            </w:r>
            <w:r w:rsidRPr="005D6E5F" w:rsidR="00854987">
              <w:rPr>
                <w:rFonts w:ascii="Times New Roman" w:hAnsi="Times New Roman"/>
                <w:b/>
                <w:bCs/>
                <w:color w:val="000000" w:themeColor="tx1" w:themeShade="FF"/>
                <w:sz w:val="24"/>
                <w:szCs w:val="24"/>
                <w:lang w:eastAsia="sk-SK"/>
              </w:rPr>
              <w:t>2</w:t>
            </w:r>
          </w:p>
        </w:tc>
        <w:tc>
          <w:tcPr>
            <w:tcW w:w="2418" w:type="dxa"/>
            <w:tcBorders>
              <w:top w:val="nil"/>
              <w:left w:val="nil"/>
              <w:bottom w:val="single" w:sz="4" w:space="0" w:color="auto"/>
              <w:right w:val="single" w:sz="4" w:space="0" w:color="auto"/>
            </w:tcBorders>
            <w:shd w:val="clear" w:color="auto" w:fill="BFBFBF"/>
            <w:textDirection w:val="lrTb"/>
            <w:vAlign w:val="top"/>
          </w:tcPr>
          <w:p w:rsidR="007D5748" w:rsidRPr="005D6E5F" w:rsidP="00E929FA">
            <w:pPr>
              <w:bidi w:val="0"/>
              <w:spacing w:after="0" w:line="240" w:lineRule="auto"/>
              <w:jc w:val="center"/>
              <w:rPr>
                <w:rFonts w:ascii="Times New Roman" w:hAnsi="Times New Roman"/>
                <w:b/>
                <w:bCs/>
                <w:color w:val="000000" w:themeColor="tx1" w:themeShade="FF"/>
                <w:sz w:val="24"/>
                <w:szCs w:val="24"/>
                <w:lang w:eastAsia="sk-SK"/>
              </w:rPr>
            </w:pPr>
            <w:r w:rsidRPr="005D6E5F" w:rsidR="002A2E2B">
              <w:rPr>
                <w:rFonts w:ascii="Times New Roman" w:hAnsi="Times New Roman"/>
                <w:b/>
                <w:bCs/>
                <w:color w:val="000000" w:themeColor="tx1" w:themeShade="FF"/>
                <w:sz w:val="24"/>
                <w:szCs w:val="24"/>
                <w:lang w:eastAsia="sk-SK"/>
              </w:rPr>
              <w:t>20</w:t>
            </w:r>
            <w:r w:rsidRPr="005D6E5F" w:rsidR="00CE0EDC">
              <w:rPr>
                <w:rFonts w:ascii="Times New Roman" w:hAnsi="Times New Roman"/>
                <w:b/>
                <w:bCs/>
                <w:color w:val="000000" w:themeColor="tx1" w:themeShade="FF"/>
                <w:sz w:val="24"/>
                <w:szCs w:val="24"/>
                <w:lang w:eastAsia="sk-SK"/>
              </w:rPr>
              <w:t>2</w:t>
            </w:r>
            <w:r w:rsidRPr="005D6E5F" w:rsidR="00854987">
              <w:rPr>
                <w:rFonts w:ascii="Times New Roman" w:hAnsi="Times New Roman"/>
                <w:b/>
                <w:bCs/>
                <w:color w:val="000000" w:themeColor="tx1" w:themeShade="FF"/>
                <w:sz w:val="24"/>
                <w:szCs w:val="24"/>
                <w:lang w:eastAsia="sk-SK"/>
              </w:rPr>
              <w:t>3</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5D6E5F" w:rsidP="00E929FA">
            <w:pPr>
              <w:bidi w:val="0"/>
              <w:spacing w:after="0" w:line="240" w:lineRule="auto"/>
              <w:jc w:val="center"/>
              <w:rPr>
                <w:rFonts w:ascii="Times New Roman" w:hAnsi="Times New Roman"/>
                <w:b/>
                <w:bCs/>
                <w:color w:val="000000" w:themeColor="tx1" w:themeShade="FF"/>
                <w:sz w:val="24"/>
                <w:szCs w:val="24"/>
                <w:lang w:eastAsia="sk-SK"/>
              </w:rPr>
            </w:pPr>
            <w:r w:rsidRPr="005D6E5F" w:rsidR="002A2E2B">
              <w:rPr>
                <w:rFonts w:ascii="Times New Roman" w:hAnsi="Times New Roman"/>
                <w:b/>
                <w:bCs/>
                <w:color w:val="000000" w:themeColor="tx1" w:themeShade="FF"/>
                <w:sz w:val="24"/>
                <w:szCs w:val="24"/>
                <w:lang w:eastAsia="sk-SK"/>
              </w:rPr>
              <w:t>20</w:t>
            </w:r>
            <w:r w:rsidRPr="005D6E5F" w:rsidR="00E50785">
              <w:rPr>
                <w:rFonts w:ascii="Times New Roman" w:hAnsi="Times New Roman"/>
                <w:b/>
                <w:bCs/>
                <w:color w:val="000000" w:themeColor="tx1" w:themeShade="FF"/>
                <w:sz w:val="24"/>
                <w:szCs w:val="24"/>
                <w:lang w:eastAsia="sk-SK"/>
              </w:rPr>
              <w:t>2</w:t>
            </w:r>
            <w:r w:rsidRPr="005D6E5F" w:rsidR="00854987">
              <w:rPr>
                <w:rFonts w:ascii="Times New Roman" w:hAnsi="Times New Roman"/>
                <w:b/>
                <w:bCs/>
                <w:color w:val="000000" w:themeColor="tx1" w:themeShade="FF"/>
                <w:sz w:val="24"/>
                <w:szCs w:val="24"/>
                <w:lang w:eastAsia="sk-SK"/>
              </w:rPr>
              <w:t>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5D6E5F" w:rsidP="007D5748">
            <w:pPr>
              <w:bidi w:val="0"/>
              <w:spacing w:after="0" w:line="240" w:lineRule="auto"/>
              <w:rPr>
                <w:rFonts w:ascii="Times New Roman" w:hAnsi="Times New Roman"/>
                <w:b/>
                <w:bCs/>
                <w:color w:val="000000" w:themeColor="tx1" w:themeShade="FF"/>
                <w:sz w:val="24"/>
                <w:szCs w:val="24"/>
                <w:lang w:eastAsia="sk-SK"/>
              </w:rPr>
            </w:pP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241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1722"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1620" w:type="dxa"/>
            <w:gridSpan w:val="2"/>
            <w:tcBorders>
              <w:top w:val="nil"/>
              <w:left w:val="nil"/>
              <w:bottom w:val="single" w:sz="4" w:space="0" w:color="auto"/>
              <w:right w:val="single" w:sz="4" w:space="0" w:color="auto"/>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2418" w:type="dxa"/>
            <w:tcBorders>
              <w:top w:val="single" w:sz="4" w:space="0" w:color="auto"/>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1722" w:type="dxa"/>
            <w:tcBorders>
              <w:top w:val="single" w:sz="4" w:space="0" w:color="auto"/>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35</w:t>
            </w:r>
          </w:p>
        </w:tc>
        <w:tc>
          <w:tcPr>
            <w:tcW w:w="1620" w:type="dxa"/>
            <w:gridSpan w:val="2"/>
            <w:tcBorders>
              <w:top w:val="nil"/>
              <w:left w:val="nil"/>
              <w:bottom w:val="single" w:sz="4" w:space="0" w:color="auto"/>
              <w:right w:val="single" w:sz="4" w:space="0" w:color="auto"/>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621E7A" w:rsidRPr="005D6E5F" w:rsidP="00621E7A">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bCs/>
                <w:color w:val="000000" w:themeColor="tx1" w:themeShade="FF"/>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942,50</w:t>
            </w:r>
          </w:p>
        </w:tc>
        <w:tc>
          <w:tcPr>
            <w:tcW w:w="2418"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942,50</w:t>
            </w:r>
          </w:p>
        </w:tc>
        <w:tc>
          <w:tcPr>
            <w:tcW w:w="1722"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942,50</w:t>
            </w:r>
          </w:p>
        </w:tc>
        <w:tc>
          <w:tcPr>
            <w:tcW w:w="1620" w:type="dxa"/>
            <w:gridSpan w:val="2"/>
            <w:tcBorders>
              <w:top w:val="nil"/>
              <w:left w:val="nil"/>
              <w:bottom w:val="single" w:sz="4" w:space="0" w:color="auto"/>
              <w:right w:val="single" w:sz="4" w:space="0" w:color="auto"/>
            </w:tcBorders>
            <w:noWrap/>
            <w:textDirection w:val="lrTb"/>
            <w:vAlign w:val="bottom"/>
          </w:tcPr>
          <w:p w:rsidR="00621E7A" w:rsidRPr="005D6E5F" w:rsidP="00621E7A">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621E7A" w:rsidRPr="005D6E5F" w:rsidP="00621E7A">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color w:val="000000" w:themeColor="tx1" w:themeShade="FF"/>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942,50</w:t>
            </w:r>
          </w:p>
        </w:tc>
        <w:tc>
          <w:tcPr>
            <w:tcW w:w="2418"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942,50</w:t>
            </w:r>
          </w:p>
        </w:tc>
        <w:tc>
          <w:tcPr>
            <w:tcW w:w="1722" w:type="dxa"/>
            <w:tcBorders>
              <w:top w:val="single" w:sz="4" w:space="0" w:color="auto"/>
              <w:left w:val="nil"/>
              <w:bottom w:val="single" w:sz="4" w:space="0" w:color="auto"/>
              <w:right w:val="single" w:sz="4" w:space="0" w:color="auto"/>
            </w:tcBorders>
            <w:textDirection w:val="lrTb"/>
            <w:vAlign w:val="top"/>
          </w:tcPr>
          <w:p w:rsidR="00621E7A" w:rsidRPr="005D6E5F" w:rsidP="00621E7A">
            <w:pPr>
              <w:bidi w:val="0"/>
              <w:spacing w:after="0" w:line="240" w:lineRule="auto"/>
              <w:jc w:val="center"/>
              <w:rPr>
                <w:rFonts w:ascii="Times New Roman" w:hAnsi="Times New Roman"/>
                <w:b/>
                <w:color w:val="000000" w:themeColor="tx1" w:themeShade="FF"/>
                <w:sz w:val="24"/>
                <w:szCs w:val="24"/>
                <w:lang w:eastAsia="sk-SK"/>
              </w:rPr>
            </w:pPr>
            <w:r w:rsidRPr="005D6E5F">
              <w:rPr>
                <w:rFonts w:ascii="Times New Roman" w:hAnsi="Times New Roman"/>
                <w:b/>
                <w:color w:val="000000" w:themeColor="tx1" w:themeShade="FF"/>
                <w:sz w:val="24"/>
                <w:szCs w:val="24"/>
                <w:lang w:eastAsia="sk-SK"/>
              </w:rPr>
              <w:t>942,50</w:t>
            </w:r>
          </w:p>
        </w:tc>
        <w:tc>
          <w:tcPr>
            <w:tcW w:w="1620" w:type="dxa"/>
            <w:gridSpan w:val="2"/>
            <w:tcBorders>
              <w:top w:val="nil"/>
              <w:left w:val="nil"/>
              <w:bottom w:val="single" w:sz="4" w:space="0" w:color="auto"/>
              <w:right w:val="single" w:sz="4" w:space="0" w:color="auto"/>
            </w:tcBorders>
            <w:noWrap/>
            <w:textDirection w:val="lrTb"/>
            <w:vAlign w:val="bottom"/>
          </w:tcPr>
          <w:p w:rsidR="00621E7A" w:rsidRPr="005D6E5F" w:rsidP="00621E7A">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517 280</w:t>
            </w:r>
          </w:p>
        </w:tc>
        <w:tc>
          <w:tcPr>
            <w:tcW w:w="2418" w:type="dxa"/>
            <w:tcBorders>
              <w:top w:val="nil"/>
              <w:left w:val="nil"/>
              <w:bottom w:val="single" w:sz="4" w:space="0" w:color="auto"/>
              <w:right w:val="single" w:sz="4" w:space="0" w:color="auto"/>
            </w:tcBorders>
            <w:shd w:val="clear" w:color="auto" w:fill="BFBFBF"/>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517 280</w:t>
            </w:r>
          </w:p>
        </w:tc>
        <w:tc>
          <w:tcPr>
            <w:tcW w:w="1722" w:type="dxa"/>
            <w:tcBorders>
              <w:top w:val="nil"/>
              <w:left w:val="nil"/>
              <w:bottom w:val="single" w:sz="4" w:space="0" w:color="auto"/>
              <w:right w:val="single" w:sz="4" w:space="0" w:color="auto"/>
            </w:tcBorders>
            <w:shd w:val="clear" w:color="auto" w:fill="BFBFBF"/>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517 280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372 900</w:t>
            </w:r>
          </w:p>
        </w:tc>
        <w:tc>
          <w:tcPr>
            <w:tcW w:w="241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372 900</w:t>
            </w:r>
          </w:p>
        </w:tc>
        <w:tc>
          <w:tcPr>
            <w:tcW w:w="1722"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372 900</w:t>
            </w:r>
          </w:p>
        </w:tc>
        <w:tc>
          <w:tcPr>
            <w:tcW w:w="1620" w:type="dxa"/>
            <w:gridSpan w:val="2"/>
            <w:tcBorders>
              <w:top w:val="nil"/>
              <w:left w:val="nil"/>
              <w:bottom w:val="single" w:sz="4" w:space="0" w:color="auto"/>
              <w:right w:val="single" w:sz="4" w:space="0" w:color="auto"/>
            </w:tcBorders>
            <w:noWrap/>
            <w:textDirection w:val="lrTb"/>
            <w:vAlign w:val="bottom"/>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A97616" w:rsidRPr="005D6E5F" w:rsidP="00A97616">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372 900</w:t>
            </w:r>
          </w:p>
        </w:tc>
        <w:tc>
          <w:tcPr>
            <w:tcW w:w="241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372 900</w:t>
            </w:r>
          </w:p>
        </w:tc>
        <w:tc>
          <w:tcPr>
            <w:tcW w:w="1722"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372 900</w:t>
            </w:r>
          </w:p>
        </w:tc>
        <w:tc>
          <w:tcPr>
            <w:tcW w:w="1620" w:type="dxa"/>
            <w:gridSpan w:val="2"/>
            <w:tcBorders>
              <w:top w:val="nil"/>
              <w:left w:val="nil"/>
              <w:bottom w:val="single" w:sz="4" w:space="0" w:color="auto"/>
              <w:right w:val="single" w:sz="4" w:space="0" w:color="auto"/>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144 380</w:t>
            </w:r>
          </w:p>
        </w:tc>
        <w:tc>
          <w:tcPr>
            <w:tcW w:w="241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144 380</w:t>
            </w:r>
          </w:p>
        </w:tc>
        <w:tc>
          <w:tcPr>
            <w:tcW w:w="1722"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144 380</w:t>
            </w:r>
          </w:p>
        </w:tc>
        <w:tc>
          <w:tcPr>
            <w:tcW w:w="1620" w:type="dxa"/>
            <w:gridSpan w:val="2"/>
            <w:tcBorders>
              <w:top w:val="nil"/>
              <w:left w:val="nil"/>
              <w:bottom w:val="single" w:sz="4" w:space="0" w:color="auto"/>
              <w:right w:val="single" w:sz="4" w:space="0" w:color="auto"/>
            </w:tcBorders>
            <w:noWrap/>
            <w:textDirection w:val="lrTb"/>
            <w:vAlign w:val="bottom"/>
          </w:tcPr>
          <w:p w:rsidR="00A97616" w:rsidRPr="005D6E5F" w:rsidP="00A97616">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single" w:sz="4" w:space="0" w:color="auto"/>
              <w:bottom w:val="single" w:sz="4" w:space="0" w:color="auto"/>
              <w:right w:val="single" w:sz="4" w:space="0" w:color="auto"/>
            </w:tcBorders>
            <w:textDirection w:val="lrTb"/>
            <w:vAlign w:val="top"/>
          </w:tcPr>
          <w:p w:rsidR="00A97616" w:rsidRPr="005D6E5F" w:rsidP="00A97616">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144 380</w:t>
            </w:r>
          </w:p>
        </w:tc>
        <w:tc>
          <w:tcPr>
            <w:tcW w:w="2418"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144 380</w:t>
            </w:r>
          </w:p>
        </w:tc>
        <w:tc>
          <w:tcPr>
            <w:tcW w:w="1722" w:type="dxa"/>
            <w:tcBorders>
              <w:top w:val="nil"/>
              <w:left w:val="nil"/>
              <w:bottom w:val="single" w:sz="4" w:space="0" w:color="auto"/>
              <w:right w:val="single" w:sz="4" w:space="0" w:color="auto"/>
            </w:tcBorders>
            <w:textDirection w:val="lrTb"/>
            <w:vAlign w:val="top"/>
          </w:tcPr>
          <w:p w:rsidR="00A97616" w:rsidRPr="005D6E5F" w:rsidP="00A97616">
            <w:pPr>
              <w:bidi w:val="0"/>
              <w:spacing w:after="0" w:line="240" w:lineRule="auto"/>
              <w:jc w:val="center"/>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144 380</w:t>
            </w:r>
          </w:p>
        </w:tc>
        <w:tc>
          <w:tcPr>
            <w:tcW w:w="1620" w:type="dxa"/>
            <w:gridSpan w:val="2"/>
            <w:tcBorders>
              <w:top w:val="nil"/>
              <w:left w:val="nil"/>
              <w:bottom w:val="single" w:sz="4" w:space="0" w:color="auto"/>
              <w:right w:val="single" w:sz="4" w:space="0" w:color="auto"/>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r w:rsidRPr="005D6E5F">
              <w:rPr>
                <w:rFonts w:ascii="Times New Roman" w:hAnsi="Times New Roman"/>
                <w:color w:val="000000" w:themeColor="tx1" w:themeShade="FF"/>
                <w:sz w:val="24"/>
                <w:szCs w:val="24"/>
                <w:lang w:eastAsia="sk-SK"/>
              </w:rPr>
              <w:t> </w:t>
            </w: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69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78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241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722"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620" w:type="dxa"/>
            <w:gridSpan w:val="2"/>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r>
      <w:tr>
        <w:tblPrEx>
          <w:tblW w:w="18935" w:type="dxa"/>
          <w:tblInd w:w="-784" w:type="dxa"/>
          <w:tblCellMar>
            <w:left w:w="70" w:type="dxa"/>
            <w:right w:w="70" w:type="dxa"/>
          </w:tblCellMar>
        </w:tblPrEx>
        <w:trPr>
          <w:gridAfter w:val="3"/>
          <w:wAfter w:w="3501" w:type="dxa"/>
          <w:trHeight w:val="255"/>
        </w:trPr>
        <w:tc>
          <w:tcPr>
            <w:tcW w:w="6188" w:type="dxa"/>
            <w:tcBorders>
              <w:top w:val="nil"/>
              <w:left w:val="nil"/>
              <w:bottom w:val="nil"/>
              <w:right w:val="nil"/>
            </w:tcBorders>
            <w:textDirection w:val="lrTb"/>
            <w:vAlign w:val="top"/>
          </w:tcPr>
          <w:p w:rsidR="007D5748" w:rsidRPr="005D6E5F" w:rsidP="007D5748">
            <w:pPr>
              <w:bidi w:val="0"/>
              <w:spacing w:after="0" w:line="240" w:lineRule="auto"/>
              <w:rPr>
                <w:rFonts w:ascii="Times New Roman" w:hAnsi="Times New Roman"/>
                <w:b/>
                <w:bCs/>
                <w:color w:val="000000" w:themeColor="tx1" w:themeShade="FF"/>
                <w:sz w:val="24"/>
                <w:szCs w:val="24"/>
                <w:lang w:eastAsia="sk-SK"/>
              </w:rPr>
            </w:pPr>
            <w:r w:rsidRPr="005D6E5F">
              <w:rPr>
                <w:rFonts w:ascii="Times New Roman" w:hAnsi="Times New Roman"/>
                <w:b/>
                <w:bCs/>
                <w:color w:val="000000" w:themeColor="tx1" w:themeShade="FF"/>
                <w:sz w:val="24"/>
                <w:szCs w:val="24"/>
                <w:lang w:eastAsia="sk-SK"/>
              </w:rPr>
              <w:t>Poznámky:</w:t>
            </w:r>
          </w:p>
        </w:tc>
        <w:tc>
          <w:tcPr>
            <w:tcW w:w="169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78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2418"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722" w:type="dxa"/>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c>
          <w:tcPr>
            <w:tcW w:w="1620" w:type="dxa"/>
            <w:gridSpan w:val="2"/>
            <w:tcBorders>
              <w:top w:val="nil"/>
              <w:left w:val="nil"/>
              <w:bottom w:val="nil"/>
              <w:right w:val="nil"/>
            </w:tcBorders>
            <w:noWrap/>
            <w:textDirection w:val="lrTb"/>
            <w:vAlign w:val="bottom"/>
          </w:tcPr>
          <w:p w:rsidR="007D5748" w:rsidRPr="005D6E5F" w:rsidP="007D5748">
            <w:pPr>
              <w:bidi w:val="0"/>
              <w:spacing w:after="0" w:line="240" w:lineRule="auto"/>
              <w:rPr>
                <w:rFonts w:ascii="Times New Roman" w:hAnsi="Times New Roman"/>
                <w:color w:val="000000" w:themeColor="tx1" w:themeShade="FF"/>
                <w:sz w:val="24"/>
                <w:szCs w:val="24"/>
                <w:lang w:eastAsia="sk-SK"/>
              </w:rPr>
            </w:pPr>
          </w:p>
        </w:tc>
      </w:tr>
      <w:tr>
        <w:tblPrEx>
          <w:tblW w:w="18935" w:type="dxa"/>
          <w:tblInd w:w="-784" w:type="dxa"/>
          <w:tblCellMar>
            <w:left w:w="70" w:type="dxa"/>
            <w:right w:w="70" w:type="dxa"/>
          </w:tblCellMar>
        </w:tblPrEx>
        <w:trPr>
          <w:gridAfter w:val="3"/>
          <w:wAfter w:w="3501" w:type="dxa"/>
          <w:trHeight w:val="255"/>
        </w:trPr>
        <w:tc>
          <w:tcPr>
            <w:tcW w:w="13814" w:type="dxa"/>
            <w:gridSpan w:val="5"/>
            <w:tcBorders>
              <w:top w:val="nil"/>
              <w:left w:val="nil"/>
              <w:bottom w:val="nil"/>
              <w:right w:val="nil"/>
            </w:tcBorders>
            <w:noWrap/>
            <w:textDirection w:val="lrTb"/>
            <w:vAlign w:val="top"/>
          </w:tcPr>
          <w:p w:rsidR="00A97616" w:rsidRPr="005D6E5F" w:rsidP="00A97616">
            <w:pPr>
              <w:bidi w:val="0"/>
              <w:rPr>
                <w:rFonts w:ascii="Times New Roman" w:hAnsi="Times New Roman"/>
                <w:color w:val="000000" w:themeColor="tx1" w:themeShade="FF"/>
              </w:rPr>
            </w:pPr>
            <w:r w:rsidRPr="005D6E5F">
              <w:rPr>
                <w:rFonts w:ascii="Times New Roman" w:hAnsi="Times New Roman"/>
                <w:color w:val="000000" w:themeColor="tx1" w:themeShade="FF"/>
              </w:rPr>
              <w:t>Náklady na personálne posilnenie CLZAČ (pokutárne) - 25 pracovníkov - ročné náklady spolu 330 000 eur</w:t>
            </w:r>
          </w:p>
          <w:p w:rsidR="00A97616" w:rsidRPr="005D6E5F" w:rsidP="00A97616">
            <w:pPr>
              <w:bidi w:val="0"/>
              <w:rPr>
                <w:rFonts w:ascii="Times New Roman" w:hAnsi="Times New Roman"/>
                <w:color w:val="000000" w:themeColor="tx1" w:themeShade="FF"/>
              </w:rPr>
            </w:pPr>
            <w:r w:rsidRPr="005D6E5F">
              <w:rPr>
                <w:rFonts w:ascii="Times New Roman" w:hAnsi="Times New Roman"/>
                <w:color w:val="000000" w:themeColor="tx1" w:themeShade="FF"/>
              </w:rPr>
              <w:t xml:space="preserve">Z toho: na jedného zamestnanca pri výkone práce vo verejnom záujme spolu 1 100 €, z toho v kat. 610 – Mzdy v sume 815 € a v kat. 620 – Poistné v sume 285 €. Ročný vplyv pre 25 zamestnancov pri výkone   práce vo verejnom záujme predstavuje spolu 330 000 €, z toho v kat. 610 – Mzdy v sume 244 500 € a v kat. 620 – Poistné v sume 85 500 €) </w:t>
            </w:r>
          </w:p>
        </w:tc>
        <w:tc>
          <w:tcPr>
            <w:tcW w:w="1620" w:type="dxa"/>
            <w:gridSpan w:val="2"/>
            <w:tcBorders>
              <w:top w:val="nil"/>
              <w:left w:val="nil"/>
              <w:bottom w:val="nil"/>
              <w:right w:val="nil"/>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p>
        </w:tc>
      </w:tr>
      <w:tr>
        <w:tblPrEx>
          <w:tblW w:w="18935" w:type="dxa"/>
          <w:tblInd w:w="-784" w:type="dxa"/>
          <w:tblCellMar>
            <w:left w:w="70" w:type="dxa"/>
            <w:right w:w="70" w:type="dxa"/>
          </w:tblCellMar>
        </w:tblPrEx>
        <w:trPr>
          <w:trHeight w:val="255"/>
        </w:trPr>
        <w:tc>
          <w:tcPr>
            <w:tcW w:w="13895" w:type="dxa"/>
            <w:gridSpan w:val="6"/>
            <w:tcBorders>
              <w:top w:val="nil"/>
              <w:left w:val="nil"/>
              <w:bottom w:val="nil"/>
              <w:right w:val="nil"/>
            </w:tcBorders>
            <w:noWrap/>
            <w:textDirection w:val="lrTb"/>
            <w:vAlign w:val="top"/>
          </w:tcPr>
          <w:p w:rsidR="00A97616" w:rsidRPr="005D6E5F" w:rsidP="00A97616">
            <w:pPr>
              <w:bidi w:val="0"/>
              <w:rPr>
                <w:rFonts w:ascii="Times New Roman" w:hAnsi="Times New Roman"/>
                <w:color w:val="000000" w:themeColor="tx1" w:themeShade="FF"/>
              </w:rPr>
            </w:pPr>
            <w:r w:rsidRPr="005D6E5F">
              <w:rPr>
                <w:rFonts w:ascii="Times New Roman" w:hAnsi="Times New Roman"/>
                <w:color w:val="000000" w:themeColor="tx1" w:themeShade="FF"/>
              </w:rPr>
              <w:t xml:space="preserve"> Náklady na personálne posilnenie OÚ v sídle kraja - 10 pracovníkov - ročné náklady spolu 173 280 eur </w:t>
            </w:r>
          </w:p>
          <w:p w:rsidR="00A97616" w:rsidRPr="005D6E5F" w:rsidP="00A97616">
            <w:pPr>
              <w:bidi w:val="0"/>
              <w:rPr>
                <w:rFonts w:ascii="Times New Roman" w:hAnsi="Times New Roman"/>
                <w:color w:val="000000" w:themeColor="tx1" w:themeShade="FF"/>
              </w:rPr>
            </w:pPr>
            <w:r w:rsidRPr="005D6E5F">
              <w:rPr>
                <w:rFonts w:ascii="Times New Roman" w:hAnsi="Times New Roman"/>
                <w:color w:val="000000" w:themeColor="tx1" w:themeShade="FF"/>
              </w:rPr>
              <w:t xml:space="preserve">Z toho: na jedného štátneho zamestnanca spolu 1 444 €, z toho v kat. 610 – Mzdy v sume 1 070 € a v kat. 620 – poistné v sume 374 €. Ročný vplyv pre 10 štátnych zamestnancov predstavuje spolu 173 280 €,z toho v kat. 610 – Mzdy v sume 128 400 € a v kat. 620 – Poistné v sume 44 880 €) </w:t>
            </w:r>
          </w:p>
        </w:tc>
        <w:tc>
          <w:tcPr>
            <w:tcW w:w="1698" w:type="dxa"/>
            <w:gridSpan w:val="2"/>
            <w:tcBorders>
              <w:top w:val="nil"/>
              <w:left w:val="nil"/>
              <w:bottom w:val="nil"/>
              <w:right w:val="nil"/>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p>
        </w:tc>
        <w:tc>
          <w:tcPr>
            <w:tcW w:w="2352" w:type="dxa"/>
            <w:tcBorders>
              <w:top w:val="nil"/>
              <w:left w:val="nil"/>
              <w:bottom w:val="nil"/>
              <w:right w:val="nil"/>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p>
        </w:tc>
        <w:tc>
          <w:tcPr>
            <w:tcW w:w="990" w:type="dxa"/>
            <w:tcBorders>
              <w:top w:val="nil"/>
              <w:left w:val="nil"/>
              <w:bottom w:val="nil"/>
              <w:right w:val="nil"/>
            </w:tcBorders>
            <w:noWrap/>
            <w:textDirection w:val="lrTb"/>
            <w:vAlign w:val="bottom"/>
          </w:tcPr>
          <w:p w:rsidR="00A97616" w:rsidRPr="005D6E5F" w:rsidP="00A97616">
            <w:pPr>
              <w:bidi w:val="0"/>
              <w:spacing w:after="0" w:line="240" w:lineRule="auto"/>
              <w:rPr>
                <w:rFonts w:ascii="Times New Roman" w:hAnsi="Times New Roman"/>
                <w:color w:val="000000" w:themeColor="tx1" w:themeShade="FF"/>
                <w:sz w:val="24"/>
                <w:szCs w:val="24"/>
                <w:lang w:eastAsia="sk-SK"/>
              </w:rPr>
            </w:pPr>
          </w:p>
        </w:tc>
      </w:tr>
    </w:tbl>
    <w:p w:rsidR="007D5748" w:rsidRPr="005D6E5F" w:rsidP="007D5748">
      <w:pPr>
        <w:bidi w:val="0"/>
        <w:spacing w:after="0" w:line="240" w:lineRule="auto"/>
        <w:rPr>
          <w:rFonts w:ascii="Times New Roman" w:hAnsi="Times New Roman"/>
          <w:b/>
          <w:bCs/>
          <w:color w:val="000000" w:themeColor="tx1" w:themeShade="FF"/>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jc w:val="center"/>
              <w:rPr>
                <w:rFonts w:ascii="Times New Roman" w:hAnsi="Times New Roman"/>
                <w:b/>
                <w:color w:val="000000" w:themeColor="tx1" w:themeShade="FF"/>
                <w:sz w:val="28"/>
                <w:szCs w:val="28"/>
              </w:rPr>
            </w:pPr>
            <w:r w:rsidRPr="005D6E5F">
              <w:rPr>
                <w:rFonts w:ascii="Times New Roman" w:hAnsi="Times New Roman"/>
                <w:b/>
                <w:color w:val="000000" w:themeColor="tx1" w:themeShade="FF"/>
                <w:sz w:val="28"/>
                <w:szCs w:val="28"/>
              </w:rPr>
              <w:t xml:space="preserve">Analýza vplyvov na podnikateľské prostredie </w:t>
            </w:r>
          </w:p>
          <w:p w:rsidR="00DD5451" w:rsidRPr="005D6E5F" w:rsidP="00BA78E4">
            <w:pPr>
              <w:bidi w:val="0"/>
              <w:spacing w:after="0" w:line="240" w:lineRule="auto"/>
              <w:jc w:val="center"/>
              <w:rPr>
                <w:rFonts w:ascii="Times New Roman" w:hAnsi="Times New Roman"/>
                <w:b/>
                <w:color w:val="000000" w:themeColor="tx1" w:themeShade="FF"/>
                <w:sz w:val="24"/>
                <w:szCs w:val="24"/>
              </w:rPr>
            </w:pPr>
            <w:r w:rsidRPr="005D6E5F">
              <w:rPr>
                <w:rFonts w:ascii="Times New Roman" w:hAnsi="Times New Roman"/>
                <w:b/>
                <w:color w:val="000000" w:themeColor="tx1" w:themeShade="FF"/>
                <w:sz w:val="24"/>
                <w:szCs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Mincho" w:hAnsi="Segoe UI Symbol" w:cs="Segoe UI Symbol" w:hint="default"/>
                      <w:color w:val="000000" w:themeColor="tx1" w:themeShade="FF"/>
                      <w:sz w:val="20"/>
                      <w:szCs w:val="20"/>
                    </w:rPr>
                    <w:t>☐</w:t>
                  </w:r>
                </w:p>
              </w:tc>
              <w:tc>
                <w:tcPr>
                  <w:tcW w:w="8545" w:type="dxa"/>
                  <w:tcBorders>
                    <w:top w:val="nil"/>
                    <w:left w:val="nil"/>
                    <w:bottom w:val="nil"/>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Mincho" w:hAnsi="Segoe UI Symbol" w:cs="Segoe UI Symbol" w:hint="default"/>
                      <w:color w:val="000000" w:themeColor="tx1" w:themeShade="FF"/>
                      <w:sz w:val="20"/>
                      <w:szCs w:val="20"/>
                    </w:rPr>
                    <w:t>☐</w:t>
                  </w:r>
                </w:p>
              </w:tc>
              <w:tc>
                <w:tcPr>
                  <w:tcW w:w="8545" w:type="dxa"/>
                  <w:tcBorders>
                    <w:top w:val="nil"/>
                    <w:left w:val="nil"/>
                    <w:bottom w:val="nil"/>
                    <w:right w:val="nil"/>
                  </w:tcBorders>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DD5451" w:rsidRPr="005D6E5F" w:rsidP="00BA78E4">
                  <w:pPr>
                    <w:bidi w:val="0"/>
                    <w:spacing w:after="0" w:line="240" w:lineRule="auto"/>
                    <w:jc w:val="center"/>
                    <w:rPr>
                      <w:rFonts w:ascii="Times New Roman" w:hAnsi="Times New Roman"/>
                      <w:color w:val="000000" w:themeColor="tx1" w:themeShade="FF"/>
                      <w:sz w:val="20"/>
                      <w:szCs w:val="20"/>
                    </w:rPr>
                  </w:pPr>
                  <w:r w:rsidRPr="005D6E5F">
                    <w:rPr>
                      <w:rFonts w:ascii="Segoe UI Symbol" w:eastAsia="MS Gothic" w:hAnsi="Segoe UI Symbol" w:cs="Segoe UI Symbol" w:hint="default"/>
                      <w:color w:val="000000" w:themeColor="tx1" w:themeShade="FF"/>
                      <w:sz w:val="20"/>
                      <w:szCs w:val="20"/>
                    </w:rPr>
                    <w:t>☒</w:t>
                  </w:r>
                </w:p>
              </w:tc>
              <w:tc>
                <w:tcPr>
                  <w:tcW w:w="8545" w:type="dxa"/>
                  <w:tcBorders>
                    <w:top w:val="nil"/>
                    <w:left w:val="nil"/>
                    <w:bottom w:val="nil"/>
                    <w:right w:val="nil"/>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b/>
                      <w:color w:val="000000" w:themeColor="tx1" w:themeShade="FF"/>
                      <w:sz w:val="20"/>
                      <w:szCs w:val="20"/>
                    </w:rPr>
                    <w:t>na všetky kategórie podnikov</w:t>
                  </w:r>
                </w:p>
              </w:tc>
            </w:tr>
          </w:tbl>
          <w:p w:rsidR="00DD5451" w:rsidRPr="005D6E5F" w:rsidP="00BA78E4">
            <w:pPr>
              <w:bidi w:val="0"/>
              <w:spacing w:after="0" w:line="240" w:lineRule="auto"/>
              <w:rPr>
                <w:rFonts w:ascii="Times New Roman" w:hAnsi="Times New Roman"/>
                <w:b/>
                <w:color w:val="000000" w:themeColor="tx1" w:themeShade="FF"/>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3.1 Dotknuté podnikateľské subjekty</w:t>
            </w:r>
          </w:p>
          <w:p w:rsidR="00DD5451" w:rsidRPr="005D6E5F" w:rsidP="00BA78E4">
            <w:pPr>
              <w:bidi w:val="0"/>
              <w:spacing w:after="0" w:line="240" w:lineRule="auto"/>
              <w:ind w:left="284"/>
              <w:rPr>
                <w:rFonts w:ascii="Times New Roman" w:hAnsi="Times New Roman"/>
                <w:b/>
                <w:color w:val="000000" w:themeColor="tx1" w:themeShade="FF"/>
                <w:sz w:val="20"/>
                <w:szCs w:val="20"/>
              </w:rPr>
            </w:pPr>
            <w:r w:rsidRPr="005D6E5F">
              <w:rPr>
                <w:rFonts w:ascii="Times New Roman" w:hAnsi="Times New Roman"/>
                <w:color w:val="000000" w:themeColor="tx1" w:themeShade="FF"/>
                <w:sz w:val="20"/>
                <w:szCs w:val="20"/>
              </w:rPr>
              <w:t xml:space="preserve"> - </w:t>
            </w:r>
            <w:r w:rsidRPr="005D6E5F">
              <w:rPr>
                <w:rFonts w:ascii="Times New Roman" w:hAnsi="Times New Roman"/>
                <w:b/>
                <w:color w:val="000000" w:themeColor="tx1" w:themeShade="FF"/>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Uveďte, aké podnikateľské subjekty budú predkladaným návrhom ovplyvnené.</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Daný návrh sa bude dotýkať podnikateľského prostredia vo všeobecnosti, najmä domácich a zahraničných dopravcov, ktorí využívajú spoplatnenú sieť pozemných komunikácií. Odhad počtu podnikateľských subjektov využívajúcich spoplatnenú sieť pozemných komunikácií v SR je 130 000.</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3.2 Vyhodnotenie konzultácií</w:t>
            </w:r>
          </w:p>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color w:val="000000" w:themeColor="tx1" w:themeShade="FF"/>
                <w:sz w:val="20"/>
                <w:szCs w:val="20"/>
              </w:rPr>
              <w:t xml:space="preserve">       - </w:t>
            </w:r>
            <w:r w:rsidRPr="005D6E5F">
              <w:rPr>
                <w:rFonts w:ascii="Times New Roman" w:hAnsi="Times New Roman"/>
                <w:b/>
                <w:color w:val="000000" w:themeColor="tx1" w:themeShade="FF"/>
                <w:sz w:val="20"/>
                <w:szCs w:val="20"/>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Uveďte, akou formou (verejné alebo cielené konzultácie a prečo) a s kým bol návrh konzultovaný.</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Ako dlho trvali konzultácie?</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Návrh bol konzultovaný v rámci konzultácií s dotknutými subjektmi (združeniami dopravcov UNAS a ČESMAD) prostredníctvom elektronickej komunikácie. Predmetom konzultácií bol návrh zákona ako celok. Združením ČESMAD neboli pripomienky zaslané a združením UNAS boli zaslané pripomienky, na podklade ktorých MDV SR navrhuje znížiť výšku správneho poplatku za udelenie oprávnenia na poskytovanie Európskej služby elektronického výberu mýta, a to zo sumy 200 000 eur na sumu 10 000 eur.</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3.3 Náklady regulácie</w:t>
            </w:r>
          </w:p>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color w:val="000000" w:themeColor="tx1" w:themeShade="FF"/>
                <w:sz w:val="20"/>
                <w:szCs w:val="20"/>
              </w:rPr>
              <w:t xml:space="preserve">      - </w:t>
            </w:r>
            <w:r w:rsidRPr="005D6E5F">
              <w:rPr>
                <w:rFonts w:ascii="Times New Roman" w:hAnsi="Times New Roman"/>
                <w:b/>
                <w:color w:val="000000" w:themeColor="tx1" w:themeShade="FF"/>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b/>
                <w:i/>
                <w:color w:val="000000" w:themeColor="tx1" w:themeShade="FF"/>
                <w:sz w:val="20"/>
                <w:szCs w:val="20"/>
              </w:rPr>
            </w:pPr>
            <w:r w:rsidRPr="005D6E5F">
              <w:rPr>
                <w:rFonts w:ascii="Times New Roman" w:hAnsi="Times New Roman"/>
                <w:b/>
                <w:i/>
                <w:color w:val="000000" w:themeColor="tx1" w:themeShade="FF"/>
                <w:sz w:val="20"/>
                <w:szCs w:val="20"/>
              </w:rPr>
              <w:t>3.3.1 Priame finančné náklady</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Návrh nepredpokladá zmenu priamych finančných nákladov.</w:t>
            </w:r>
          </w:p>
          <w:p w:rsidR="00DD5451" w:rsidRPr="005D6E5F" w:rsidP="00BA78E4">
            <w:pPr>
              <w:bidi w:val="0"/>
              <w:spacing w:after="0" w:line="240" w:lineRule="auto"/>
              <w:rPr>
                <w:rFonts w:ascii="Times New Roman" w:hAnsi="Times New Roman"/>
                <w:b/>
                <w:i/>
                <w:color w:val="000000" w:themeColor="tx1" w:themeShade="FF"/>
                <w:sz w:val="20"/>
                <w:szCs w:val="20"/>
              </w:rPr>
            </w:pPr>
          </w:p>
          <w:p w:rsidR="00DD5451" w:rsidRPr="005D6E5F" w:rsidP="00BA78E4">
            <w:pPr>
              <w:bidi w:val="0"/>
              <w:spacing w:after="0" w:line="240" w:lineRule="auto"/>
              <w:rPr>
                <w:rFonts w:ascii="Times New Roman" w:hAnsi="Times New Roman"/>
                <w:b/>
                <w:i/>
                <w:color w:val="000000" w:themeColor="tx1" w:themeShade="FF"/>
                <w:sz w:val="20"/>
                <w:szCs w:val="20"/>
              </w:rPr>
            </w:pPr>
          </w:p>
          <w:p w:rsidR="00DD5451" w:rsidRPr="005D6E5F" w:rsidP="00BA78E4">
            <w:pPr>
              <w:bidi w:val="0"/>
              <w:spacing w:after="0" w:line="240" w:lineRule="auto"/>
              <w:rPr>
                <w:rFonts w:ascii="Times New Roman" w:hAnsi="Times New Roman"/>
                <w:b/>
                <w:i/>
                <w:color w:val="000000" w:themeColor="tx1" w:themeShade="FF"/>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b/>
                <w:i/>
                <w:color w:val="000000" w:themeColor="tx1" w:themeShade="FF"/>
                <w:sz w:val="20"/>
                <w:szCs w:val="20"/>
              </w:rPr>
            </w:pPr>
            <w:r w:rsidRPr="005D6E5F">
              <w:rPr>
                <w:rFonts w:ascii="Times New Roman" w:hAnsi="Times New Roman"/>
                <w:b/>
                <w:i/>
                <w:color w:val="000000" w:themeColor="tx1" w:themeShade="FF"/>
                <w:sz w:val="20"/>
                <w:szCs w:val="20"/>
              </w:rPr>
              <w:t>3.3.2 Nepriame finančné náklady</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both"/>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 xml:space="preserve">Návrh nepredpokladá zmenu nepriamych finančných nákladov. </w:t>
            </w:r>
          </w:p>
          <w:p w:rsidR="00DD5451" w:rsidRPr="005D6E5F" w:rsidP="00BA78E4">
            <w:pPr>
              <w:bidi w:val="0"/>
              <w:spacing w:after="0" w:line="240" w:lineRule="auto"/>
              <w:jc w:val="both"/>
              <w:rPr>
                <w:rFonts w:ascii="Times New Roman" w:hAnsi="Times New Roman"/>
                <w:color w:val="000000" w:themeColor="tx1" w:themeShade="FF"/>
                <w:sz w:val="20"/>
                <w:szCs w:val="20"/>
              </w:rPr>
            </w:pPr>
          </w:p>
          <w:p w:rsidR="00DD5451" w:rsidRPr="005D6E5F" w:rsidP="00BA78E4">
            <w:pPr>
              <w:bidi w:val="0"/>
              <w:spacing w:after="0" w:line="240" w:lineRule="auto"/>
              <w:jc w:val="both"/>
              <w:rPr>
                <w:rFonts w:ascii="Times New Roman" w:hAnsi="Times New Roman"/>
                <w:color w:val="000000" w:themeColor="tx1" w:themeShade="FF"/>
                <w:sz w:val="20"/>
                <w:szCs w:val="20"/>
              </w:rPr>
            </w:pPr>
          </w:p>
          <w:p w:rsidR="00DD5451" w:rsidRPr="005D6E5F" w:rsidP="00BA78E4">
            <w:pPr>
              <w:bidi w:val="0"/>
              <w:spacing w:after="0" w:line="240" w:lineRule="auto"/>
              <w:jc w:val="both"/>
              <w:rPr>
                <w:rFonts w:ascii="Times New Roman" w:hAnsi="Times New Roman"/>
                <w:b/>
                <w:i/>
                <w:color w:val="000000" w:themeColor="tx1" w:themeShade="FF"/>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b/>
                <w:i/>
                <w:color w:val="000000" w:themeColor="tx1" w:themeShade="FF"/>
                <w:sz w:val="20"/>
                <w:szCs w:val="20"/>
              </w:rPr>
            </w:pPr>
            <w:r w:rsidRPr="005D6E5F">
              <w:rPr>
                <w:rFonts w:ascii="Times New Roman" w:hAnsi="Times New Roman"/>
                <w:b/>
                <w:i/>
                <w:color w:val="000000" w:themeColor="tx1" w:themeShade="FF"/>
                <w:sz w:val="20"/>
                <w:szCs w:val="20"/>
              </w:rPr>
              <w:t>3.3.3 Administratívne náklady</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both"/>
              <w:rPr>
                <w:rFonts w:ascii="Times New Roman" w:hAnsi="Times New Roman"/>
                <w:b/>
                <w:i/>
                <w:color w:val="000000" w:themeColor="tx1" w:themeShade="FF"/>
                <w:sz w:val="20"/>
                <w:szCs w:val="20"/>
              </w:rPr>
            </w:pPr>
            <w:r w:rsidRPr="005D6E5F">
              <w:rPr>
                <w:rFonts w:ascii="Times New Roman" w:hAnsi="Times New Roman"/>
                <w:color w:val="000000" w:themeColor="tx1" w:themeShade="FF"/>
                <w:sz w:val="20"/>
                <w:szCs w:val="20"/>
              </w:rPr>
              <w:t>Vo vzťahu k podnikateľskému prostrediu je potrebné uviesť, že uplatňovaním interoperability elektronických mýtnych systémov dôjde v závislosti od aktivity poskytovateľov Európskej služby elektronického výberu mýta a záujmu dopravcov k zníženiu administratívnych nákladov dopravcov. Vzhľadom na rozsah dotknutých subjektov je však tento vplyv objektívne ťažko vyčísliteľný.</w:t>
            </w:r>
          </w:p>
          <w:p w:rsidR="00DD5451" w:rsidRPr="005D6E5F" w:rsidP="00BA78E4">
            <w:pPr>
              <w:bidi w:val="0"/>
              <w:spacing w:after="0" w:line="240" w:lineRule="auto"/>
              <w:rPr>
                <w:rFonts w:ascii="Times New Roman" w:hAnsi="Times New Roman"/>
                <w:b/>
                <w:i/>
                <w:color w:val="000000" w:themeColor="tx1" w:themeShade="FF"/>
                <w:sz w:val="20"/>
                <w:szCs w:val="20"/>
              </w:rPr>
            </w:pPr>
          </w:p>
          <w:p w:rsidR="00DD5451" w:rsidRPr="005D6E5F" w:rsidP="00BA78E4">
            <w:pPr>
              <w:bidi w:val="0"/>
              <w:spacing w:after="0" w:line="240" w:lineRule="auto"/>
              <w:rPr>
                <w:rFonts w:ascii="Times New Roman" w:hAnsi="Times New Roman"/>
                <w:b/>
                <w:i/>
                <w:color w:val="000000" w:themeColor="tx1" w:themeShade="FF"/>
                <w:sz w:val="20"/>
                <w:szCs w:val="20"/>
              </w:rPr>
            </w:pPr>
          </w:p>
          <w:p w:rsidR="00DD5451" w:rsidRPr="005D6E5F" w:rsidP="00BA78E4">
            <w:pPr>
              <w:bidi w:val="0"/>
              <w:spacing w:after="0" w:line="240" w:lineRule="auto"/>
              <w:rPr>
                <w:rFonts w:ascii="Times New Roman" w:hAnsi="Times New Roman"/>
                <w:b/>
                <w:i/>
                <w:color w:val="000000" w:themeColor="tx1" w:themeShade="FF"/>
                <w:sz w:val="20"/>
                <w:szCs w:val="20"/>
              </w:rPr>
            </w:pPr>
          </w:p>
          <w:p w:rsidR="00DD5451" w:rsidRPr="005D6E5F" w:rsidP="00BA78E4">
            <w:pPr>
              <w:bidi w:val="0"/>
              <w:spacing w:after="0" w:line="240" w:lineRule="auto"/>
              <w:rPr>
                <w:rFonts w:ascii="Times New Roman" w:hAnsi="Times New Roman"/>
                <w:b/>
                <w:i/>
                <w:color w:val="000000" w:themeColor="tx1" w:themeShade="FF"/>
                <w:sz w:val="20"/>
                <w:szCs w:val="20"/>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b/>
                <w:i/>
                <w:color w:val="000000" w:themeColor="tx1" w:themeShade="FF"/>
                <w:sz w:val="20"/>
                <w:szCs w:val="20"/>
              </w:rPr>
              <w:t>3.3.4 Súhrnná tabuľka nákladov regulácie</w:t>
            </w:r>
          </w:p>
          <w:p w:rsidR="00DD5451" w:rsidRPr="005D6E5F" w:rsidP="00BA78E4">
            <w:pPr>
              <w:bidi w:val="0"/>
              <w:spacing w:after="0" w:line="240" w:lineRule="auto"/>
              <w:rPr>
                <w:rFonts w:ascii="Times New Roman" w:hAnsi="Times New Roman"/>
                <w:i/>
                <w:color w:val="000000" w:themeColor="tx1" w:themeShade="FF"/>
                <w:sz w:val="20"/>
                <w:szCs w:val="20"/>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N/A</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N/A</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N/A</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b/>
                      <w:i/>
                      <w:color w:val="000000" w:themeColor="tx1" w:themeShade="FF"/>
                      <w:sz w:val="20"/>
                      <w:szCs w:val="20"/>
                    </w:rPr>
                  </w:pPr>
                  <w:r w:rsidRPr="005D6E5F">
                    <w:rPr>
                      <w:rFonts w:ascii="Times New Roman" w:hAnsi="Times New Roman"/>
                      <w:b/>
                      <w:i/>
                      <w:color w:val="000000" w:themeColor="tx1" w:themeShade="FF"/>
                      <w:sz w:val="20"/>
                      <w:szCs w:val="20"/>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b/>
                      <w:i/>
                      <w:color w:val="000000" w:themeColor="tx1" w:themeShade="FF"/>
                      <w:sz w:val="20"/>
                      <w:szCs w:val="20"/>
                    </w:rPr>
                  </w:pPr>
                  <w:r w:rsidRPr="005D6E5F">
                    <w:rPr>
                      <w:rFonts w:ascii="Times New Roman" w:hAnsi="Times New Roman"/>
                      <w:i/>
                      <w:color w:val="000000" w:themeColor="tx1" w:themeShade="FF"/>
                      <w:sz w:val="20"/>
                      <w:szCs w:val="20"/>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jc w:val="center"/>
                    <w:rPr>
                      <w:rFonts w:ascii="Times New Roman" w:hAnsi="Times New Roman"/>
                      <w:b/>
                      <w:i/>
                      <w:color w:val="000000" w:themeColor="tx1" w:themeShade="FF"/>
                      <w:sz w:val="20"/>
                      <w:szCs w:val="20"/>
                    </w:rPr>
                  </w:pPr>
                  <w:r w:rsidRPr="005D6E5F">
                    <w:rPr>
                      <w:rFonts w:ascii="Times New Roman" w:hAnsi="Times New Roman"/>
                      <w:i/>
                      <w:color w:val="000000" w:themeColor="tx1" w:themeShade="FF"/>
                      <w:sz w:val="20"/>
                      <w:szCs w:val="20"/>
                    </w:rPr>
                    <w:t>N/A</w:t>
                  </w:r>
                </w:p>
              </w:tc>
            </w:tr>
          </w:tbl>
          <w:p w:rsidR="00DD5451" w:rsidRPr="005D6E5F" w:rsidP="00BA78E4">
            <w:pPr>
              <w:bidi w:val="0"/>
              <w:spacing w:after="0" w:line="240" w:lineRule="auto"/>
              <w:rPr>
                <w:rFonts w:ascii="Times New Roman" w:hAnsi="Times New Roman"/>
                <w:i/>
                <w:color w:val="000000" w:themeColor="tx1" w:themeShade="FF"/>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3.4 Konkurencieschopnosť a správanie sa podnikov na trhu</w:t>
            </w:r>
          </w:p>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b/>
                <w:color w:val="000000" w:themeColor="tx1" w:themeShade="FF"/>
                <w:sz w:val="20"/>
                <w:szCs w:val="20"/>
              </w:rPr>
              <w:t xml:space="preserve">       </w:t>
            </w:r>
            <w:r w:rsidRPr="005D6E5F">
              <w:rPr>
                <w:rFonts w:ascii="Times New Roman" w:hAnsi="Times New Roman"/>
                <w:color w:val="000000" w:themeColor="tx1" w:themeShade="FF"/>
                <w:sz w:val="20"/>
                <w:szCs w:val="20"/>
              </w:rPr>
              <w:t xml:space="preserve">- </w:t>
            </w:r>
            <w:r w:rsidRPr="005D6E5F">
              <w:rPr>
                <w:rFonts w:ascii="Times New Roman" w:hAnsi="Times New Roman"/>
                <w:b/>
                <w:color w:val="000000" w:themeColor="tx1" w:themeShade="FF"/>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Ako ovplyvní cenu alebo dostupnosť základných zdrojov (suroviny, mechanizmy, pracovná sila, energie atď.)?</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Nie.</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 xml:space="preserve">3.5 Inovácie </w:t>
            </w:r>
          </w:p>
          <w:p w:rsidR="00DD5451" w:rsidRPr="005D6E5F" w:rsidP="00BA78E4">
            <w:pPr>
              <w:bidi w:val="0"/>
              <w:spacing w:after="0" w:line="240" w:lineRule="auto"/>
              <w:rPr>
                <w:rFonts w:ascii="Times New Roman" w:hAnsi="Times New Roman"/>
                <w:b/>
                <w:color w:val="000000" w:themeColor="tx1" w:themeShade="FF"/>
                <w:sz w:val="20"/>
                <w:szCs w:val="20"/>
              </w:rPr>
            </w:pPr>
            <w:r w:rsidRPr="005D6E5F">
              <w:rPr>
                <w:rFonts w:ascii="Times New Roman" w:hAnsi="Times New Roman"/>
                <w:color w:val="000000" w:themeColor="tx1" w:themeShade="FF"/>
                <w:sz w:val="20"/>
                <w:szCs w:val="20"/>
              </w:rPr>
              <w:t xml:space="preserve">       - </w:t>
            </w:r>
            <w:r w:rsidRPr="005D6E5F">
              <w:rPr>
                <w:rFonts w:ascii="Times New Roman" w:hAnsi="Times New Roman"/>
                <w:b/>
                <w:color w:val="000000" w:themeColor="tx1" w:themeShade="FF"/>
                <w:sz w:val="20"/>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Uveďte, ako podporuje navrhovaná zmena inovácie.</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Zjednodušuje uvedenie alebo rozšírenie nových výrobných metód, technológií a výrobkov na trh?</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Uveďte, ako vplýva navrhovaná zmena na jednotlivé práva duševného vlastníctva (napr. patenty, ochranné známky, autorské práva, vlastníctvo know-how).</w:t>
            </w:r>
          </w:p>
          <w:p w:rsidR="00DD5451" w:rsidRPr="005D6E5F" w:rsidP="00BA78E4">
            <w:pPr>
              <w:bidi w:val="0"/>
              <w:spacing w:after="0" w:line="240" w:lineRule="auto"/>
              <w:rPr>
                <w:rFonts w:ascii="Times New Roman" w:hAnsi="Times New Roman"/>
                <w:i/>
                <w:color w:val="000000" w:themeColor="tx1" w:themeShade="FF"/>
                <w:sz w:val="20"/>
                <w:szCs w:val="20"/>
              </w:rPr>
            </w:pPr>
            <w:r w:rsidRPr="005D6E5F">
              <w:rPr>
                <w:rFonts w:ascii="Times New Roman" w:hAnsi="Times New Roman"/>
                <w:i/>
                <w:color w:val="000000" w:themeColor="tx1" w:themeShade="FF"/>
                <w:sz w:val="20"/>
                <w:szCs w:val="20"/>
              </w:rPr>
              <w:t>Podporuje vyššiu efektivitu výroby/využívania zdrojov? Ak áno, ako?</w:t>
            </w:r>
          </w:p>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i/>
                <w:color w:val="000000" w:themeColor="tx1" w:themeShade="FF"/>
                <w:sz w:val="20"/>
                <w:szCs w:val="20"/>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spacing w:after="0" w:line="240" w:lineRule="auto"/>
              <w:rPr>
                <w:rFonts w:ascii="Times New Roman" w:hAnsi="Times New Roman"/>
                <w:color w:val="000000" w:themeColor="tx1" w:themeShade="FF"/>
                <w:sz w:val="20"/>
                <w:szCs w:val="20"/>
              </w:rPr>
            </w:pPr>
            <w:r w:rsidRPr="005D6E5F">
              <w:rPr>
                <w:rFonts w:ascii="Times New Roman" w:hAnsi="Times New Roman"/>
                <w:color w:val="000000" w:themeColor="tx1" w:themeShade="FF"/>
                <w:sz w:val="20"/>
                <w:szCs w:val="20"/>
              </w:rPr>
              <w:t>Návrh predpisu nemá vzťah k inováciám.</w:t>
            </w:r>
          </w:p>
        </w:tc>
      </w:tr>
    </w:tbl>
    <w:p w:rsidR="00DD5451" w:rsidRPr="005D6E5F" w:rsidP="00DD5451">
      <w:pPr>
        <w:bidi w:val="0"/>
        <w:rPr>
          <w:color w:val="000000" w:themeColor="tx1" w:themeShade="FF"/>
        </w:rPr>
      </w:pPr>
    </w:p>
    <w:p w:rsidR="005C0240" w:rsidRPr="005D6E5F" w:rsidP="002A2E2B">
      <w:pPr>
        <w:bidi w:val="0"/>
        <w:rPr>
          <w:color w:val="000000" w:themeColor="tx1" w:themeShade="FF"/>
        </w:rPr>
      </w:pPr>
    </w:p>
    <w:p w:rsidR="00DD5451" w:rsidRPr="005D6E5F" w:rsidP="002A2E2B">
      <w:pPr>
        <w:bidi w:val="0"/>
        <w:rPr>
          <w:color w:val="000000" w:themeColor="tx1" w:themeShade="FF"/>
        </w:rPr>
      </w:pPr>
    </w:p>
    <w:p w:rsidR="00DD5451" w:rsidRPr="005D6E5F" w:rsidP="002A2E2B">
      <w:pPr>
        <w:bidi w:val="0"/>
        <w:rPr>
          <w:color w:val="000000" w:themeColor="tx1" w:themeShade="FF"/>
        </w:rPr>
      </w:pPr>
    </w:p>
    <w:p w:rsidR="00DD5451" w:rsidRPr="005D6E5F" w:rsidP="002A2E2B">
      <w:pPr>
        <w:bidi w:val="0"/>
        <w:rPr>
          <w:color w:val="000000" w:themeColor="tx1" w:themeShade="FF"/>
        </w:rPr>
      </w:pPr>
    </w:p>
    <w:p w:rsidR="00DD5451" w:rsidRPr="005D6E5F" w:rsidP="002A2E2B">
      <w:pPr>
        <w:bidi w:val="0"/>
        <w:rPr>
          <w:color w:val="000000" w:themeColor="tx1" w:themeShade="FF"/>
        </w:rPr>
      </w:pPr>
    </w:p>
    <w:p w:rsidR="00DD5451" w:rsidRPr="005D6E5F" w:rsidP="002A2E2B">
      <w:pPr>
        <w:bidi w:val="0"/>
        <w:rPr>
          <w:color w:val="000000" w:themeColor="tx1" w:themeShade="FF"/>
        </w:rPr>
      </w:pPr>
    </w:p>
    <w:p w:rsidR="00DD5451" w:rsidRPr="005D6E5F" w:rsidP="002A2E2B">
      <w:pPr>
        <w:bidi w:val="0"/>
        <w:rPr>
          <w:color w:val="000000" w:themeColor="tx1" w:themeShade="FF"/>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485"/>
        <w:gridCol w:w="783"/>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D5451" w:rsidRPr="005D6E5F" w:rsidP="00BA78E4">
            <w:pPr>
              <w:bidi w:val="0"/>
              <w:jc w:val="center"/>
              <w:rPr>
                <w:rFonts w:ascii="Times New Roman" w:hAnsi="Times New Roman"/>
                <w:b/>
                <w:bCs/>
                <w:color w:val="000000" w:themeColor="tx1" w:themeShade="FF"/>
                <w:sz w:val="28"/>
                <w:szCs w:val="28"/>
              </w:rPr>
            </w:pPr>
            <w:r w:rsidRPr="005D6E5F">
              <w:rPr>
                <w:rFonts w:ascii="Times New Roman" w:hAnsi="Times New Roman"/>
                <w:b/>
                <w:bCs/>
                <w:color w:val="000000" w:themeColor="tx1" w:themeShade="FF"/>
                <w:sz w:val="28"/>
                <w:szCs w:val="28"/>
              </w:rPr>
              <w:t>Analýza vplyvov na informatizáciu spoločnosti</w:t>
            </w:r>
          </w:p>
          <w:p w:rsidR="00DD5451" w:rsidRPr="005D6E5F" w:rsidP="00BA78E4">
            <w:pPr>
              <w:bidi w:val="0"/>
              <w:jc w:val="center"/>
              <w:rPr>
                <w:rFonts w:ascii="Times New Roman" w:hAnsi="Times New Roman"/>
                <w:b/>
                <w:i/>
                <w:iCs/>
                <w:color w:val="000000" w:themeColor="tx1" w:themeShade="FF"/>
                <w:sz w:val="24"/>
                <w:szCs w:val="24"/>
              </w:rPr>
            </w:pPr>
            <w:r w:rsidRPr="005D6E5F">
              <w:rPr>
                <w:rFonts w:ascii="Times New Roman" w:hAnsi="Times New Roman"/>
                <w:b/>
                <w:color w:val="000000" w:themeColor="tx1" w:themeShade="FF"/>
                <w:sz w:val="24"/>
                <w:szCs w:val="24"/>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A – nová služba</w:t>
            </w:r>
          </w:p>
          <w:p w:rsidR="00DD5451" w:rsidRPr="005D6E5F" w:rsidP="00BA78E4">
            <w:pPr>
              <w:bidi w:val="0"/>
              <w:jc w:val="center"/>
              <w:rPr>
                <w:rFonts w:ascii="Times New Roman" w:hAnsi="Times New Roman"/>
                <w:i/>
                <w:iCs/>
                <w:color w:val="000000" w:themeColor="tx1" w:themeShade="FF"/>
                <w:sz w:val="20"/>
                <w:szCs w:val="20"/>
              </w:rPr>
            </w:pPr>
            <w:r w:rsidRPr="005D6E5F">
              <w:rPr>
                <w:rFonts w:ascii="Times New Roman" w:hAnsi="Times New Roman"/>
                <w:b/>
                <w:color w:val="000000" w:themeColor="tx1" w:themeShade="FF"/>
                <w:sz w:val="20"/>
                <w:szCs w:val="20"/>
              </w:rPr>
              <w:t>B – zmena služby</w:t>
            </w:r>
          </w:p>
        </w:tc>
        <w:tc>
          <w:tcPr>
            <w:tcW w:w="1485"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i/>
                <w:iCs/>
                <w:color w:val="000000" w:themeColor="tx1" w:themeShade="FF"/>
                <w:sz w:val="20"/>
                <w:szCs w:val="20"/>
              </w:rPr>
            </w:pPr>
          </w:p>
          <w:p w:rsidR="00DD5451" w:rsidRPr="005D6E5F" w:rsidP="00BA78E4">
            <w:pPr>
              <w:bidi w:val="0"/>
              <w:jc w:val="center"/>
              <w:rPr>
                <w:rFonts w:ascii="Times New Roman" w:hAnsi="Times New Roman"/>
                <w:color w:val="000000" w:themeColor="tx1" w:themeShade="FF"/>
                <w:sz w:val="20"/>
                <w:szCs w:val="20"/>
              </w:rPr>
            </w:pPr>
            <w:r w:rsidRPr="005D6E5F">
              <w:rPr>
                <w:rFonts w:ascii="Times New Roman" w:hAnsi="Times New Roman"/>
                <w:b/>
                <w:color w:val="000000" w:themeColor="tx1" w:themeShade="FF"/>
                <w:sz w:val="20"/>
                <w:szCs w:val="20"/>
              </w:rPr>
              <w:t>Kód služby</w:t>
            </w:r>
          </w:p>
        </w:tc>
        <w:tc>
          <w:tcPr>
            <w:tcW w:w="1776"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p>
          <w:p w:rsidR="00DD5451" w:rsidRPr="005D6E5F" w:rsidP="00BA78E4">
            <w:pPr>
              <w:bidi w:val="0"/>
              <w:jc w:val="center"/>
              <w:rPr>
                <w:rFonts w:ascii="Times New Roman" w:hAnsi="Times New Roman"/>
                <w:i/>
                <w:iCs/>
                <w:color w:val="000000" w:themeColor="tx1" w:themeShade="FF"/>
                <w:sz w:val="20"/>
                <w:szCs w:val="20"/>
              </w:rPr>
            </w:pPr>
            <w:r w:rsidRPr="005D6E5F">
              <w:rPr>
                <w:rFonts w:ascii="Times New Roman" w:hAnsi="Times New Roman"/>
                <w:b/>
                <w:color w:val="000000" w:themeColor="tx1" w:themeShade="FF"/>
                <w:sz w:val="20"/>
                <w:szCs w:val="20"/>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Úroveň elektronizácie služby</w:t>
            </w:r>
          </w:p>
          <w:p w:rsidR="00DD5451" w:rsidRPr="005D6E5F" w:rsidP="00BA78E4">
            <w:pPr>
              <w:bidi w:val="0"/>
              <w:jc w:val="center"/>
              <w:rPr>
                <w:rFonts w:ascii="Times New Roman" w:hAnsi="Times New Roman"/>
                <w:i/>
                <w:iCs/>
                <w:color w:val="000000" w:themeColor="tx1" w:themeShade="FF"/>
                <w:sz w:val="20"/>
                <w:szCs w:val="20"/>
              </w:rPr>
            </w:pPr>
            <w:r w:rsidRPr="005D6E5F">
              <w:rPr>
                <w:rFonts w:ascii="Times New Roman" w:hAnsi="Times New Roman"/>
                <w:b/>
                <w:color w:val="000000" w:themeColor="tx1" w:themeShade="FF"/>
                <w:sz w:val="20"/>
                <w:szCs w:val="20"/>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both"/>
              <w:rPr>
                <w:rFonts w:ascii="Times New Roman" w:hAnsi="Times New Roman"/>
                <w:color w:val="000000" w:themeColor="tx1" w:themeShade="FF"/>
                <w:sz w:val="20"/>
                <w:szCs w:val="20"/>
              </w:rPr>
            </w:pPr>
            <w:r w:rsidRPr="005D6E5F">
              <w:rPr>
                <w:rFonts w:ascii="Times New Roman" w:hAnsi="Times New Roman"/>
                <w:b/>
                <w:color w:val="000000" w:themeColor="tx1" w:themeShade="FF"/>
                <w:sz w:val="20"/>
                <w:szCs w:val="20"/>
              </w:rPr>
              <w:t>6.1.</w:t>
            </w:r>
            <w:r w:rsidRPr="005D6E5F">
              <w:rPr>
                <w:rFonts w:ascii="Times New Roman" w:hAnsi="Times New Roman"/>
                <w:color w:val="000000" w:themeColor="tx1" w:themeShade="FF"/>
                <w:sz w:val="20"/>
                <w:szCs w:val="20"/>
              </w:rPr>
              <w:t xml:space="preserve"> Predpokladá predložený návrh zmenu existujúcich elektronických služieb verejnej správy alebo vytvorenie nových služieb?</w:t>
            </w:r>
          </w:p>
          <w:p w:rsidR="00DD5451" w:rsidRPr="005D6E5F" w:rsidP="00BA78E4">
            <w:pPr>
              <w:bidi w:val="0"/>
              <w:spacing w:line="20" w:lineRule="atLeast"/>
              <w:jc w:val="both"/>
              <w:rPr>
                <w:rFonts w:ascii="Times New Roman" w:hAnsi="Times New Roman"/>
                <w:b/>
                <w:color w:val="000000" w:themeColor="tx1" w:themeShade="FF"/>
                <w:sz w:val="20"/>
                <w:szCs w:val="20"/>
              </w:rPr>
            </w:pPr>
            <w:r w:rsidRPr="005D6E5F">
              <w:rPr>
                <w:rFonts w:ascii="Times New Roman" w:hAnsi="Times New Roman"/>
                <w:i/>
                <w:iCs/>
                <w:color w:val="000000" w:themeColor="tx1" w:themeShade="FF"/>
                <w:sz w:val="20"/>
                <w:szCs w:val="20"/>
              </w:rPr>
              <w:t>(Ak áno, uveďte zmenu služby alebo vytvorenie novej služby, ďalej  jej kód, názov a úroveň elektronizácie podľa katalógu eGovernment služieb, ktorý je vedený v centrálnom metainformačnom systéme verejnej správy.)</w:t>
            </w:r>
            <w:r w:rsidRPr="005D6E5F">
              <w:rPr>
                <w:rFonts w:ascii="Times New Roman" w:hAnsi="Times New Roman"/>
                <w:color w:val="000000" w:themeColor="tx1" w:themeShade="FF"/>
                <w:sz w:val="20"/>
                <w:szCs w:val="20"/>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p>
        </w:tc>
        <w:tc>
          <w:tcPr>
            <w:tcW w:w="1776" w:type="dxa"/>
            <w:gridSpan w:val="2"/>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both"/>
              <w:rPr>
                <w:rFonts w:ascii="Times New Roman" w:hAnsi="Times New Roman"/>
                <w:b/>
                <w:color w:val="000000" w:themeColor="tx1" w:themeShade="FF"/>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rPr>
                <w:rFonts w:ascii="Times New Roman" w:hAnsi="Times New Roman"/>
                <w:b/>
                <w:i/>
                <w:color w:val="000000" w:themeColor="tx1" w:themeShade="FF"/>
                <w:sz w:val="20"/>
                <w:szCs w:val="20"/>
              </w:rPr>
            </w:pPr>
          </w:p>
          <w:p w:rsidR="00DD5451" w:rsidRPr="005D6E5F" w:rsidP="00BA78E4">
            <w:pPr>
              <w:bidi w:val="0"/>
              <w:jc w:val="center"/>
              <w:rPr>
                <w:rFonts w:ascii="Times New Roman" w:hAnsi="Times New Roman"/>
                <w:b/>
                <w:color w:val="000000" w:themeColor="tx1" w:themeShade="FF"/>
                <w:sz w:val="20"/>
                <w:szCs w:val="20"/>
              </w:rPr>
            </w:pPr>
          </w:p>
          <w:p w:rsidR="00DD5451" w:rsidRPr="005D6E5F" w:rsidP="00BA78E4">
            <w:pPr>
              <w:bidi w:val="0"/>
              <w:jc w:val="center"/>
              <w:rPr>
                <w:rFonts w:ascii="Times New Roman" w:hAnsi="Times New Roman"/>
                <w:b/>
                <w:color w:val="000000" w:themeColor="tx1" w:themeShade="FF"/>
                <w:sz w:val="20"/>
                <w:szCs w:val="20"/>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A – nový systém</w:t>
            </w:r>
          </w:p>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B – zmena systému</w:t>
            </w:r>
          </w:p>
        </w:tc>
        <w:tc>
          <w:tcPr>
            <w:tcW w:w="1485"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Kód systému</w:t>
            </w:r>
          </w:p>
        </w:tc>
        <w:tc>
          <w:tcPr>
            <w:tcW w:w="2768"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both"/>
              <w:rPr>
                <w:rFonts w:ascii="Times New Roman" w:hAnsi="Times New Roman"/>
                <w:color w:val="000000" w:themeColor="tx1" w:themeShade="FF"/>
                <w:sz w:val="20"/>
                <w:szCs w:val="20"/>
              </w:rPr>
            </w:pPr>
            <w:r w:rsidRPr="005D6E5F">
              <w:rPr>
                <w:rFonts w:ascii="Times New Roman" w:hAnsi="Times New Roman"/>
                <w:b/>
                <w:color w:val="000000" w:themeColor="tx1" w:themeShade="FF"/>
                <w:sz w:val="20"/>
                <w:szCs w:val="20"/>
              </w:rPr>
              <w:t>6.2.</w:t>
            </w:r>
            <w:r w:rsidRPr="005D6E5F">
              <w:rPr>
                <w:rFonts w:ascii="Times New Roman" w:hAnsi="Times New Roman"/>
                <w:color w:val="000000" w:themeColor="tx1" w:themeShade="FF"/>
                <w:sz w:val="20"/>
                <w:szCs w:val="20"/>
              </w:rPr>
              <w:t xml:space="preserve"> Predpokladá predložený návrh zmenu existujúceho alebo vytvorenie nového informačného systému verejnej správy?</w:t>
            </w:r>
          </w:p>
          <w:p w:rsidR="00DD5451" w:rsidRPr="005D6E5F" w:rsidP="00BA78E4">
            <w:pPr>
              <w:bidi w:val="0"/>
              <w:spacing w:line="20" w:lineRule="atLeast"/>
              <w:jc w:val="both"/>
              <w:rPr>
                <w:rFonts w:ascii="Times New Roman" w:hAnsi="Times New Roman"/>
                <w:color w:val="000000" w:themeColor="tx1" w:themeShade="FF"/>
                <w:sz w:val="20"/>
                <w:szCs w:val="20"/>
              </w:rPr>
            </w:pPr>
            <w:r w:rsidRPr="005D6E5F">
              <w:rPr>
                <w:rFonts w:ascii="Times New Roman" w:hAnsi="Times New Roman"/>
                <w:i/>
                <w:iCs/>
                <w:color w:val="000000" w:themeColor="tx1" w:themeShade="FF"/>
                <w:sz w:val="20"/>
                <w:szCs w:val="20"/>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B</w:t>
            </w:r>
          </w:p>
          <w:p w:rsidR="00DD5451" w:rsidRPr="005D6E5F" w:rsidP="00BA78E4">
            <w:pPr>
              <w:bidi w:val="0"/>
              <w:jc w:val="center"/>
              <w:rPr>
                <w:rFonts w:ascii="Times New Roman" w:hAnsi="Times New Roman"/>
                <w:b/>
                <w:color w:val="000000" w:themeColor="tx1" w:themeShade="FF"/>
                <w:sz w:val="20"/>
                <w:szCs w:val="20"/>
              </w:rPr>
            </w:pPr>
          </w:p>
          <w:p w:rsidR="00DD5451" w:rsidRPr="005D6E5F" w:rsidP="00BA78E4">
            <w:pPr>
              <w:bidi w:val="0"/>
              <w:jc w:val="center"/>
              <w:rPr>
                <w:rFonts w:ascii="Times New Roman" w:hAnsi="Times New Roman"/>
                <w:b/>
                <w:color w:val="000000" w:themeColor="tx1" w:themeShade="FF"/>
                <w:sz w:val="20"/>
                <w:szCs w:val="20"/>
              </w:rPr>
            </w:pPr>
          </w:p>
          <w:p w:rsidR="00DD5451" w:rsidRPr="005D6E5F" w:rsidP="00BA78E4">
            <w:pPr>
              <w:bidi w:val="0"/>
              <w:jc w:val="center"/>
              <w:rPr>
                <w:rFonts w:ascii="Times New Roman" w:hAnsi="Times New Roman"/>
                <w:i/>
                <w:iCs/>
                <w:color w:val="000000" w:themeColor="tx1" w:themeShade="FF"/>
                <w:sz w:val="20"/>
                <w:szCs w:val="20"/>
              </w:rPr>
            </w:pPr>
            <w:r w:rsidRPr="005D6E5F">
              <w:rPr>
                <w:rFonts w:ascii="Times New Roman" w:hAnsi="Times New Roman"/>
                <w:b/>
                <w:color w:val="000000" w:themeColor="tx1" w:themeShade="FF"/>
                <w:sz w:val="20"/>
                <w:szCs w:val="20"/>
              </w:rPr>
              <w:t>B</w:t>
            </w:r>
          </w:p>
        </w:tc>
        <w:tc>
          <w:tcPr>
            <w:tcW w:w="1485"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center"/>
              <w:rPr>
                <w:rFonts w:ascii="Times New Roman" w:hAnsi="Times New Roman"/>
                <w:b/>
                <w:bCs/>
                <w:color w:val="000000" w:themeColor="tx1" w:themeShade="FF"/>
                <w:sz w:val="20"/>
                <w:szCs w:val="20"/>
              </w:rPr>
            </w:pPr>
            <w:r w:rsidRPr="005D6E5F">
              <w:rPr>
                <w:rFonts w:ascii="Times New Roman" w:hAnsi="Times New Roman"/>
                <w:b/>
                <w:bCs/>
                <w:color w:val="000000" w:themeColor="tx1" w:themeShade="FF"/>
                <w:sz w:val="20"/>
                <w:szCs w:val="20"/>
              </w:rPr>
              <w:t>isvs_4867</w:t>
            </w:r>
          </w:p>
          <w:p w:rsidR="00DD5451" w:rsidRPr="005D6E5F" w:rsidP="00BA78E4">
            <w:pPr>
              <w:bidi w:val="0"/>
              <w:jc w:val="center"/>
              <w:rPr>
                <w:rFonts w:ascii="Times New Roman" w:hAnsi="Times New Roman"/>
                <w:b/>
                <w:bCs/>
                <w:color w:val="000000" w:themeColor="tx1" w:themeShade="FF"/>
                <w:sz w:val="20"/>
                <w:szCs w:val="20"/>
              </w:rPr>
            </w:pPr>
          </w:p>
          <w:p w:rsidR="00DD5451" w:rsidRPr="005D6E5F" w:rsidP="00BA78E4">
            <w:pPr>
              <w:bidi w:val="0"/>
              <w:jc w:val="center"/>
              <w:rPr>
                <w:rFonts w:ascii="Times New Roman" w:hAnsi="Times New Roman"/>
                <w:b/>
                <w:bCs/>
                <w:color w:val="000000" w:themeColor="tx1" w:themeShade="FF"/>
                <w:sz w:val="20"/>
                <w:szCs w:val="20"/>
              </w:rPr>
            </w:pPr>
          </w:p>
          <w:p w:rsidR="00DD5451" w:rsidRPr="005D6E5F" w:rsidP="00BA78E4">
            <w:pPr>
              <w:bidi w:val="0"/>
              <w:jc w:val="center"/>
              <w:rPr>
                <w:rFonts w:ascii="Times New Roman" w:hAnsi="Times New Roman"/>
                <w:i/>
                <w:iCs/>
                <w:color w:val="000000" w:themeColor="tx1" w:themeShade="FF"/>
                <w:sz w:val="20"/>
                <w:szCs w:val="20"/>
              </w:rPr>
            </w:pPr>
            <w:r w:rsidRPr="005D6E5F">
              <w:rPr>
                <w:rFonts w:ascii="Times New Roman" w:hAnsi="Times New Roman"/>
                <w:b/>
                <w:bCs/>
                <w:color w:val="000000" w:themeColor="tx1" w:themeShade="FF"/>
                <w:sz w:val="20"/>
                <w:szCs w:val="20"/>
              </w:rPr>
              <w:t>isvs_171</w:t>
            </w:r>
          </w:p>
        </w:tc>
        <w:tc>
          <w:tcPr>
            <w:tcW w:w="2768" w:type="dxa"/>
            <w:gridSpan w:val="3"/>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both"/>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JISCD - Jednotný informačný systém v cestnej doprave</w:t>
            </w:r>
          </w:p>
          <w:p w:rsidR="00DD5451" w:rsidRPr="005D6E5F" w:rsidP="00BA78E4">
            <w:pPr>
              <w:bidi w:val="0"/>
              <w:jc w:val="both"/>
              <w:rPr>
                <w:rFonts w:ascii="Times New Roman" w:hAnsi="Times New Roman"/>
                <w:b/>
                <w:color w:val="000000" w:themeColor="tx1" w:themeShade="FF"/>
                <w:sz w:val="20"/>
                <w:szCs w:val="20"/>
              </w:rPr>
            </w:pPr>
          </w:p>
          <w:p w:rsidR="00DD5451" w:rsidRPr="005D6E5F" w:rsidP="00BA78E4">
            <w:pPr>
              <w:bidi w:val="0"/>
              <w:jc w:val="both"/>
              <w:rPr>
                <w:rFonts w:ascii="Times New Roman" w:hAnsi="Times New Roman"/>
                <w:b/>
                <w:i/>
                <w:iCs/>
                <w:color w:val="000000" w:themeColor="tx1" w:themeShade="FF"/>
                <w:sz w:val="20"/>
                <w:szCs w:val="20"/>
              </w:rPr>
            </w:pPr>
            <w:r w:rsidRPr="005D6E5F">
              <w:rPr>
                <w:rFonts w:ascii="Times New Roman" w:hAnsi="Times New Roman"/>
                <w:b/>
                <w:color w:val="000000" w:themeColor="tx1" w:themeShade="FF"/>
                <w:sz w:val="20"/>
                <w:szCs w:val="20"/>
              </w:rPr>
              <w:t>EVO – Evidencia vozidiel (EUCARIS - Európsky informačný systém vozidiel a vodičských preukazov)</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D5451" w:rsidRPr="005D6E5F" w:rsidP="00BA78E4">
            <w:pPr>
              <w:bidi w:val="0"/>
              <w:spacing w:line="20" w:lineRule="atLeast"/>
              <w:ind w:hanging="55"/>
              <w:jc w:val="center"/>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D5451" w:rsidRPr="005D6E5F" w:rsidP="00BA78E4">
            <w:pPr>
              <w:bidi w:val="0"/>
              <w:jc w:val="center"/>
              <w:rPr>
                <w:rFonts w:ascii="Times New Roman" w:hAnsi="Times New Roman"/>
                <w:b/>
                <w:i/>
                <w:iCs/>
                <w:color w:val="000000" w:themeColor="tx1" w:themeShade="FF"/>
                <w:sz w:val="20"/>
                <w:szCs w:val="20"/>
              </w:rPr>
            </w:pPr>
            <w:r w:rsidRPr="005D6E5F">
              <w:rPr>
                <w:rFonts w:ascii="Times New Roman" w:hAnsi="Times New Roman"/>
                <w:b/>
                <w:color w:val="000000" w:themeColor="tx1" w:themeShade="FF"/>
                <w:sz w:val="20"/>
                <w:szCs w:val="20"/>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D5451" w:rsidRPr="005D6E5F" w:rsidP="00BA78E4">
            <w:pPr>
              <w:bidi w:val="0"/>
              <w:jc w:val="center"/>
              <w:rPr>
                <w:rFonts w:ascii="Times New Roman" w:hAnsi="Times New Roman"/>
                <w:b/>
                <w:i/>
                <w:iCs/>
                <w:color w:val="000000" w:themeColor="tx1" w:themeShade="FF"/>
                <w:sz w:val="20"/>
                <w:szCs w:val="20"/>
              </w:rPr>
            </w:pPr>
            <w:r w:rsidRPr="005D6E5F">
              <w:rPr>
                <w:rFonts w:ascii="Times New Roman" w:hAnsi="Times New Roman"/>
                <w:b/>
                <w:color w:val="000000" w:themeColor="tx1" w:themeShade="FF"/>
                <w:sz w:val="20"/>
                <w:szCs w:val="20"/>
              </w:rPr>
              <w:t>Nadrezortná úroveň</w:t>
            </w:r>
          </w:p>
          <w:p w:rsidR="00DD5451" w:rsidRPr="005D6E5F" w:rsidP="00BA78E4">
            <w:pPr>
              <w:bidi w:val="0"/>
              <w:jc w:val="center"/>
              <w:rPr>
                <w:rFonts w:ascii="Times New Roman" w:hAnsi="Times New Roman"/>
                <w:b/>
                <w:color w:val="000000" w:themeColor="tx1" w:themeShade="FF"/>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D5451" w:rsidRPr="005D6E5F" w:rsidP="00BA78E4">
            <w:pPr>
              <w:bidi w:val="0"/>
              <w:rPr>
                <w:rFonts w:ascii="Times New Roman" w:hAnsi="Times New Roman"/>
                <w:b/>
                <w:color w:val="000000" w:themeColor="tx1" w:themeShade="FF"/>
                <w:sz w:val="20"/>
                <w:szCs w:val="20"/>
              </w:rPr>
            </w:pPr>
            <w:r w:rsidRPr="005D6E5F">
              <w:rPr>
                <w:rFonts w:ascii="Times New Roman" w:hAnsi="Times New Roman"/>
                <w:b/>
                <w:color w:val="000000" w:themeColor="tx1" w:themeShade="FF"/>
                <w:sz w:val="20"/>
                <w:szCs w:val="20"/>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both"/>
              <w:rPr>
                <w:rFonts w:ascii="Times New Roman" w:hAnsi="Times New Roman"/>
                <w:color w:val="000000" w:themeColor="tx1" w:themeShade="FF"/>
                <w:sz w:val="20"/>
                <w:szCs w:val="20"/>
              </w:rPr>
            </w:pPr>
            <w:r w:rsidRPr="005D6E5F">
              <w:rPr>
                <w:rFonts w:ascii="Times New Roman" w:hAnsi="Times New Roman"/>
                <w:b/>
                <w:color w:val="000000" w:themeColor="tx1" w:themeShade="FF"/>
                <w:sz w:val="20"/>
                <w:szCs w:val="20"/>
              </w:rPr>
              <w:t>6.3.</w:t>
            </w:r>
            <w:r w:rsidRPr="005D6E5F">
              <w:rPr>
                <w:rFonts w:ascii="Times New Roman" w:hAnsi="Times New Roman"/>
                <w:color w:val="000000" w:themeColor="tx1" w:themeShade="FF"/>
                <w:sz w:val="20"/>
                <w:szCs w:val="20"/>
              </w:rPr>
              <w:t xml:space="preserve"> Vyžaduje si proces informatizácie  finančné investície?</w:t>
            </w:r>
          </w:p>
          <w:p w:rsidR="00DD5451" w:rsidRPr="005D6E5F" w:rsidP="00BA78E4">
            <w:pPr>
              <w:bidi w:val="0"/>
              <w:spacing w:line="20" w:lineRule="atLeast"/>
              <w:jc w:val="both"/>
              <w:rPr>
                <w:rFonts w:ascii="Times New Roman" w:hAnsi="Times New Roman"/>
                <w:color w:val="000000" w:themeColor="tx1" w:themeShade="FF"/>
                <w:sz w:val="20"/>
                <w:szCs w:val="20"/>
              </w:rPr>
            </w:pPr>
            <w:r w:rsidRPr="005D6E5F">
              <w:rPr>
                <w:rFonts w:ascii="Times New Roman" w:hAnsi="Times New Roman"/>
                <w:i/>
                <w:iCs/>
                <w:color w:val="000000" w:themeColor="tx1" w:themeShade="FF"/>
                <w:sz w:val="20"/>
                <w:szCs w:val="20"/>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jc w:val="center"/>
              <w:rPr>
                <w:rFonts w:ascii="Times New Roman" w:hAnsi="Times New Roman"/>
                <w:b/>
                <w:iCs/>
                <w:color w:val="000000" w:themeColor="tx1" w:themeShade="FF"/>
                <w:sz w:val="20"/>
                <w:szCs w:val="20"/>
              </w:rPr>
            </w:pPr>
          </w:p>
          <w:p w:rsidR="00DD5451" w:rsidRPr="005D6E5F" w:rsidP="00BA78E4">
            <w:pPr>
              <w:bidi w:val="0"/>
              <w:jc w:val="center"/>
              <w:rPr>
                <w:rFonts w:ascii="Times New Roman" w:hAnsi="Times New Roman"/>
                <w:b/>
                <w:iCs/>
                <w:color w:val="000000" w:themeColor="tx1" w:themeShade="FF"/>
                <w:sz w:val="20"/>
                <w:szCs w:val="20"/>
              </w:rPr>
            </w:pPr>
            <w:r w:rsidRPr="005D6E5F">
              <w:rPr>
                <w:rFonts w:ascii="Times New Roman" w:hAnsi="Times New Roman"/>
                <w:b/>
                <w:iCs/>
                <w:color w:val="000000" w:themeColor="tx1" w:themeShade="FF"/>
                <w:sz w:val="20"/>
                <w:szCs w:val="20"/>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rPr>
                <w:rFonts w:ascii="Times New Roman" w:hAnsi="Times New Roman"/>
                <w:i/>
                <w:iCs/>
                <w:color w:val="000000" w:themeColor="tx1" w:themeShade="FF"/>
                <w:sz w:val="20"/>
                <w:szCs w:val="20"/>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DD5451" w:rsidRPr="005D6E5F" w:rsidP="00BA78E4">
            <w:pPr>
              <w:bidi w:val="0"/>
              <w:rPr>
                <w:rFonts w:ascii="Times New Roman" w:hAnsi="Times New Roman"/>
                <w:i/>
                <w:iCs/>
                <w:color w:val="000000" w:themeColor="tx1" w:themeShade="FF"/>
                <w:sz w:val="20"/>
                <w:szCs w:val="20"/>
              </w:rPr>
            </w:pPr>
          </w:p>
        </w:tc>
      </w:tr>
    </w:tbl>
    <w:p w:rsidR="00DD5451" w:rsidRPr="005D6E5F" w:rsidP="00DD5451">
      <w:pPr>
        <w:bidi w:val="0"/>
        <w:rPr>
          <w:rFonts w:ascii="Times New Roman" w:hAnsi="Times New Roman"/>
          <w:b/>
          <w:bCs/>
          <w:color w:val="000000" w:themeColor="tx1" w:themeShade="FF"/>
          <w:sz w:val="20"/>
          <w:szCs w:val="20"/>
        </w:rPr>
      </w:pPr>
    </w:p>
    <w:p w:rsidR="00DD5451" w:rsidRPr="005D6E5F" w:rsidP="00DD5451">
      <w:pPr>
        <w:bidi w:val="0"/>
        <w:rPr>
          <w:b/>
          <w:bCs/>
          <w:color w:val="000000" w:themeColor="tx1" w:themeShade="FF"/>
          <w:sz w:val="24"/>
          <w:szCs w:val="24"/>
        </w:rPr>
      </w:pPr>
    </w:p>
    <w:p w:rsidR="00DD5451" w:rsidRPr="005D6E5F" w:rsidP="00DD5451">
      <w:pPr>
        <w:autoSpaceDE w:val="0"/>
        <w:autoSpaceDN w:val="0"/>
        <w:bidi w:val="0"/>
        <w:adjustRightInd w:val="0"/>
        <w:jc w:val="center"/>
        <w:rPr>
          <w:b/>
          <w:bCs/>
          <w:color w:val="000000" w:themeColor="tx1" w:themeShade="FF"/>
          <w:sz w:val="28"/>
          <w:szCs w:val="28"/>
        </w:rPr>
      </w:pPr>
    </w:p>
    <w:p w:rsidR="00887A14" w:rsidRPr="005D6E5F" w:rsidP="00887A14">
      <w:pPr>
        <w:bidi w:val="0"/>
        <w:spacing w:after="0" w:line="240" w:lineRule="auto"/>
        <w:jc w:val="center"/>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 xml:space="preserve">DOLOŽKA ZLUČITEĽNOSTI </w:t>
      </w:r>
    </w:p>
    <w:p w:rsidR="00887A14" w:rsidRPr="005D6E5F" w:rsidP="00887A14">
      <w:pPr>
        <w:bidi w:val="0"/>
        <w:spacing w:after="0" w:line="240" w:lineRule="auto"/>
        <w:jc w:val="center"/>
        <w:rPr>
          <w:rFonts w:ascii="Times New Roman" w:hAnsi="Times New Roman"/>
          <w:b/>
          <w:bCs/>
          <w:color w:val="000000" w:themeColor="tx1" w:themeShade="FF"/>
          <w:sz w:val="24"/>
          <w:szCs w:val="24"/>
        </w:rPr>
      </w:pPr>
    </w:p>
    <w:p w:rsidR="00887A14" w:rsidRPr="005D6E5F" w:rsidP="00887A14">
      <w:pPr>
        <w:bidi w:val="0"/>
        <w:spacing w:after="0" w:line="240" w:lineRule="auto"/>
        <w:jc w:val="center"/>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právneho predpisu s právom Európskej únie</w:t>
      </w:r>
    </w:p>
    <w:p w:rsidR="00887A14" w:rsidRPr="005D6E5F" w:rsidP="00887A14">
      <w:pPr>
        <w:bidi w:val="0"/>
        <w:spacing w:after="0" w:line="240" w:lineRule="auto"/>
        <w:jc w:val="center"/>
        <w:rPr>
          <w:rFonts w:ascii="Times New Roman" w:hAnsi="Times New Roman"/>
          <w:b/>
          <w:bCs/>
          <w:color w:val="000000" w:themeColor="tx1" w:themeShade="FF"/>
          <w:sz w:val="24"/>
          <w:szCs w:val="24"/>
        </w:rPr>
      </w:pPr>
    </w:p>
    <w:p w:rsidR="00887A14" w:rsidRPr="005D6E5F" w:rsidP="00887A14">
      <w:pPr>
        <w:bidi w:val="0"/>
        <w:spacing w:after="0" w:line="240" w:lineRule="auto"/>
        <w:jc w:val="center"/>
        <w:rPr>
          <w:rFonts w:ascii="Times New Roman" w:hAnsi="Times New Roman"/>
          <w:b/>
          <w:bCs/>
          <w:color w:val="000000" w:themeColor="tx1" w:themeShade="FF"/>
          <w:sz w:val="24"/>
          <w:szCs w:val="24"/>
        </w:rPr>
      </w:pPr>
    </w:p>
    <w:p w:rsidR="00887A14" w:rsidRPr="005D6E5F" w:rsidP="00887A14">
      <w:pPr>
        <w:bidi w:val="0"/>
        <w:spacing w:after="0" w:line="240" w:lineRule="auto"/>
        <w:jc w:val="both"/>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 xml:space="preserve">1. Navrhovateľ zákona: </w:t>
      </w:r>
    </w:p>
    <w:p w:rsidR="00887A14" w:rsidRPr="005D6E5F" w:rsidP="00887A14">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Ministerstvo dopravy a výstavby Slovenskej republiky.</w:t>
      </w:r>
    </w:p>
    <w:p w:rsidR="00887A14" w:rsidRPr="005D6E5F" w:rsidP="00887A14">
      <w:pPr>
        <w:bidi w:val="0"/>
        <w:spacing w:after="0" w:line="240" w:lineRule="auto"/>
        <w:jc w:val="both"/>
        <w:rPr>
          <w:rFonts w:ascii="Times New Roman" w:hAnsi="Times New Roman"/>
          <w:color w:val="000000" w:themeColor="tx1" w:themeShade="FF"/>
          <w:sz w:val="24"/>
          <w:szCs w:val="24"/>
        </w:rPr>
      </w:pPr>
    </w:p>
    <w:p w:rsidR="00887A14" w:rsidRPr="005D6E5F" w:rsidP="00887A14">
      <w:pPr>
        <w:numPr>
          <w:numId w:val="9"/>
        </w:numPr>
        <w:tabs>
          <w:tab w:val="num" w:pos="284"/>
          <w:tab w:val="num" w:pos="567"/>
          <w:tab w:val="clear" w:pos="720"/>
        </w:tabs>
        <w:bidi w:val="0"/>
        <w:spacing w:after="0" w:line="240" w:lineRule="auto"/>
        <w:ind w:hanging="720"/>
        <w:jc w:val="both"/>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Názov návrhu zákona:</w:t>
      </w:r>
    </w:p>
    <w:p w:rsidR="00887A14" w:rsidRPr="005D6E5F" w:rsidP="00887A14">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Návrh zákona, </w:t>
      </w:r>
      <w:r w:rsidRPr="005D6E5F">
        <w:rPr>
          <w:rFonts w:ascii="Times New Roman" w:hAnsi="Times New Roman"/>
          <w:color w:val="000000" w:themeColor="tx1" w:themeShade="FF"/>
          <w:sz w:val="24"/>
          <w:szCs w:val="24"/>
          <w:lang w:eastAsia="cs-CZ"/>
        </w:rPr>
        <w:t xml:space="preserve">ktorým </w:t>
      </w:r>
      <w:r w:rsidRPr="005D6E5F">
        <w:rPr>
          <w:rStyle w:val="PlaceholderText"/>
          <w:rFonts w:ascii="Times New Roman" w:hAnsi="Times New Roman"/>
          <w:color w:val="000000" w:themeColor="tx1" w:themeShade="FF"/>
          <w:sz w:val="24"/>
          <w:szCs w:val="24"/>
        </w:rPr>
        <w:t xml:space="preserve">sa mení a dopĺňa zákon č. </w:t>
      </w:r>
      <w:hyperlink r:id="rId4" w:tooltip="Odkaz na predpis alebo ustanovenie" w:history="1">
        <w:r w:rsidRPr="005D6E5F">
          <w:rPr>
            <w:rFonts w:ascii="Times New Roman" w:hAnsi="Times New Roman"/>
            <w:color w:val="000000" w:themeColor="tx1" w:themeShade="FF"/>
            <w:sz w:val="24"/>
            <w:szCs w:val="24"/>
          </w:rPr>
          <w:t xml:space="preserve">474/2013 Z. z. </w:t>
        </w:r>
      </w:hyperlink>
      <w:r w:rsidRPr="005D6E5F">
        <w:rPr>
          <w:rFonts w:ascii="Times New Roman" w:hAnsi="Times New Roman"/>
          <w:color w:val="000000" w:themeColor="tx1" w:themeShade="FF"/>
          <w:sz w:val="24"/>
          <w:szCs w:val="24"/>
        </w:rPr>
        <w:t>o výbere mýta za užívanie vymedzených úsekov pozemných komunikácií a o zmene a doplnení niektorých zákonov v znení neskorších predpisov a ktorým sa menia a dopĺňajú niektoré zákony.</w:t>
      </w:r>
    </w:p>
    <w:p w:rsidR="00887A14" w:rsidRPr="005D6E5F" w:rsidP="00887A14">
      <w:pPr>
        <w:bidi w:val="0"/>
        <w:spacing w:after="0" w:line="240" w:lineRule="auto"/>
        <w:jc w:val="both"/>
        <w:rPr>
          <w:rFonts w:ascii="Times New Roman" w:hAnsi="Times New Roman"/>
          <w:color w:val="000000" w:themeColor="tx1" w:themeShade="FF"/>
          <w:sz w:val="24"/>
          <w:szCs w:val="24"/>
        </w:rPr>
      </w:pPr>
    </w:p>
    <w:p w:rsidR="00887A14" w:rsidRPr="005D6E5F" w:rsidP="00887A14">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b/>
          <w:color w:val="000000" w:themeColor="tx1" w:themeShade="FF"/>
          <w:sz w:val="24"/>
          <w:szCs w:val="24"/>
        </w:rPr>
        <w:t>3. Predmet návrhu zákona je upravený v práve Európskej únie:</w:t>
      </w:r>
    </w:p>
    <w:p w:rsidR="00887A14" w:rsidRPr="005D6E5F" w:rsidP="00887A14">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a)      v primárnom práve:  </w:t>
      </w:r>
    </w:p>
    <w:p w:rsidR="00887A14" w:rsidRPr="005D6E5F" w:rsidP="00887A14">
      <w:pPr>
        <w:numPr>
          <w:numId w:val="10"/>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v čl. 4 a čl. 91 Zmluvy o fungovaní Európskej únie, </w:t>
      </w:r>
    </w:p>
    <w:p w:rsidR="00887A14" w:rsidRPr="005D6E5F" w:rsidP="00887A14">
      <w:pPr>
        <w:bidi w:val="0"/>
        <w:spacing w:after="0" w:line="240" w:lineRule="auto"/>
        <w:jc w:val="both"/>
        <w:rPr>
          <w:rFonts w:ascii="Times New Roman" w:hAnsi="Times New Roman"/>
          <w:color w:val="000000" w:themeColor="tx1" w:themeShade="FF"/>
          <w:sz w:val="24"/>
          <w:szCs w:val="24"/>
        </w:rPr>
      </w:pPr>
    </w:p>
    <w:p w:rsidR="00887A14" w:rsidRPr="005D6E5F" w:rsidP="00887A14">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b)      v sekundárnom práve: </w:t>
      </w:r>
    </w:p>
    <w:p w:rsidR="00887A14" w:rsidRPr="005D6E5F" w:rsidP="00887A14">
      <w:pPr>
        <w:numPr>
          <w:numId w:val="11"/>
        </w:numPr>
        <w:bidi w:val="0"/>
        <w:spacing w:after="0" w:line="240" w:lineRule="auto"/>
        <w:ind w:left="709"/>
        <w:contextualSpacing/>
        <w:jc w:val="both"/>
        <w:rPr>
          <w:rFonts w:ascii="Times New Roman" w:eastAsia="SimSun" w:hAnsi="Times New Roman"/>
          <w:color w:val="000000" w:themeColor="tx1" w:themeShade="FF"/>
          <w:sz w:val="24"/>
          <w:szCs w:val="24"/>
        </w:rPr>
      </w:pPr>
      <w:r w:rsidRPr="005D6E5F">
        <w:rPr>
          <w:rFonts w:ascii="Times New Roman" w:eastAsia="SimSun" w:hAnsi="Times New Roman"/>
          <w:color w:val="000000" w:themeColor="tx1" w:themeShade="FF"/>
          <w:sz w:val="24"/>
          <w:szCs w:val="24"/>
        </w:rPr>
        <w:t>smernica</w:t>
      </w:r>
      <w:r w:rsidRPr="005D6E5F">
        <w:rPr>
          <w:rFonts w:ascii="Times New Roman" w:hAnsi="Times New Roman"/>
          <w:color w:val="000000" w:themeColor="tx1" w:themeShade="FF"/>
          <w:sz w:val="24"/>
          <w:szCs w:val="24"/>
          <w:shd w:val="clear" w:color="auto" w:fill="FFFFFF"/>
        </w:rPr>
        <w:t xml:space="preserve"> </w:t>
      </w:r>
      <w:r w:rsidRPr="005D6E5F">
        <w:rPr>
          <w:rFonts w:ascii="Times New Roman" w:hAnsi="Times New Roman"/>
          <w:color w:val="000000" w:themeColor="tx1" w:themeShade="FF"/>
          <w:sz w:val="24"/>
          <w:szCs w:val="24"/>
        </w:rPr>
        <w:t xml:space="preserve">Európskeho Parlamentu a Rady (EÚ) 2019/520 z 19. marca 2019 </w:t>
        <w:br/>
        <w:t xml:space="preserve">o interoperabilite elektronických cestných mýtnych systémov a uľahčení cezhraničnej výmeny informácií o neuhradenom cestnom mýte v Únii (prepracované znenie) </w:t>
      </w:r>
      <w:r w:rsidRPr="005D6E5F">
        <w:rPr>
          <w:rFonts w:ascii="Times New Roman" w:hAnsi="Times New Roman"/>
          <w:color w:val="000000" w:themeColor="tx1" w:themeShade="FF"/>
          <w:sz w:val="24"/>
          <w:szCs w:val="24"/>
          <w:shd w:val="clear" w:color="auto" w:fill="FFFFFF"/>
        </w:rPr>
        <w:t>(</w:t>
      </w:r>
      <w:r w:rsidRPr="005D6E5F">
        <w:rPr>
          <w:rFonts w:ascii="Times New Roman" w:hAnsi="Times New Roman"/>
          <w:iCs/>
          <w:color w:val="000000" w:themeColor="tx1" w:themeShade="FF"/>
          <w:sz w:val="24"/>
          <w:szCs w:val="24"/>
        </w:rPr>
        <w:t>Ú. v. EÚ L 91, 29.3.2019)</w:t>
      </w:r>
      <w:r w:rsidRPr="005D6E5F">
        <w:rPr>
          <w:rFonts w:ascii="Times New Roman" w:hAnsi="Times New Roman"/>
          <w:color w:val="000000" w:themeColor="tx1" w:themeShade="FF"/>
          <w:sz w:val="24"/>
          <w:szCs w:val="24"/>
          <w:shd w:val="clear" w:color="auto" w:fill="FFFFFF"/>
        </w:rPr>
        <w:t xml:space="preserve"> </w:t>
      </w:r>
      <w:r w:rsidRPr="005D6E5F">
        <w:rPr>
          <w:rFonts w:ascii="Times New Roman" w:hAnsi="Times New Roman"/>
          <w:color w:val="000000" w:themeColor="tx1" w:themeShade="FF"/>
          <w:sz w:val="24"/>
          <w:szCs w:val="24"/>
        </w:rPr>
        <w:t>– gestor MDV SR</w:t>
      </w:r>
      <w:r w:rsidRPr="005D6E5F">
        <w:rPr>
          <w:rFonts w:ascii="Times New Roman" w:eastAsia="SimSun" w:hAnsi="Times New Roman"/>
          <w:color w:val="000000" w:themeColor="tx1" w:themeShade="FF"/>
          <w:sz w:val="24"/>
          <w:szCs w:val="24"/>
        </w:rPr>
        <w:t>,</w:t>
      </w:r>
    </w:p>
    <w:p w:rsidR="00887A14" w:rsidRPr="005D6E5F" w:rsidP="00887A14">
      <w:pPr>
        <w:numPr>
          <w:numId w:val="11"/>
        </w:numPr>
        <w:bidi w:val="0"/>
        <w:spacing w:after="0" w:line="240" w:lineRule="auto"/>
        <w:ind w:left="709"/>
        <w:contextualSpacing/>
        <w:jc w:val="both"/>
        <w:rPr>
          <w:rFonts w:ascii="Times New Roman" w:eastAsia="SimSun" w:hAnsi="Times New Roman"/>
          <w:color w:val="000000" w:themeColor="tx1" w:themeShade="FF"/>
          <w:sz w:val="24"/>
          <w:szCs w:val="24"/>
        </w:rPr>
      </w:pPr>
      <w:r w:rsidRPr="005D6E5F">
        <w:rPr>
          <w:rFonts w:ascii="Times New Roman" w:hAnsi="Times New Roman"/>
          <w:color w:val="000000" w:themeColor="tx1" w:themeShade="FF"/>
          <w:sz w:val="24"/>
          <w:szCs w:val="24"/>
        </w:rPr>
        <w:t>vykonávacie nariadenie Komisie (EÚ) 2020/204 z 28. novembra 2019 o podrobných povinnostiach poskytovateľov Európskej služby elektronického výberu mýta, minimálnom obsahu prehľadu o oblasti Európskej služby elektronického výberu mýta, elektronických rozhraniach, požiadavkách na zložky interoperability a o zrušení rozhodnutia 2009/750/ES (U. v. EÚ L 43, 17.2.2020) - gestor MDV SR,</w:t>
      </w:r>
    </w:p>
    <w:p w:rsidR="00887A14" w:rsidRPr="005D6E5F" w:rsidP="00887A14">
      <w:pPr>
        <w:numPr>
          <w:numId w:val="11"/>
        </w:numPr>
        <w:bidi w:val="0"/>
        <w:spacing w:after="0" w:line="240" w:lineRule="auto"/>
        <w:ind w:left="709"/>
        <w:contextualSpacing/>
        <w:jc w:val="both"/>
        <w:rPr>
          <w:rFonts w:ascii="Times New Roman" w:eastAsia="SimSun" w:hAnsi="Times New Roman"/>
          <w:color w:val="000000" w:themeColor="tx1" w:themeShade="FF"/>
          <w:sz w:val="24"/>
          <w:szCs w:val="24"/>
        </w:rPr>
      </w:pPr>
      <w:r w:rsidRPr="005D6E5F">
        <w:rPr>
          <w:rFonts w:ascii="Times New Roman" w:hAnsi="Times New Roman"/>
          <w:color w:val="000000" w:themeColor="tx1" w:themeShade="FF"/>
          <w:sz w:val="24"/>
          <w:szCs w:val="24"/>
        </w:rPr>
        <w:t>delegované nariadenie Komisie (EÚ) 2020/203 z 28. novembra 2019 o klasifikácií vozidiel, povinnostiach používateľov Európskej služby elektronického výberu mýta, požiadavkách na zložky interoperability a minimálnych kritériách oprávnenosti pre notifikované orgány (Ú. v. EÚ L 43, 17.2.2020) - gestor MDV SR,</w:t>
      </w:r>
    </w:p>
    <w:p w:rsidR="00887A14" w:rsidRPr="005D6E5F" w:rsidP="00887A14">
      <w:pPr>
        <w:numPr>
          <w:numId w:val="11"/>
        </w:numPr>
        <w:bidi w:val="0"/>
        <w:spacing w:after="0" w:line="240" w:lineRule="auto"/>
        <w:ind w:left="709"/>
        <w:contextualSpacing/>
        <w:jc w:val="both"/>
        <w:rPr>
          <w:rFonts w:ascii="Times New Roman" w:eastAsia="SimSun" w:hAnsi="Times New Roman"/>
          <w:color w:val="000000" w:themeColor="tx1" w:themeShade="FF"/>
          <w:sz w:val="24"/>
          <w:szCs w:val="24"/>
        </w:rPr>
      </w:pPr>
      <w:r w:rsidRPr="005D6E5F">
        <w:rPr>
          <w:rFonts w:ascii="Times New Roman" w:hAnsi="Times New Roman"/>
          <w:color w:val="000000" w:themeColor="tx1" w:themeShade="FF"/>
          <w:sz w:val="24"/>
          <w:szCs w:val="24"/>
        </w:rPr>
        <w:t xml:space="preserve">nariadenie Európskeho parlamentu a Rady (EÚ) 2018/858 z 30. mája 2018 </w:t>
        <w:br/>
        <w:t xml:space="preserve">o schvaľovaní motorových vozidiel a ich prípojných vozidiel, ako aj systémov, komponentov a samostatných technických jednotiek určených pre takéto vozidlá a </w:t>
        <w:br/>
        <w:t xml:space="preserve">o dohľade nad trhom s nimi, ktorým sa menia nariadenia (ES) č. 715/2007 a (ES) </w:t>
        <w:br/>
        <w:t xml:space="preserve">č. 595/2009 a zrušuje smernica 2007/46/ES (Ú. v. EÚ L 151, 14.6.2018) – gestor MDV SR, </w:t>
      </w:r>
    </w:p>
    <w:p w:rsidR="00887A14" w:rsidRPr="005D6E5F" w:rsidP="00887A14">
      <w:pPr>
        <w:bidi w:val="0"/>
        <w:spacing w:after="0" w:line="240" w:lineRule="auto"/>
        <w:ind w:left="480" w:hanging="480"/>
        <w:jc w:val="both"/>
        <w:rPr>
          <w:rFonts w:ascii="Times New Roman" w:hAnsi="Times New Roman"/>
          <w:color w:val="000000" w:themeColor="tx1" w:themeShade="FF"/>
          <w:sz w:val="24"/>
          <w:szCs w:val="24"/>
        </w:rPr>
      </w:pPr>
    </w:p>
    <w:p w:rsidR="00887A14" w:rsidRPr="005D6E5F" w:rsidP="00887A14">
      <w:pPr>
        <w:bidi w:val="0"/>
        <w:spacing w:after="0" w:line="240" w:lineRule="auto"/>
        <w:ind w:left="480" w:hanging="480"/>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c)       v judikatúre Súdneho dvora Európskej únie:</w:t>
      </w:r>
    </w:p>
    <w:p w:rsidR="00887A14" w:rsidRPr="005D6E5F" w:rsidP="00887A14">
      <w:pPr>
        <w:bidi w:val="0"/>
        <w:spacing w:after="0" w:line="240" w:lineRule="auto"/>
        <w:ind w:left="480" w:hanging="480"/>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ab/>
        <w:t>-  nie je</w:t>
      </w:r>
    </w:p>
    <w:p w:rsidR="00887A14" w:rsidRPr="005D6E5F" w:rsidP="00887A14">
      <w:pPr>
        <w:bidi w:val="0"/>
        <w:spacing w:after="0" w:line="240" w:lineRule="auto"/>
        <w:ind w:left="480" w:hanging="480"/>
        <w:jc w:val="both"/>
        <w:rPr>
          <w:rFonts w:ascii="Times New Roman" w:hAnsi="Times New Roman"/>
          <w:color w:val="000000" w:themeColor="tx1" w:themeShade="FF"/>
          <w:sz w:val="24"/>
          <w:szCs w:val="24"/>
        </w:rPr>
      </w:pPr>
    </w:p>
    <w:p w:rsidR="00887A14" w:rsidRPr="005D6E5F" w:rsidP="00887A14">
      <w:pPr>
        <w:bidi w:val="0"/>
        <w:spacing w:after="0" w:line="240" w:lineRule="auto"/>
        <w:rPr>
          <w:rFonts w:ascii="Times New Roman" w:hAnsi="Times New Roman"/>
          <w:b/>
          <w:color w:val="000000" w:themeColor="tx1" w:themeShade="FF"/>
          <w:sz w:val="24"/>
          <w:szCs w:val="24"/>
        </w:rPr>
      </w:pPr>
      <w:r w:rsidRPr="005D6E5F">
        <w:rPr>
          <w:rFonts w:ascii="Times New Roman" w:hAnsi="Times New Roman"/>
          <w:b/>
          <w:color w:val="000000" w:themeColor="tx1" w:themeShade="FF"/>
          <w:sz w:val="24"/>
          <w:szCs w:val="24"/>
        </w:rPr>
        <w:t>4. Záväzky Slovenskej republiky vo vzťahu k  Európskej únii:</w:t>
      </w:r>
    </w:p>
    <w:p w:rsidR="00887A14" w:rsidRPr="005D6E5F" w:rsidP="00887A14">
      <w:pPr>
        <w:autoSpaceDE w:val="0"/>
        <w:autoSpaceDN w:val="0"/>
        <w:bidi w:val="0"/>
        <w:spacing w:after="0" w:line="240" w:lineRule="auto"/>
        <w:contextualSpacing/>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a)  lehota na prebratie príslušného právneho aktu Európskej únie:</w:t>
      </w:r>
    </w:p>
    <w:p w:rsidR="00887A14" w:rsidRPr="005D6E5F" w:rsidP="00887A14">
      <w:pPr>
        <w:numPr>
          <w:numId w:val="10"/>
        </w:numPr>
        <w:bidi w:val="0"/>
        <w:spacing w:after="0" w:line="240" w:lineRule="auto"/>
        <w:jc w:val="both"/>
        <w:rPr>
          <w:rFonts w:ascii="Times New Roman" w:eastAsia="SimSun" w:hAnsi="Times New Roman" w:hint="default"/>
          <w:color w:val="000000" w:themeColor="tx1" w:themeShade="FF"/>
          <w:sz w:val="24"/>
          <w:szCs w:val="24"/>
        </w:rPr>
      </w:pPr>
      <w:r w:rsidRPr="005D6E5F">
        <w:rPr>
          <w:rFonts w:ascii="Times New Roman" w:eastAsia="SimSun" w:hAnsi="Times New Roman"/>
          <w:color w:val="000000" w:themeColor="tx1" w:themeShade="FF"/>
          <w:sz w:val="24"/>
          <w:szCs w:val="24"/>
        </w:rPr>
        <w:t xml:space="preserve">smernicu </w:t>
      </w:r>
      <w:r w:rsidRPr="005D6E5F">
        <w:rPr>
          <w:rFonts w:ascii="Times New Roman" w:hAnsi="Times New Roman"/>
          <w:color w:val="000000" w:themeColor="tx1" w:themeShade="FF"/>
          <w:sz w:val="24"/>
          <w:szCs w:val="24"/>
        </w:rPr>
        <w:t xml:space="preserve">Európskeho Parlamentu a Rady (EÚ) 2019/520 z 19. marca 2019 </w:t>
        <w:br/>
        <w:t xml:space="preserve">o interoperabilite elektronických cestných mýtnych systémov a uľahčení cezhraničnej výmeny informácií o neuhradenom cestnom mýte v Únii </w:t>
      </w:r>
      <w:r w:rsidRPr="005D6E5F">
        <w:rPr>
          <w:rFonts w:ascii="Times New Roman" w:hAnsi="Times New Roman"/>
          <w:color w:val="000000" w:themeColor="tx1" w:themeShade="FF"/>
          <w:sz w:val="24"/>
          <w:szCs w:val="24"/>
          <w:shd w:val="clear" w:color="auto" w:fill="FFFFFF"/>
        </w:rPr>
        <w:t>(</w:t>
      </w:r>
      <w:r w:rsidRPr="005D6E5F">
        <w:rPr>
          <w:rFonts w:ascii="Times New Roman" w:hAnsi="Times New Roman"/>
          <w:i/>
          <w:iCs/>
          <w:color w:val="000000" w:themeColor="tx1" w:themeShade="FF"/>
          <w:sz w:val="24"/>
          <w:szCs w:val="24"/>
        </w:rPr>
        <w:t xml:space="preserve">Ú. v. EÚ L 91, 29.3.2019) </w:t>
        <w:br/>
      </w:r>
      <w:r w:rsidRPr="005D6E5F">
        <w:rPr>
          <w:rFonts w:ascii="Times New Roman" w:eastAsia="SimSun" w:hAnsi="Times New Roman" w:hint="default"/>
          <w:color w:val="000000" w:themeColor="tx1" w:themeShade="FF"/>
          <w:sz w:val="24"/>
          <w:szCs w:val="24"/>
        </w:rPr>
        <w:t>je Slovenská</w:t>
      </w:r>
      <w:r w:rsidRPr="005D6E5F">
        <w:rPr>
          <w:rFonts w:ascii="Times New Roman" w:eastAsia="SimSun" w:hAnsi="Times New Roman" w:hint="default"/>
          <w:color w:val="000000" w:themeColor="tx1" w:themeShade="FF"/>
          <w:sz w:val="24"/>
          <w:szCs w:val="24"/>
        </w:rPr>
        <w:t xml:space="preserve"> republika povinná</w:t>
      </w:r>
      <w:r w:rsidRPr="005D6E5F">
        <w:rPr>
          <w:rFonts w:ascii="Times New Roman" w:eastAsia="SimSun" w:hAnsi="Times New Roman" w:hint="default"/>
          <w:color w:val="000000" w:themeColor="tx1" w:themeShade="FF"/>
          <w:sz w:val="24"/>
          <w:szCs w:val="24"/>
        </w:rPr>
        <w:t xml:space="preserve"> transponovať</w:t>
      </w:r>
      <w:r w:rsidRPr="005D6E5F">
        <w:rPr>
          <w:rFonts w:ascii="Times New Roman" w:eastAsia="SimSun" w:hAnsi="Times New Roman" w:hint="default"/>
          <w:color w:val="000000" w:themeColor="tx1" w:themeShade="FF"/>
          <w:sz w:val="24"/>
          <w:szCs w:val="24"/>
        </w:rPr>
        <w:t xml:space="preserve"> do 19. októ</w:t>
      </w:r>
      <w:r w:rsidRPr="005D6E5F">
        <w:rPr>
          <w:rFonts w:ascii="Times New Roman" w:eastAsia="SimSun" w:hAnsi="Times New Roman" w:hint="default"/>
          <w:color w:val="000000" w:themeColor="tx1" w:themeShade="FF"/>
          <w:sz w:val="24"/>
          <w:szCs w:val="24"/>
        </w:rPr>
        <w:t>bra 2021,</w:t>
      </w:r>
    </w:p>
    <w:p w:rsidR="00887A14" w:rsidRPr="005D6E5F" w:rsidP="00887A14">
      <w:pPr>
        <w:bidi w:val="0"/>
        <w:spacing w:after="0" w:line="240" w:lineRule="auto"/>
        <w:jc w:val="both"/>
        <w:rPr>
          <w:rFonts w:ascii="Times New Roman" w:hAnsi="Times New Roman"/>
          <w:bCs/>
          <w:color w:val="000000" w:themeColor="tx1" w:themeShade="FF"/>
          <w:sz w:val="24"/>
          <w:szCs w:val="24"/>
        </w:rPr>
      </w:pPr>
    </w:p>
    <w:p w:rsidR="00887A14" w:rsidRPr="005D6E5F" w:rsidP="00887A14">
      <w:pPr>
        <w:bidi w:val="0"/>
        <w:spacing w:after="0" w:line="240" w:lineRule="auto"/>
        <w:ind w:left="284" w:hanging="284"/>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b) informácia o začatí konania v rámci „EÚ Pilot“ alebo o začatí postupu Európskej komisie , alebo o konaní Súdneho dvora Európskej únie proti Slovenskej republike podľa čl. 258  a 260 Zmluvy o fungovaní Európskej únie:</w:t>
      </w:r>
    </w:p>
    <w:p w:rsidR="00887A14" w:rsidRPr="005D6E5F" w:rsidP="00887A14">
      <w:pPr>
        <w:bidi w:val="0"/>
        <w:spacing w:after="0" w:line="240" w:lineRule="auto"/>
        <w:ind w:firstLine="284"/>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zo strany Európskej komisie nie je proti SR vedené žiadne  z uvedených konaní.</w:t>
      </w:r>
    </w:p>
    <w:p w:rsidR="00887A14" w:rsidRPr="005D6E5F" w:rsidP="00887A14">
      <w:pPr>
        <w:bidi w:val="0"/>
        <w:spacing w:after="0" w:line="240" w:lineRule="auto"/>
        <w:jc w:val="both"/>
        <w:rPr>
          <w:rFonts w:ascii="Times New Roman" w:hAnsi="Times New Roman"/>
          <w:i/>
          <w:color w:val="000000" w:themeColor="tx1" w:themeShade="FF"/>
          <w:sz w:val="24"/>
          <w:szCs w:val="24"/>
        </w:rPr>
      </w:pPr>
    </w:p>
    <w:p w:rsidR="00887A14" w:rsidRPr="005D6E5F" w:rsidP="00887A14">
      <w:pPr>
        <w:pStyle w:val="BodyTextIndent2"/>
        <w:bidi w:val="0"/>
        <w:spacing w:after="0" w:line="240" w:lineRule="auto"/>
        <w:ind w:left="284" w:hanging="284"/>
        <w:jc w:val="both"/>
        <w:rPr>
          <w:rFonts w:ascii="Times New Roman" w:hAnsi="Times New Roman" w:cs="Times New Roman"/>
          <w:color w:val="000000" w:themeColor="tx1" w:themeShade="FF"/>
          <w:sz w:val="24"/>
          <w:szCs w:val="24"/>
        </w:rPr>
      </w:pPr>
      <w:r w:rsidRPr="005D6E5F">
        <w:rPr>
          <w:rFonts w:ascii="Times New Roman" w:hAnsi="Times New Roman" w:cs="Times New Roman"/>
          <w:color w:val="000000" w:themeColor="tx1" w:themeShade="FF"/>
          <w:sz w:val="24"/>
          <w:szCs w:val="24"/>
        </w:rPr>
        <w:t xml:space="preserve">c) informácia o právnych predpisoch, v ktorých sú uvádzané právne akty Európskej únie prebrané spolu s uvedením rozsahu ich prebrania: </w:t>
      </w:r>
    </w:p>
    <w:p w:rsidR="00887A14" w:rsidRPr="005D6E5F" w:rsidP="00887A14">
      <w:pPr>
        <w:pStyle w:val="BodyTextIndent2"/>
        <w:bidi w:val="0"/>
        <w:spacing w:after="0" w:line="240" w:lineRule="auto"/>
        <w:ind w:left="284" w:hanging="284"/>
        <w:jc w:val="both"/>
        <w:rPr>
          <w:rFonts w:ascii="Times New Roman" w:hAnsi="Times New Roman" w:cs="Times New Roman"/>
          <w:color w:val="000000" w:themeColor="tx1" w:themeShade="FF"/>
          <w:sz w:val="24"/>
          <w:szCs w:val="24"/>
        </w:rPr>
      </w:pPr>
      <w:r w:rsidRPr="005D6E5F">
        <w:rPr>
          <w:rFonts w:ascii="Times New Roman" w:hAnsi="Times New Roman" w:cs="Times New Roman"/>
          <w:color w:val="000000" w:themeColor="tx1" w:themeShade="FF"/>
          <w:sz w:val="24"/>
          <w:szCs w:val="24"/>
        </w:rPr>
        <w:tab/>
        <w:tab/>
        <w:t>Smernica (EÚ) 2019/520:</w:t>
      </w:r>
    </w:p>
    <w:p w:rsidR="00887A14" w:rsidRPr="005D6E5F" w:rsidP="00887A14">
      <w:pPr>
        <w:numPr>
          <w:numId w:val="12"/>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Zákon č. 474/2013 Z. z. o výbere mýta za užívanie vymedzených úsekov pozemných komunikácií a o zmene a doplnení niektorých zákonov v znení neskorších predpisov</w:t>
      </w:r>
    </w:p>
    <w:p w:rsidR="00887A14" w:rsidRPr="005D6E5F" w:rsidP="00887A14">
      <w:pPr>
        <w:numPr>
          <w:numId w:val="12"/>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Zákon č. 488/2013 Z. z. o diaľničnej známke a o zmene niektorých zákonov v znení neskorších predpisov</w:t>
      </w:r>
    </w:p>
    <w:p w:rsidR="00887A14" w:rsidRPr="005D6E5F" w:rsidP="00887A14">
      <w:pPr>
        <w:numPr>
          <w:numId w:val="12"/>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Zákon č. 8/2009 Z. z. o cestnej premávke a o zmene a doplnení niektorých zákonov znení neskorších predpisov</w:t>
      </w:r>
    </w:p>
    <w:p w:rsidR="00887A14" w:rsidRPr="005D6E5F" w:rsidP="00887A14">
      <w:pPr>
        <w:pStyle w:val="ListParagraph"/>
        <w:numPr>
          <w:numId w:val="13"/>
        </w:num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novelizáciou uvedených zákonov prostredníctvom predkladaného návrhu dochádza k úplnej transpozícii smernice (EÚ) 2019/520</w:t>
      </w:r>
    </w:p>
    <w:p w:rsidR="00887A14" w:rsidRPr="005D6E5F" w:rsidP="00887A14">
      <w:pPr>
        <w:pStyle w:val="BodyTextIndent3"/>
        <w:bidi w:val="0"/>
        <w:spacing w:after="0"/>
        <w:ind w:left="0"/>
        <w:rPr>
          <w:rFonts w:ascii="Times New Roman" w:hAnsi="Times New Roman"/>
          <w:b/>
          <w:bCs/>
          <w:color w:val="000000" w:themeColor="tx1" w:themeShade="FF"/>
          <w:sz w:val="24"/>
          <w:szCs w:val="24"/>
        </w:rPr>
      </w:pPr>
    </w:p>
    <w:p w:rsidR="00887A14" w:rsidRPr="005D6E5F" w:rsidP="00887A14">
      <w:pPr>
        <w:pStyle w:val="BodyTextIndent3"/>
        <w:bidi w:val="0"/>
        <w:spacing w:after="0"/>
        <w:ind w:left="0"/>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5.  Návrh právneho predpisu je zlučiteľný s právom Európskej únie:</w:t>
      </w:r>
    </w:p>
    <w:p w:rsidR="00887A14" w:rsidRPr="005D6E5F" w:rsidP="00887A14">
      <w:pPr>
        <w:bidi w:val="0"/>
        <w:spacing w:after="0" w:line="240" w:lineRule="auto"/>
        <w:ind w:firstLine="284"/>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úplne</w:t>
      </w: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887A14" w:rsidRPr="005D6E5F" w:rsidP="00DD5451">
      <w:pPr>
        <w:autoSpaceDE w:val="0"/>
        <w:autoSpaceDN w:val="0"/>
        <w:bidi w:val="0"/>
        <w:adjustRightInd w:val="0"/>
        <w:jc w:val="center"/>
        <w:rPr>
          <w:b/>
          <w:bCs/>
          <w:color w:val="000000" w:themeColor="tx1" w:themeShade="FF"/>
          <w:sz w:val="28"/>
          <w:szCs w:val="28"/>
        </w:rPr>
      </w:pPr>
    </w:p>
    <w:p w:rsidR="00DD5451" w:rsidRPr="005D6E5F" w:rsidP="00DD5451">
      <w:pPr>
        <w:tabs>
          <w:tab w:val="left" w:pos="360"/>
        </w:tabs>
        <w:bidi w:val="0"/>
        <w:spacing w:after="0" w:line="240" w:lineRule="auto"/>
        <w:jc w:val="both"/>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B. Osobitná časť</w:t>
      </w:r>
    </w:p>
    <w:p w:rsidR="00DD5451" w:rsidRPr="005D6E5F" w:rsidP="00DD5451">
      <w:pPr>
        <w:bidi w:val="0"/>
        <w:spacing w:after="0" w:line="240" w:lineRule="auto"/>
        <w:rPr>
          <w:rFonts w:ascii="Times New Roman" w:hAnsi="Times New Roman"/>
          <w:b/>
          <w:bCs/>
          <w:color w:val="000000" w:themeColor="tx1" w:themeShade="FF"/>
          <w:sz w:val="24"/>
          <w:szCs w:val="24"/>
        </w:rPr>
      </w:pPr>
    </w:p>
    <w:p w:rsidR="00823315" w:rsidRPr="005D6E5F" w:rsidP="00DD5451">
      <w:pPr>
        <w:bidi w:val="0"/>
        <w:spacing w:after="0" w:line="240" w:lineRule="auto"/>
        <w:rPr>
          <w:rFonts w:ascii="Times New Roman" w:hAnsi="Times New Roman"/>
          <w:b/>
          <w:bCs/>
          <w:color w:val="000000" w:themeColor="tx1" w:themeShade="FF"/>
          <w:sz w:val="24"/>
          <w:szCs w:val="24"/>
        </w:rPr>
      </w:pP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r w:rsidRPr="005D6E5F">
        <w:rPr>
          <w:rFonts w:ascii="Times New Roman" w:hAnsi="Times New Roman"/>
          <w:b/>
          <w:bCs/>
          <w:color w:val="000000" w:themeColor="tx1" w:themeShade="FF"/>
          <w:kern w:val="36"/>
          <w:sz w:val="24"/>
          <w:szCs w:val="24"/>
          <w:lang w:eastAsia="sk-SK"/>
        </w:rPr>
        <w:t>K čl. I</w:t>
      </w: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bodom 1 a 4</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Legislatívno-technická úprava.</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2</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Ustanovuje sa elektronický mýtny systém, ktorý prostredníctvom súboru prvkov a prostredníctvom diaľkovej komunikácie s palubnou jednotkou umožňuje integráciu poskytovateľov Európskej služby elektronického výberu mýta a jej prevádzku.</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3</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r w:rsidRPr="005D6E5F">
        <w:rPr>
          <w:rFonts w:ascii="Times New Roman" w:hAnsi="Times New Roman"/>
          <w:color w:val="000000" w:themeColor="tx1" w:themeShade="FF"/>
          <w:kern w:val="36"/>
          <w:sz w:val="24"/>
          <w:szCs w:val="24"/>
          <w:lang w:eastAsia="sk-SK"/>
        </w:rPr>
        <w:t>Legislatívno-technické spresnenie.</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bodom 5, 6 a 10</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Ustanovuje sa povinnosť, aby poskytovatelia Európskej služby elektronického výberu mýta zverejňovali podmienky uzatvárania zmlúv s užívateľmi služby. Spojenie „obchodné podmienky“ sa v súlade s výberom mýta ako poplatkom zo zákona nahrádza vhodnejším spojením „podmienky elektronického výberu mýta“.</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bodom 7 až 9 a 21</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Technológie a palubné jednotky využívané v oblasti Európskej elektronickej služby mýta musia spĺňať požiadavky na interoperabilitu. Palubná jednotka, ktorá využíva technológiu satelitného určovania polohy, musí byť kompatibilná so službami určovania polohy systému Galileo a Európskej geostacionárnej navigačnej prekrývacej služby (EGNOS) a spolu s používanými technológiami spĺňať požiadavky vyplývajúce z delegovaného nariadenia Komisie (EÚ) 2020/203 z 28. novembra 2019 o klasifikácií vozidiel, povinnostiach používateľov Európskej služby elektronického výberu mýta, požiadavkách na zložky interoperability a minimálnych kritériách oprávnenosti pre notifikované orgány, vykonávacieho nariadenia Komisie (EÚ) 2020/204 z 28. novembra 2019 o podrobných povinnostiach poskytovateľov Európskej služby elektronického výberu mýta, minimálnom obsahu prehľadu o oblasti Európskej služby elektronického výberu mýta, elektronických rozhraniach, požiadavkách na zložky interoperability a o zrušení rozhodnutia 2009/750/ES a  nariadenia Európskeho parlamentu a Rady (ES) č. 765/2008 z 9. júla 2008, ktorým sa stanovujú požiadavky akreditácie a ktorým sa zrušuje nariadenie (EHS) č. 339/93 v platnom znení. Palubná jednotka môže byť umiestnená vo vozidle ako samostatné zariadenie alebo inštalovaná ako súčasť vozidla.</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11</w:t>
      </w: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kern w:val="36"/>
          <w:sz w:val="24"/>
          <w:szCs w:val="24"/>
          <w:lang w:eastAsia="sk-SK"/>
        </w:rPr>
        <w:t xml:space="preserve">Ustanovuje sa, že Národná diaľničná spoločnosť, a. s. ako správca výberu mýta v Slovenskej republike, vykonáva aj funkciu mýtneho úradu pre oblasť </w:t>
      </w:r>
      <w:r w:rsidRPr="005D6E5F">
        <w:rPr>
          <w:rFonts w:ascii="Times New Roman" w:hAnsi="Times New Roman"/>
          <w:color w:val="000000" w:themeColor="tx1" w:themeShade="FF"/>
          <w:sz w:val="24"/>
          <w:szCs w:val="24"/>
        </w:rPr>
        <w:t>Európskej služby elektronického výberu mýta a zároveň je hlavným poskytovateľom mýtnych služieb.</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12</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r w:rsidRPr="005D6E5F">
        <w:rPr>
          <w:rFonts w:ascii="Times New Roman" w:hAnsi="Times New Roman"/>
          <w:color w:val="000000" w:themeColor="tx1" w:themeShade="FF"/>
          <w:kern w:val="36"/>
          <w:sz w:val="24"/>
          <w:szCs w:val="24"/>
          <w:lang w:eastAsia="sk-SK"/>
        </w:rPr>
        <w:t>Legislatívno-technické spresnenie.</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bodom 13 a 14</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 xml:space="preserve">Ustanovuje sa, že získavať, spracúvať a uchovávať vymedzený okruh údajov o prevádzkovateľoch a vodičoch vozidiel na účely tohto zákona smie okrem správcu výberu mýta a poverenej osoby aj </w:t>
      </w:r>
      <w:r w:rsidRPr="005D6E5F">
        <w:rPr>
          <w:rFonts w:ascii="Times New Roman" w:hAnsi="Times New Roman"/>
          <w:color w:val="000000" w:themeColor="tx1" w:themeShade="FF"/>
          <w:sz w:val="24"/>
          <w:szCs w:val="24"/>
          <w:shd w:val="clear" w:color="auto" w:fill="FFFFFF"/>
        </w:rPr>
        <w:t xml:space="preserve">poskytovateľ </w:t>
      </w:r>
      <w:r w:rsidRPr="005D6E5F">
        <w:rPr>
          <w:rFonts w:ascii="Times New Roman" w:hAnsi="Times New Roman"/>
          <w:color w:val="000000" w:themeColor="tx1" w:themeShade="FF"/>
          <w:sz w:val="24"/>
          <w:szCs w:val="24"/>
        </w:rPr>
        <w:t xml:space="preserve">Európskej služby elektronického výberu mýta. Spracovanie týchto údajov je možné len v súlade s osobitnými predpismi o ochrane osobných údajov. </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15</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Ustanovuje sa, že ministerstvo nesmie informácie zhromaždené elektronickým zariadením používať na identifikáciu vodičov a prevádzkovateľov vozidiel.</w:t>
      </w:r>
    </w:p>
    <w:p w:rsidR="00DD5451" w:rsidRPr="005D6E5F" w:rsidP="00DD5451">
      <w:pPr>
        <w:bidi w:val="0"/>
        <w:spacing w:after="0" w:line="240" w:lineRule="auto"/>
        <w:jc w:val="both"/>
        <w:rPr>
          <w:rFonts w:ascii="Times New Roman" w:hAnsi="Times New Roman"/>
          <w:color w:val="000000" w:themeColor="tx1" w:themeShade="FF"/>
          <w:sz w:val="24"/>
          <w:szCs w:val="24"/>
          <w:u w:val="single"/>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16</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r w:rsidRPr="005D6E5F">
        <w:rPr>
          <w:rFonts w:ascii="Times New Roman" w:hAnsi="Times New Roman"/>
          <w:color w:val="000000" w:themeColor="tx1" w:themeShade="FF"/>
          <w:kern w:val="36"/>
          <w:sz w:val="24"/>
          <w:szCs w:val="24"/>
          <w:lang w:eastAsia="sk-SK"/>
        </w:rPr>
        <w:t>Legislatívno-technická oprava.</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bodom 17 a 21</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Ustanovuje sa povinnosť pre správcu výberu mýta uzatvoriť zmluvu s poskytovateľom Európskej služby elektronického výberu mýta pri splnení zákonných podmienok, povinnosť poskytnúť mu odmenu za transparentných podmienok stanovených správcom výberu mýta a povinnosti správcu výberu mýta spojené so zverejnením prehľadu o oblasti Európskej služby elektronického výberu mýta. Metodika výpočtu odmeny pre poskytovateľov Európskej služby elektronického výberu mýta musí mať rovnakú štruktúru ako odmena za porovnateľné služby poskytované hlavným poskytovateľom služby. Z dôvodu transparentnosti je správca výberu mýta povinný viesť evidenciu nákladov a výnosov spojených so samotnou prevádzkou mýtneho systému  oddelene od evidencie nákladov a výnosov spojených s inými činnosťami. Ustanovuje sa tiež proces akreditácie pred udelením oprávnenia na poskytovanie Európskej služby elektronického výberu mýta spojený s procesom postupu posudzovania zhody zložiek interoperability so špecifikáciami a posudzovaní v ich vhodnosti v skúšobnom prostredí vytvorenom správcom výberu mýta, pričom uskutočnenie skúšok v ňom je spoplatnené. Zároveň sa ustanovuje povinnosť prevádzkovať centrálny elektronický systém, tzv. „back office“ - na zhromažďovanie, spracúvanie a zasielanie informácií v rámci elektronického cestného mýtneho</w:t>
      </w:r>
      <w:r w:rsidRPr="005D6E5F">
        <w:rPr>
          <w:rFonts w:ascii="Times New Roman" w:hAnsi="Times New Roman"/>
          <w:color w:val="000000" w:themeColor="tx1" w:themeShade="FF"/>
          <w:sz w:val="24"/>
          <w:szCs w:val="24"/>
        </w:rPr>
        <w:t xml:space="preserve"> systému.</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kern w:val="36"/>
          <w:sz w:val="24"/>
          <w:szCs w:val="24"/>
          <w:u w:val="single"/>
          <w:lang w:eastAsia="sk-SK"/>
        </w:rPr>
      </w:pPr>
      <w:r w:rsidRPr="005D6E5F">
        <w:rPr>
          <w:rFonts w:ascii="Times New Roman" w:hAnsi="Times New Roman"/>
          <w:color w:val="000000" w:themeColor="tx1" w:themeShade="FF"/>
          <w:sz w:val="24"/>
          <w:szCs w:val="24"/>
          <w:u w:val="single"/>
        </w:rPr>
        <w:t>K čl. I bodom 18 a 30</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 xml:space="preserve">Vozidlo prejde naprieč Európskou úniou po spoplatnených cestách a uhradí mýto na základe jednej zmluvy. O správne podklady pre výber mýta sa má postarať elektronické zariadenie, tzv. interoperabilná palubná jednotka. V rámci služby európskeho elektronického výberu mýta bude stačiť len jedno takéto zariadenie pre každé vozidlo. Európska služba elektronického výberu mýta má uľahčiť platenie mýta v rámci celej Európskej únie a má byť k dispozícii na všetkých dnes spoplatnených úsekoch ciest, mostoch, tuneloch a trajektoch. Zmierňujú sa požiadavky na rozsah pokrytia oblastí Európskej služby elektronického výberu mýta a predlžuje sa lehota pre poskytovateľov na zabezpečenie pokrytia. </w:t>
      </w:r>
      <w:r w:rsidRPr="005D6E5F">
        <w:rPr>
          <w:rFonts w:ascii="Times New Roman" w:hAnsi="Times New Roman"/>
          <w:color w:val="000000" w:themeColor="tx1" w:themeShade="FF"/>
          <w:sz w:val="24"/>
          <w:szCs w:val="24"/>
        </w:rPr>
        <w:t xml:space="preserve">Ak registrovaný subjekt túto lehotu, a to ani po dodatočnej 6-mesačnej lehote, nesplní, ministerstvo rozhodne o odňatí oprávnenia.   </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bodom 19 a 20</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Vypustenie odkazu na zrušený predpis a ustanovenie povinnosti pre poskytovateľa Európskej služby elektronického výberu mýta odvádzať mýto správcovi výberu mýta vybrané na základe zmlúv o užívaní vymedzených úsekov ciest uzatvorených  s prevádzkovateľmi vozidiel. Zároveň sa u</w:t>
      </w:r>
      <w:r w:rsidRPr="005D6E5F">
        <w:rPr>
          <w:rFonts w:ascii="Times New Roman" w:hAnsi="Times New Roman"/>
          <w:color w:val="000000" w:themeColor="tx1" w:themeShade="FF"/>
          <w:kern w:val="36"/>
          <w:sz w:val="24"/>
          <w:szCs w:val="24"/>
          <w:lang w:eastAsia="sk-SK"/>
        </w:rPr>
        <w:t>stanovuje sa, že v prípade, ak dôjde k zablokovaniu alebo k znefunkčneniu palubnej jednotky, poskytovateľ služby nie je povinný odviesť vybrané mýto správcovi výberu mýta, keďže v tomto prípade nie je možné elektronicky vypočítať sumu úhrady mýta a vybrať mýto.</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kern w:val="36"/>
          <w:sz w:val="24"/>
          <w:szCs w:val="24"/>
          <w:u w:val="single"/>
          <w:lang w:eastAsia="sk-SK"/>
        </w:rPr>
      </w:pPr>
      <w:r w:rsidRPr="005D6E5F">
        <w:rPr>
          <w:rFonts w:ascii="Times New Roman" w:hAnsi="Times New Roman"/>
          <w:color w:val="000000" w:themeColor="tx1" w:themeShade="FF"/>
          <w:sz w:val="24"/>
          <w:szCs w:val="24"/>
          <w:u w:val="single"/>
        </w:rPr>
        <w:t>K čl. I bodom 22 až 29</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 xml:space="preserve">Stanovujú a upravujú sa podmienky pre udelenie oprávnenia na poskytovanie </w:t>
      </w:r>
      <w:r w:rsidRPr="005D6E5F">
        <w:rPr>
          <w:rFonts w:ascii="Times New Roman" w:hAnsi="Times New Roman"/>
          <w:color w:val="000000" w:themeColor="tx1" w:themeShade="FF"/>
          <w:sz w:val="24"/>
          <w:szCs w:val="24"/>
        </w:rPr>
        <w:t xml:space="preserve">Európskej služby elektronického výberu mýta, pričom </w:t>
      </w:r>
      <w:r w:rsidRPr="005D6E5F">
        <w:rPr>
          <w:rFonts w:ascii="Times New Roman" w:hAnsi="Times New Roman"/>
          <w:color w:val="000000" w:themeColor="tx1" w:themeShade="FF"/>
          <w:kern w:val="36"/>
          <w:sz w:val="24"/>
          <w:szCs w:val="24"/>
          <w:lang w:eastAsia="sk-SK"/>
        </w:rPr>
        <w:t>sa špecifikuje, čo má žiadosť o udelenie oprávnenia obsahovať a aké dokumenty, ktorými sa preukáže splnenie zákonných požiadaviek, je k nej potrebné priložiť. Rovnako sa upravuje postup ministerstva pri udeľovaní tohto oprávnenia a každoročné overovanie podmienok jeho udelenia.</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bodu 30</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Okrem povinností podľa § 16 sa ustanovujú ďalšie povinnosti poskytovateľa Európskej služby elektronického výberu mýta, ktorému bolo udelené oprávnenie podľa tohto zákona a poskytovateľa Európskej služby elektronického výberu mýta, ktorý má uzatvorenú zmluvu so správcom výberu mýta tak, aby bola zabezpečená funkčnosť Európskej služby elektronického výberu mýta. Upravujú sa tiež informačné povinnosti poskytovateľa vo vzťahu k užívateľom Európskej služby elektronického výberu mýta, ministerstvu a správcovi výberu mýta tak, aby bola zabezpečená aj funkčnosť a kontrolovateľnosť mýtneho systému, spracovanie a ochrana osobných údajov. Upravujú sa povinnosti ohľadom výkazu mýta, ktorý obsahuje zoznam vozidiel, palubných jednotiek a súvisiacich údajov poskytovaný správcovi výberu mýta. Ustanovujú sa povinnosti vo veci poskytnutia palubnej jednotky užívateľom.</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bodu 31</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Legislatívno-technická oprava. </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32</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Legislatívno-technická úprava.</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bodu 33</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 xml:space="preserve">V rámci riešenia sporov pri uzatváraní zmlúv medzi mýtnym úradom a poskytovateľom </w:t>
      </w:r>
      <w:r w:rsidRPr="005D6E5F">
        <w:rPr>
          <w:rFonts w:ascii="Times New Roman" w:hAnsi="Times New Roman"/>
          <w:color w:val="000000" w:themeColor="tx1" w:themeShade="FF"/>
          <w:sz w:val="24"/>
          <w:szCs w:val="24"/>
        </w:rPr>
        <w:t>Európskej služby elektronického výberu mýta sa dopĺňa právo zmierovacej komisie vyžiadať si od strán sporu alebo tretích osôb informácie a podklady potrebné na posúdenie spornej záležitosti. Zároveň sa ustanovuje povinnosť zmierovacej komisie v stanovenej lehote informovať strany spory o tom, že má k dispozícii všetky informácie a podklady na posúdenie sporu.</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bodu 34</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Vypustenie z vecného hľadiska nadbytočného ustanovenia. </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bodom 35 až 37 a bodom 39 až 42</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Legislatívno-technická úprava a aktualizácia odkazov na nové delegované nariadenie (EÚ) 2020/203, vykonávacie nariadenie (EÚ) 2020/204 a tiež na zákon č. 56/2018 Z. z., ktorým bol zrušený zákon č. 264/1999 Z. z. </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38</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Ustanovujú sa zložky interoperability využívané v Európskej služby elektronického výberu mýta a ich vhodnosť dosiahnuť a udržať si predpísanú výkonnosť pri prevádzke.</w:t>
      </w:r>
    </w:p>
    <w:p w:rsidR="00DD5451" w:rsidRPr="005D6E5F" w:rsidP="00DD5451">
      <w:pPr>
        <w:bidi w:val="0"/>
        <w:spacing w:after="0" w:line="240" w:lineRule="auto"/>
        <w:jc w:val="both"/>
        <w:rPr>
          <w:rFonts w:ascii="Times New Roman" w:hAnsi="Times New Roman"/>
          <w:color w:val="000000" w:themeColor="tx1" w:themeShade="FF"/>
          <w:sz w:val="24"/>
          <w:szCs w:val="24"/>
          <w:u w:val="single"/>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bodom 43 až 45</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kern w:val="36"/>
          <w:sz w:val="24"/>
          <w:szCs w:val="24"/>
          <w:lang w:eastAsia="sk-SK"/>
        </w:rPr>
        <w:t xml:space="preserve">Upravujú sa povinnosti ministerstva vyplývajúce zo smernice v súvislosti s oznamovacími povinnosťami voči Európskej komisii, overovaním plnenia podmienok zo strany poskytovateľov Európskej služby elektronického výberu mýta a spresňujú sa požiadavky na vedenie vnútroštátneho registra v oblasti </w:t>
      </w:r>
      <w:r w:rsidRPr="005D6E5F">
        <w:rPr>
          <w:rFonts w:ascii="Times New Roman" w:hAnsi="Times New Roman"/>
          <w:color w:val="000000" w:themeColor="tx1" w:themeShade="FF"/>
          <w:sz w:val="24"/>
          <w:szCs w:val="24"/>
        </w:rPr>
        <w:t xml:space="preserve">Európskej služby elektronického výberu mýta. Zároveň sa ustanovuje, že v súlade so smernicou ministerstvo zasiela Európskej komisii v trojročnom cykle súhrnnú správu obsahujúcu údaje predovšetkým o </w:t>
      </w:r>
      <w:r w:rsidRPr="005D6E5F">
        <w:rPr>
          <w:rStyle w:val="awspan1"/>
          <w:rFonts w:ascii="Times New Roman" w:hAnsi="Times New Roman"/>
          <w:color w:themeColor="tx1" w:themeShade="FF"/>
          <w:szCs w:val="24"/>
        </w:rPr>
        <w:t xml:space="preserve">počte automatických vyhľadávaní </w:t>
      </w:r>
      <w:r w:rsidRPr="005D6E5F">
        <w:rPr>
          <w:rFonts w:ascii="Times New Roman" w:hAnsi="Times New Roman"/>
          <w:color w:val="000000" w:themeColor="tx1" w:themeShade="FF"/>
          <w:sz w:val="24"/>
          <w:szCs w:val="24"/>
          <w:lang w:eastAsia="sk-SK"/>
        </w:rPr>
        <w:t xml:space="preserve">prostredníctvom informačného systému EUCARIS </w:t>
      </w:r>
      <w:r w:rsidRPr="005D6E5F">
        <w:rPr>
          <w:rStyle w:val="awspan1"/>
          <w:rFonts w:ascii="Times New Roman" w:hAnsi="Times New Roman"/>
          <w:color w:themeColor="tx1" w:themeShade="FF"/>
          <w:szCs w:val="24"/>
        </w:rPr>
        <w:t>a informácie o následných konaniach.</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 I. bodom 46 a 48</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V súvislosti s pokutovaním zahraničných porušiteľov zákonných povinností je v nadväznosti </w:t>
        <w:br/>
        <w:t xml:space="preserve">na poznatky z aplikačnej praxe potrebné upraviť lehotu pre udelenie pokuty. Súčasná 60-dňová lehota pre začatie konania znemožňuje uplatnenie § 33 zákona, ktorý ustanovuje oprávnenia príslušníkov policajného zboru pri ukladaní sankcií za správne delikty prevádzkovateľa vozidla, ktoré boli spáchané v minulosti na základe dostupných záznamov o spáchaní deliktu. Bez úpravy (predĺženia) lehoty dochádza k zmareniu účelu zákona č. 393/2019 Z. z., ktorým sa mení a dopĺňa zákon č. 8/2009 Z. z. o cestnej premávke a o zmene a doplnení niektorých zákonov v znení neskorších predpisov a ktorým sa menia a dopĺňajú niektoré zákony, ktorým bol novelizovaný aj zákon č. 474/2013 Z. z. a ktorý nadobudol účinnosť 1.12.2019. Treba podotknúť, že táto lehota je obdobne upravená aj v § 139d ods. 4 zákona č. 8/2009 Z. z. </w:t>
      </w: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47</w:t>
      </w:r>
    </w:p>
    <w:p w:rsidR="00DD5451" w:rsidRPr="005D6E5F" w:rsidP="00DD5451">
      <w:pPr>
        <w:bidi w:val="0"/>
        <w:spacing w:after="0" w:line="240" w:lineRule="auto"/>
        <w:jc w:val="both"/>
        <w:rPr>
          <w:rFonts w:ascii="Times New Roman" w:hAnsi="Times New Roman"/>
          <w:color w:val="000000" w:themeColor="tx1" w:themeShade="FF"/>
          <w:sz w:val="24"/>
          <w:szCs w:val="24"/>
          <w:shd w:val="clear" w:color="auto" w:fill="FFFFFF"/>
        </w:rPr>
      </w:pPr>
      <w:r w:rsidRPr="005D6E5F">
        <w:rPr>
          <w:rFonts w:ascii="Times New Roman" w:hAnsi="Times New Roman"/>
          <w:color w:val="000000" w:themeColor="tx1" w:themeShade="FF"/>
          <w:sz w:val="24"/>
          <w:szCs w:val="24"/>
        </w:rPr>
        <w:t xml:space="preserve">Ustanovuje sa, že v prípade, ak správny delikt podľa </w:t>
      </w:r>
      <w:hyperlink r:id="rId14" w:anchor="paragraf-28.odsek-1.pismeno-a" w:tooltip="Odkaz na predpis alebo ustanovenie" w:history="1">
        <w:r w:rsidRPr="005D6E5F">
          <w:rPr>
            <w:rStyle w:val="Hyperlink"/>
            <w:rFonts w:ascii="Times New Roman" w:hAnsi="Times New Roman"/>
            <w:color w:val="000000" w:themeColor="tx1"/>
            <w:sz w:val="24"/>
            <w:szCs w:val="24"/>
            <w:shd w:val="clear" w:color="auto" w:fill="FFFFFF"/>
          </w:rPr>
          <w:t>§ 28 ods. 1 písm. a), b)</w:t>
        </w:r>
      </w:hyperlink>
      <w:r w:rsidRPr="005D6E5F">
        <w:rPr>
          <w:rStyle w:val="apple-converted-space"/>
          <w:rFonts w:ascii="Times New Roman" w:hAnsi="Times New Roman"/>
          <w:color w:val="000000" w:themeColor="tx1" w:themeShade="FF"/>
          <w:sz w:val="24"/>
          <w:szCs w:val="24"/>
          <w:shd w:val="clear" w:color="auto" w:fill="FFFFFF"/>
        </w:rPr>
        <w:t> </w:t>
      </w:r>
      <w:r w:rsidRPr="005D6E5F">
        <w:rPr>
          <w:rFonts w:ascii="Times New Roman" w:hAnsi="Times New Roman"/>
          <w:color w:val="000000" w:themeColor="tx1" w:themeShade="FF"/>
          <w:sz w:val="24"/>
          <w:szCs w:val="24"/>
          <w:shd w:val="clear" w:color="auto" w:fill="FFFFFF"/>
        </w:rPr>
        <w:t xml:space="preserve">alebo písm. e) je spáchaný držiteľom alebo vlastníkom vozidla evidovaného v inom členskom štáte Európskej únie, rozkaz o udelení pokuty vrátane informačného listu obsahujúceho údaje o spáchaní správneho deliktu sa zašle aj v jednom z úradných jazykov členského štátu Európskej únie, </w:t>
        <w:br/>
        <w:t xml:space="preserve">v ktorom je vozidlo evidované. V prípade, ak nedôjde k riadnemu (preukázanému) doručeniu rozkazu príslušnému adresátovi, rozkaz sa považuje za nevydaný, avšak záznam o porušení povinností možno naďalej použiť v ďalšom konaní podľa § 33 zákona. </w:t>
      </w:r>
    </w:p>
    <w:p w:rsidR="00DD5451" w:rsidRPr="005D6E5F" w:rsidP="00DD5451">
      <w:pPr>
        <w:bidi w:val="0"/>
        <w:spacing w:after="0" w:line="240" w:lineRule="auto"/>
        <w:jc w:val="both"/>
        <w:rPr>
          <w:rFonts w:ascii="Times New Roman" w:hAnsi="Times New Roman"/>
          <w:color w:val="000000" w:themeColor="tx1" w:themeShade="FF"/>
          <w:sz w:val="24"/>
          <w:szCs w:val="24"/>
          <w:shd w:val="clear" w:color="auto" w:fill="FFFFFF"/>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49</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Style w:val="PlaceholderText"/>
          <w:rFonts w:ascii="Times New Roman" w:hAnsi="Times New Roman"/>
          <w:color w:val="000000" w:themeColor="tx1" w:themeShade="FF"/>
          <w:sz w:val="24"/>
          <w:szCs w:val="24"/>
        </w:rPr>
        <w:t>U</w:t>
      </w:r>
      <w:r w:rsidRPr="005D6E5F">
        <w:rPr>
          <w:rFonts w:ascii="Times New Roman" w:hAnsi="Times New Roman"/>
          <w:color w:val="000000" w:themeColor="tx1" w:themeShade="FF"/>
          <w:sz w:val="24"/>
          <w:szCs w:val="24"/>
        </w:rPr>
        <w:t xml:space="preserve">stanovuje sa povinnosť ministerstva predložiť Komisii prvú súhrnnú správu podľa § 23 ods. 2 písm. i) do 19. apríla 2023 a tiež sa </w:t>
      </w:r>
      <w:r w:rsidRPr="005D6E5F">
        <w:rPr>
          <w:rStyle w:val="PlaceholderText"/>
          <w:rFonts w:ascii="Times New Roman" w:hAnsi="Times New Roman"/>
          <w:color w:val="000000" w:themeColor="tx1" w:themeShade="FF"/>
          <w:sz w:val="24"/>
          <w:szCs w:val="24"/>
        </w:rPr>
        <w:t xml:space="preserve">ustanovuje, že </w:t>
      </w:r>
      <w:r w:rsidRPr="005D6E5F">
        <w:rPr>
          <w:rFonts w:ascii="Times New Roman" w:hAnsi="Times New Roman"/>
          <w:color w:val="000000" w:themeColor="tx1" w:themeShade="FF"/>
          <w:sz w:val="24"/>
          <w:szCs w:val="24"/>
        </w:rPr>
        <w:t>konania o uložení pokuty začaté a právoplatne neskončené pred účinnosťou tohto zákona sa dokončia podľa doterajších predpisov.</w:t>
      </w:r>
    </w:p>
    <w:p w:rsidR="00DD5451" w:rsidRPr="005D6E5F" w:rsidP="00DD5451">
      <w:pPr>
        <w:bidi w:val="0"/>
        <w:spacing w:after="0" w:line="240" w:lineRule="auto"/>
        <w:jc w:val="both"/>
        <w:rPr>
          <w:rStyle w:val="PlaceholderText"/>
          <w:rFonts w:ascii="Times New Roman" w:hAnsi="Times New Roman"/>
          <w:b/>
          <w:color w:val="000000" w:themeColor="tx1" w:themeShade="FF"/>
          <w:sz w:val="24"/>
          <w:szCs w:val="24"/>
          <w:u w:val="single"/>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 bodu 50</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Nahradenie zrušenej smernice aktuálnou smernicou v rámci zoznamu preberaných právnych aktov EÚ.</w:t>
      </w: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p>
    <w:p w:rsidR="00823315" w:rsidRPr="005D6E5F" w:rsidP="00DD5451">
      <w:pPr>
        <w:bidi w:val="0"/>
        <w:spacing w:after="0" w:line="240" w:lineRule="auto"/>
        <w:rPr>
          <w:rFonts w:ascii="Times New Roman" w:hAnsi="Times New Roman"/>
          <w:b/>
          <w:bCs/>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K čl. II</w:t>
      </w:r>
    </w:p>
    <w:p w:rsidR="00DD5451" w:rsidRPr="005D6E5F" w:rsidP="00DD5451">
      <w:pPr>
        <w:bidi w:val="0"/>
        <w:spacing w:after="0" w:line="240" w:lineRule="auto"/>
        <w:jc w:val="both"/>
        <w:rPr>
          <w:rStyle w:val="PlaceholderText"/>
          <w:rFonts w:ascii="Times New Roman" w:hAnsi="Times New Roman"/>
          <w:color w:val="000000" w:themeColor="tx1" w:themeShade="FF"/>
          <w:sz w:val="24"/>
          <w:szCs w:val="24"/>
        </w:rPr>
      </w:pPr>
      <w:r w:rsidRPr="005D6E5F">
        <w:rPr>
          <w:rStyle w:val="PlaceholderText"/>
          <w:rFonts w:ascii="Times New Roman" w:hAnsi="Times New Roman"/>
          <w:color w:val="000000" w:themeColor="tx1" w:themeShade="FF"/>
          <w:sz w:val="24"/>
          <w:szCs w:val="24"/>
        </w:rPr>
        <w:t xml:space="preserve">Vzhľadom na neprimeranú výšku správneho poplatku za podanie žiadosti </w:t>
      </w:r>
      <w:r w:rsidRPr="005D6E5F">
        <w:rPr>
          <w:rFonts w:ascii="Times New Roman" w:hAnsi="Times New Roman"/>
          <w:color w:val="000000" w:themeColor="tx1" w:themeShade="FF"/>
          <w:sz w:val="24"/>
          <w:szCs w:val="24"/>
        </w:rPr>
        <w:t xml:space="preserve">o udelenie oprávnenia na poskytovanie Európskej služby elektronického výberu mýta, a to aj v porovnaní s ostatnými členskými štátmi EÚ, sa navrhuje jeho zníženie </w:t>
      </w:r>
      <w:r w:rsidRPr="005D6E5F">
        <w:rPr>
          <w:rStyle w:val="PlaceholderText"/>
          <w:rFonts w:ascii="Times New Roman" w:hAnsi="Times New Roman"/>
          <w:color w:val="000000" w:themeColor="tx1" w:themeShade="FF"/>
          <w:sz w:val="24"/>
          <w:szCs w:val="24"/>
        </w:rPr>
        <w:t xml:space="preserve">s cieľom uľahčiť interoperabilitu pri výbere cestných poplatkov. </w:t>
      </w:r>
    </w:p>
    <w:p w:rsidR="00DD5451" w:rsidRPr="005D6E5F" w:rsidP="00DD5451">
      <w:pPr>
        <w:bidi w:val="0"/>
        <w:spacing w:after="0" w:line="240" w:lineRule="auto"/>
        <w:jc w:val="both"/>
        <w:rPr>
          <w:rFonts w:ascii="Times New Roman" w:eastAsia="BatangChe" w:hAnsi="Times New Roman"/>
          <w:color w:val="000000" w:themeColor="tx1" w:themeShade="FF"/>
          <w:sz w:val="24"/>
          <w:szCs w:val="24"/>
          <w:lang w:eastAsia="sk-SK"/>
        </w:rPr>
      </w:pPr>
    </w:p>
    <w:p w:rsidR="00823315" w:rsidRPr="005D6E5F" w:rsidP="00DD5451">
      <w:pPr>
        <w:bidi w:val="0"/>
        <w:spacing w:after="0" w:line="240" w:lineRule="auto"/>
        <w:jc w:val="both"/>
        <w:rPr>
          <w:rFonts w:ascii="Times New Roman" w:eastAsia="BatangChe" w:hAnsi="Times New Roman"/>
          <w:color w:val="000000" w:themeColor="tx1" w:themeShade="FF"/>
          <w:sz w:val="24"/>
          <w:szCs w:val="24"/>
          <w:lang w:eastAsia="sk-SK"/>
        </w:rPr>
      </w:pPr>
    </w:p>
    <w:p w:rsidR="00823315" w:rsidRPr="005D6E5F" w:rsidP="00DD5451">
      <w:pPr>
        <w:bidi w:val="0"/>
        <w:spacing w:after="0"/>
        <w:jc w:val="both"/>
        <w:rPr>
          <w:rFonts w:ascii="Times New Roman" w:eastAsia="BatangChe" w:hAnsi="Times New Roman"/>
          <w:color w:val="000000" w:themeColor="tx1" w:themeShade="FF"/>
          <w:sz w:val="24"/>
          <w:szCs w:val="24"/>
          <w:lang w:eastAsia="sk-SK"/>
        </w:rPr>
      </w:pPr>
    </w:p>
    <w:p w:rsidR="00DD5451" w:rsidRPr="005D6E5F" w:rsidP="00DD5451">
      <w:pPr>
        <w:bidi w:val="0"/>
        <w:spacing w:after="0"/>
        <w:jc w:val="both"/>
        <w:rPr>
          <w:rFonts w:ascii="Times New Roman" w:hAnsi="Times New Roman"/>
          <w:b/>
          <w:bCs/>
          <w:color w:val="000000" w:themeColor="tx1" w:themeShade="FF"/>
          <w:sz w:val="24"/>
          <w:szCs w:val="24"/>
        </w:rPr>
      </w:pPr>
      <w:r w:rsidRPr="005D6E5F">
        <w:rPr>
          <w:rFonts w:ascii="Times New Roman" w:hAnsi="Times New Roman"/>
          <w:b/>
          <w:bCs/>
          <w:color w:val="000000" w:themeColor="tx1" w:themeShade="FF"/>
          <w:sz w:val="24"/>
          <w:szCs w:val="24"/>
        </w:rPr>
        <w:t>K čl. III</w:t>
      </w: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III bodu 1</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V súlade Kapitolou VIII smernice sa ustanovuje postup národného kontaktného miesta EUCARIS – Ministerstva vnútra SR pri vybavovaní žiadostí iného členského o poskytnutie nevyhnutných údajov z evidencie vozidiel s cieľom objasnenia neuhradenia mýta alebo cestného poplatku na území žiadajúceho členského štátu. Zároveň sa ustanovuje rozsah informácií </w:t>
      </w:r>
      <w:r w:rsidRPr="005D6E5F">
        <w:rPr>
          <w:rFonts w:ascii="Times New Roman" w:hAnsi="Times New Roman"/>
          <w:color w:val="000000" w:themeColor="tx1" w:themeShade="FF"/>
          <w:sz w:val="24"/>
          <w:szCs w:val="24"/>
          <w:lang w:eastAsia="sk-SK"/>
        </w:rPr>
        <w:t>o držiteľovi, vlastníkovi vozidla a vozidle</w:t>
      </w:r>
      <w:r w:rsidRPr="005D6E5F">
        <w:rPr>
          <w:rFonts w:ascii="Times New Roman" w:hAnsi="Times New Roman"/>
          <w:color w:val="000000" w:themeColor="tx1" w:themeShade="FF"/>
          <w:sz w:val="24"/>
          <w:szCs w:val="24"/>
        </w:rPr>
        <w:t xml:space="preserve">, ktoré kontaktné miesto poskytuje inému členskému štátu.       </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III bodu 2</w:t>
      </w: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r w:rsidRPr="005D6E5F">
        <w:rPr>
          <w:rFonts w:ascii="Times New Roman" w:hAnsi="Times New Roman"/>
          <w:color w:val="000000" w:themeColor="tx1" w:themeShade="FF"/>
          <w:sz w:val="24"/>
          <w:szCs w:val="24"/>
        </w:rPr>
        <w:t>Ustanovením sa dopĺňa transpozičná príloha.</w:t>
      </w:r>
    </w:p>
    <w:p w:rsidR="00DD5451" w:rsidRPr="005D6E5F" w:rsidP="00DD5451">
      <w:pPr>
        <w:bidi w:val="0"/>
        <w:spacing w:after="0" w:line="240" w:lineRule="auto"/>
        <w:jc w:val="both"/>
        <w:rPr>
          <w:rStyle w:val="PlaceholderText"/>
          <w:rFonts w:ascii="Times New Roman" w:hAnsi="Times New Roman"/>
          <w:color w:val="000000" w:themeColor="tx1" w:themeShade="FF"/>
          <w:sz w:val="24"/>
          <w:szCs w:val="24"/>
        </w:rPr>
      </w:pPr>
    </w:p>
    <w:p w:rsidR="00823315" w:rsidRPr="005D6E5F" w:rsidP="00DD5451">
      <w:pPr>
        <w:bidi w:val="0"/>
        <w:spacing w:after="0" w:line="240" w:lineRule="auto"/>
        <w:jc w:val="both"/>
        <w:rPr>
          <w:rStyle w:val="PlaceholderText"/>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r w:rsidRPr="005D6E5F">
        <w:rPr>
          <w:rFonts w:ascii="Times New Roman" w:hAnsi="Times New Roman"/>
          <w:b/>
          <w:bCs/>
          <w:color w:val="000000" w:themeColor="tx1" w:themeShade="FF"/>
          <w:kern w:val="36"/>
          <w:sz w:val="24"/>
          <w:szCs w:val="24"/>
          <w:lang w:eastAsia="sk-SK"/>
        </w:rPr>
        <w:t>K čl. IV</w:t>
      </w: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1</w:t>
      </w:r>
    </w:p>
    <w:p w:rsidR="00DD5451" w:rsidRPr="005D6E5F" w:rsidP="00DD5451">
      <w:pPr>
        <w:bidi w:val="0"/>
        <w:spacing w:after="0" w:line="240" w:lineRule="auto"/>
        <w:rPr>
          <w:rFonts w:ascii="Times New Roman" w:hAnsi="Times New Roman"/>
          <w:color w:val="000000" w:themeColor="tx1" w:themeShade="FF"/>
          <w:kern w:val="36"/>
          <w:sz w:val="24"/>
          <w:szCs w:val="24"/>
          <w:lang w:eastAsia="sk-SK"/>
        </w:rPr>
      </w:pPr>
      <w:r w:rsidRPr="005D6E5F">
        <w:rPr>
          <w:rFonts w:ascii="Times New Roman" w:hAnsi="Times New Roman"/>
          <w:color w:val="000000" w:themeColor="tx1" w:themeShade="FF"/>
          <w:kern w:val="36"/>
          <w:sz w:val="24"/>
          <w:szCs w:val="24"/>
          <w:lang w:eastAsia="sk-SK"/>
        </w:rPr>
        <w:t>Dochádza k zosúladeniu terminológie v rámci zákona (§ 5 ods. 4 zákona).</w:t>
      </w: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2</w:t>
      </w:r>
    </w:p>
    <w:p w:rsidR="00DD5451" w:rsidRPr="005D6E5F" w:rsidP="00DD5451">
      <w:pPr>
        <w:bidi w:val="0"/>
        <w:spacing w:after="0" w:line="240" w:lineRule="auto"/>
        <w:jc w:val="both"/>
        <w:rPr>
          <w:rFonts w:ascii="Times New Roman" w:hAnsi="Times New Roman"/>
          <w:color w:val="000000" w:themeColor="tx1" w:themeShade="FF"/>
          <w:kern w:val="36"/>
          <w:sz w:val="24"/>
          <w:szCs w:val="24"/>
          <w:lang w:eastAsia="sk-SK"/>
        </w:rPr>
      </w:pPr>
      <w:r w:rsidRPr="005D6E5F">
        <w:rPr>
          <w:rFonts w:ascii="Times New Roman" w:hAnsi="Times New Roman"/>
          <w:color w:val="000000" w:themeColor="tx1" w:themeShade="FF"/>
          <w:kern w:val="36"/>
          <w:sz w:val="24"/>
          <w:szCs w:val="24"/>
          <w:lang w:eastAsia="sk-SK"/>
        </w:rPr>
        <w:t>Dochádza k spresneniu znenia ustanovenia v nadväznosti na ods. 1 písm. i), keďže povinnosť registrovať vozidlo oslobodené od úhrady diaľničnej známky má osoba so zdravotným znevýhodnením (nie ÚPSVR)  a zároveň dochádza k legislatívno-technickej oprave.</w:t>
      </w:r>
    </w:p>
    <w:p w:rsidR="00DD5451" w:rsidRPr="005D6E5F" w:rsidP="00DD5451">
      <w:pPr>
        <w:bidi w:val="0"/>
        <w:spacing w:after="0" w:line="240" w:lineRule="auto"/>
        <w:rPr>
          <w:rFonts w:ascii="Times New Roman" w:hAnsi="Times New Roman"/>
          <w:b/>
          <w:bCs/>
          <w:color w:val="000000" w:themeColor="tx1" w:themeShade="FF"/>
          <w:kern w:val="36"/>
          <w:sz w:val="24"/>
          <w:szCs w:val="24"/>
          <w:lang w:eastAsia="sk-SK"/>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3</w:t>
      </w:r>
    </w:p>
    <w:p w:rsidR="00DD5451" w:rsidRPr="005D6E5F" w:rsidP="00DD5451">
      <w:pPr>
        <w:bidi w:val="0"/>
        <w:spacing w:after="0" w:line="240" w:lineRule="auto"/>
        <w:jc w:val="both"/>
        <w:rPr>
          <w:rFonts w:ascii="Times New Roman" w:hAnsi="Times New Roman"/>
          <w:color w:val="000000" w:themeColor="tx1" w:themeShade="FF"/>
          <w:sz w:val="24"/>
          <w:szCs w:val="24"/>
          <w:shd w:val="clear" w:color="auto" w:fill="FFFFFF"/>
        </w:rPr>
      </w:pPr>
      <w:r w:rsidRPr="005D6E5F">
        <w:rPr>
          <w:rFonts w:ascii="Times New Roman" w:hAnsi="Times New Roman"/>
          <w:color w:val="000000" w:themeColor="tx1" w:themeShade="FF"/>
          <w:sz w:val="24"/>
          <w:szCs w:val="24"/>
        </w:rPr>
        <w:t xml:space="preserve">Ustanovuje sa, že v prípade, ak správny delikt podľa </w:t>
      </w:r>
      <w:hyperlink r:id="rId14" w:anchor="paragraf-28.odsek-1.pismeno-a" w:tooltip="Odkaz na predpis alebo ustanovenie" w:history="1">
        <w:r w:rsidRPr="005D6E5F">
          <w:rPr>
            <w:rStyle w:val="Hyperlink"/>
            <w:rFonts w:ascii="Times New Roman" w:hAnsi="Times New Roman"/>
            <w:color w:val="000000" w:themeColor="tx1"/>
            <w:sz w:val="24"/>
            <w:szCs w:val="24"/>
            <w:shd w:val="clear" w:color="auto" w:fill="FFFFFF"/>
          </w:rPr>
          <w:t xml:space="preserve">§ 10a ods. 1 </w:t>
        </w:r>
      </w:hyperlink>
      <w:r w:rsidRPr="005D6E5F">
        <w:rPr>
          <w:rFonts w:ascii="Times New Roman" w:hAnsi="Times New Roman"/>
          <w:color w:val="000000" w:themeColor="tx1" w:themeShade="FF"/>
          <w:sz w:val="24"/>
          <w:szCs w:val="24"/>
          <w:shd w:val="clear" w:color="auto" w:fill="FFFFFF"/>
        </w:rPr>
        <w:t>je spáchaný držiteľom alebo vlastníkom vozidla evidovaného v inom členskom štáte Európskej únie, rozkaz o udelení pokuty vrátane informačného listu obsahujúceho údaje o spáchaní správneho deliktu sa zašle aj v jednom z úradných jazykov členského štátu Európskej únie, v ktorom je vozidlo evidované. V prípade, ak nedôjde k riadnemu doručeniu (preukázanému) doručeniu rozkazu príslušnému adresátovi, rozkaz sa považuje za nevydaný, avšak záznam o porušení povinností možno naďalej použiť v ďalšom konaní podľa § 15 zákona.</w:t>
      </w:r>
    </w:p>
    <w:p w:rsidR="00DD5451" w:rsidRPr="005D6E5F" w:rsidP="00DD5451">
      <w:pPr>
        <w:bidi w:val="0"/>
        <w:spacing w:after="0" w:line="240" w:lineRule="auto"/>
        <w:jc w:val="both"/>
        <w:rPr>
          <w:rFonts w:ascii="Times New Roman" w:hAnsi="Times New Roman"/>
          <w:color w:val="000000" w:themeColor="tx1" w:themeShade="FF"/>
          <w:sz w:val="24"/>
          <w:szCs w:val="24"/>
          <w:u w:val="single"/>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4</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V nadväznosti na poznatky vychádzajúce z aplikačnej praxe sa upravuje lehota pre právoplatné udelenie pokuty v súlade so správnym poriadkom s cieľom zvýšiť efektívnosť sankcionovania delikventov. Treba podotknúť, že táto lehota je obdobne upra</w:t>
      </w:r>
      <w:r w:rsidRPr="005D6E5F" w:rsidR="00823315">
        <w:rPr>
          <w:rFonts w:ascii="Times New Roman" w:hAnsi="Times New Roman"/>
          <w:color w:val="000000" w:themeColor="tx1" w:themeShade="FF"/>
          <w:sz w:val="24"/>
          <w:szCs w:val="24"/>
        </w:rPr>
        <w:t xml:space="preserve">vená aj v § 139b ods. 4 zákona </w:t>
      </w:r>
      <w:r w:rsidRPr="005D6E5F">
        <w:rPr>
          <w:rFonts w:ascii="Times New Roman" w:hAnsi="Times New Roman"/>
          <w:color w:val="000000" w:themeColor="tx1" w:themeShade="FF"/>
          <w:sz w:val="24"/>
          <w:szCs w:val="24"/>
        </w:rPr>
        <w:t>č. 8/2009 Z. z.</w:t>
      </w:r>
    </w:p>
    <w:p w:rsidR="00DD5451" w:rsidRPr="005D6E5F" w:rsidP="00DD5451">
      <w:pPr>
        <w:bidi w:val="0"/>
        <w:spacing w:after="0" w:line="240" w:lineRule="auto"/>
        <w:jc w:val="both"/>
        <w:rPr>
          <w:rFonts w:ascii="Times New Roman" w:hAnsi="Times New Roman"/>
          <w:color w:val="000000" w:themeColor="tx1" w:themeShade="FF"/>
          <w:sz w:val="24"/>
          <w:szCs w:val="24"/>
          <w:shd w:val="clear" w:color="auto" w:fill="FFFFFF"/>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5</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 xml:space="preserve">Ustanovuje sa, že v súlade so smernicou ministerstvo zasiela Európskej komisii v trojročnom cykle súhrnnú správu obsahujúcu údaje predovšetkým o </w:t>
      </w:r>
      <w:r w:rsidRPr="005D6E5F">
        <w:rPr>
          <w:rStyle w:val="awspan1"/>
          <w:rFonts w:ascii="Times New Roman" w:hAnsi="Times New Roman"/>
          <w:color w:themeColor="tx1" w:themeShade="FF"/>
          <w:szCs w:val="24"/>
        </w:rPr>
        <w:t xml:space="preserve">počte automatických vyhľadávaní </w:t>
      </w:r>
      <w:r w:rsidRPr="005D6E5F">
        <w:rPr>
          <w:rFonts w:ascii="Times New Roman" w:hAnsi="Times New Roman"/>
          <w:color w:val="000000" w:themeColor="tx1" w:themeShade="FF"/>
          <w:sz w:val="24"/>
          <w:szCs w:val="24"/>
          <w:lang w:eastAsia="sk-SK"/>
        </w:rPr>
        <w:t xml:space="preserve">prostredníctvom informačného systému EUCARIS </w:t>
      </w:r>
      <w:r w:rsidRPr="005D6E5F">
        <w:rPr>
          <w:rStyle w:val="awspan1"/>
          <w:rFonts w:ascii="Times New Roman" w:hAnsi="Times New Roman"/>
          <w:color w:themeColor="tx1" w:themeShade="FF"/>
          <w:szCs w:val="24"/>
        </w:rPr>
        <w:t>a informácie o následných konaniach</w:t>
      </w:r>
      <w:r w:rsidRPr="005D6E5F">
        <w:rPr>
          <w:rFonts w:ascii="Times New Roman" w:hAnsi="Times New Roman"/>
          <w:color w:val="000000" w:themeColor="tx1" w:themeShade="FF"/>
          <w:sz w:val="24"/>
          <w:szCs w:val="24"/>
        </w:rPr>
        <w:t>.</w:t>
      </w:r>
    </w:p>
    <w:p w:rsidR="00DD5451" w:rsidRPr="005D6E5F" w:rsidP="00DD5451">
      <w:pPr>
        <w:bidi w:val="0"/>
        <w:spacing w:after="0" w:line="240" w:lineRule="auto"/>
        <w:jc w:val="both"/>
        <w:rPr>
          <w:rFonts w:ascii="Times New Roman" w:hAnsi="Times New Roman"/>
          <w:color w:val="000000" w:themeColor="tx1" w:themeShade="FF"/>
          <w:sz w:val="24"/>
          <w:szCs w:val="24"/>
          <w:shd w:val="clear" w:color="auto" w:fill="FFFFFF"/>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6</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Style w:val="PlaceholderText"/>
          <w:rFonts w:ascii="Times New Roman" w:hAnsi="Times New Roman"/>
          <w:color w:val="000000" w:themeColor="tx1" w:themeShade="FF"/>
          <w:sz w:val="24"/>
          <w:szCs w:val="24"/>
        </w:rPr>
        <w:t>U</w:t>
      </w:r>
      <w:r w:rsidRPr="005D6E5F">
        <w:rPr>
          <w:rFonts w:ascii="Times New Roman" w:hAnsi="Times New Roman"/>
          <w:color w:val="000000" w:themeColor="tx1" w:themeShade="FF"/>
          <w:sz w:val="24"/>
          <w:szCs w:val="24"/>
        </w:rPr>
        <w:t xml:space="preserve">stanovuje sa povinnosť ministerstva predložiť Komisii prvú súhrnnú správu podľa § 11 </w:t>
        <w:br/>
        <w:t xml:space="preserve">ods. 10 do 19. apríla 2023 a tiež sa </w:t>
      </w:r>
      <w:r w:rsidRPr="005D6E5F">
        <w:rPr>
          <w:rStyle w:val="PlaceholderText"/>
          <w:rFonts w:ascii="Times New Roman" w:hAnsi="Times New Roman"/>
          <w:color w:val="000000" w:themeColor="tx1" w:themeShade="FF"/>
          <w:sz w:val="24"/>
          <w:szCs w:val="24"/>
        </w:rPr>
        <w:t xml:space="preserve">ustanovuje, že </w:t>
      </w:r>
      <w:r w:rsidRPr="005D6E5F">
        <w:rPr>
          <w:rFonts w:ascii="Times New Roman" w:hAnsi="Times New Roman"/>
          <w:color w:val="000000" w:themeColor="tx1" w:themeShade="FF"/>
          <w:sz w:val="24"/>
          <w:szCs w:val="24"/>
        </w:rPr>
        <w:t>konania o uložení pokuty začaté a právoplatne neskončené pred účinnosťou tohto zákona sa dokončia podľa doterajších predpisov.</w:t>
      </w:r>
    </w:p>
    <w:p w:rsidR="00DD5451" w:rsidRPr="005D6E5F" w:rsidP="00DD5451">
      <w:pPr>
        <w:bidi w:val="0"/>
        <w:spacing w:after="0" w:line="240" w:lineRule="auto"/>
        <w:jc w:val="both"/>
        <w:rPr>
          <w:rFonts w:ascii="Times New Roman" w:hAnsi="Times New Roman"/>
          <w:color w:val="000000" w:themeColor="tx1" w:themeShade="FF"/>
          <w:sz w:val="24"/>
          <w:szCs w:val="24"/>
        </w:rPr>
      </w:pPr>
    </w:p>
    <w:p w:rsidR="00DD5451" w:rsidRPr="005D6E5F" w:rsidP="00DD5451">
      <w:pPr>
        <w:bidi w:val="0"/>
        <w:spacing w:after="0" w:line="240" w:lineRule="auto"/>
        <w:jc w:val="both"/>
        <w:rPr>
          <w:rFonts w:ascii="Times New Roman" w:hAnsi="Times New Roman"/>
          <w:color w:val="000000" w:themeColor="tx1" w:themeShade="FF"/>
          <w:sz w:val="24"/>
          <w:szCs w:val="24"/>
          <w:u w:val="single"/>
        </w:rPr>
      </w:pPr>
      <w:r w:rsidRPr="005D6E5F">
        <w:rPr>
          <w:rFonts w:ascii="Times New Roman" w:hAnsi="Times New Roman"/>
          <w:color w:val="000000" w:themeColor="tx1" w:themeShade="FF"/>
          <w:sz w:val="24"/>
          <w:szCs w:val="24"/>
          <w:u w:val="single"/>
        </w:rPr>
        <w:t>K čl. IV bodu 7</w:t>
      </w:r>
    </w:p>
    <w:p w:rsidR="00823315" w:rsidRPr="005D6E5F" w:rsidP="00823315">
      <w:pPr>
        <w:bidi w:val="0"/>
        <w:spacing w:after="0" w:line="240" w:lineRule="auto"/>
        <w:rPr>
          <w:rStyle w:val="PlaceholderText"/>
          <w:rFonts w:ascii="Times New Roman" w:hAnsi="Times New Roman"/>
          <w:b/>
          <w:bCs/>
          <w:color w:val="000000" w:themeColor="tx1" w:themeShade="FF"/>
          <w:kern w:val="36"/>
          <w:sz w:val="24"/>
          <w:szCs w:val="24"/>
          <w:lang w:eastAsia="sk-SK"/>
        </w:rPr>
      </w:pPr>
      <w:r w:rsidRPr="005D6E5F" w:rsidR="00DD5451">
        <w:rPr>
          <w:rFonts w:ascii="Times New Roman" w:hAnsi="Times New Roman"/>
          <w:color w:val="000000" w:themeColor="tx1" w:themeShade="FF"/>
          <w:sz w:val="24"/>
          <w:szCs w:val="24"/>
        </w:rPr>
        <w:t>Ustanovením sa dopĺňa transpozičná príloha.</w:t>
      </w:r>
    </w:p>
    <w:p w:rsidR="00DD5451" w:rsidRPr="005D6E5F" w:rsidP="00DD5451">
      <w:pPr>
        <w:bidi w:val="0"/>
        <w:spacing w:after="0" w:line="240" w:lineRule="auto"/>
        <w:jc w:val="both"/>
        <w:rPr>
          <w:rStyle w:val="PlaceholderText"/>
          <w:rFonts w:ascii="Times New Roman" w:hAnsi="Times New Roman"/>
          <w:b/>
          <w:bCs/>
          <w:color w:val="000000" w:themeColor="tx1" w:themeShade="FF"/>
          <w:sz w:val="24"/>
          <w:szCs w:val="24"/>
        </w:rPr>
      </w:pPr>
      <w:r w:rsidRPr="005D6E5F">
        <w:rPr>
          <w:rStyle w:val="PlaceholderText"/>
          <w:rFonts w:ascii="Times New Roman" w:hAnsi="Times New Roman"/>
          <w:b/>
          <w:bCs/>
          <w:color w:val="000000" w:themeColor="tx1" w:themeShade="FF"/>
          <w:sz w:val="24"/>
          <w:szCs w:val="24"/>
        </w:rPr>
        <w:t>K čl. V</w:t>
      </w:r>
    </w:p>
    <w:p w:rsidR="00DD5451" w:rsidRPr="005D6E5F" w:rsidP="00DD5451">
      <w:pPr>
        <w:bidi w:val="0"/>
        <w:spacing w:after="0" w:line="240" w:lineRule="auto"/>
        <w:jc w:val="both"/>
        <w:rPr>
          <w:rFonts w:ascii="Times New Roman" w:hAnsi="Times New Roman"/>
          <w:color w:val="000000" w:themeColor="tx1" w:themeShade="FF"/>
          <w:sz w:val="24"/>
          <w:szCs w:val="24"/>
        </w:rPr>
      </w:pPr>
      <w:r w:rsidRPr="005D6E5F">
        <w:rPr>
          <w:rStyle w:val="PlaceholderText"/>
          <w:rFonts w:ascii="Times New Roman" w:hAnsi="Times New Roman"/>
          <w:color w:val="000000" w:themeColor="tx1" w:themeShade="FF"/>
          <w:sz w:val="24"/>
          <w:szCs w:val="24"/>
        </w:rPr>
        <w:t>Ustanovuje sa účinnosť zákona 1. decembra 2021 s prihliadnutím na dĺžku legislatívneho procesu.</w:t>
      </w:r>
    </w:p>
    <w:p w:rsidR="00DD5451" w:rsidRPr="005D6E5F" w:rsidP="00DD5451">
      <w:pPr>
        <w:bidi w:val="0"/>
        <w:spacing w:after="0"/>
        <w:jc w:val="both"/>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Bratislava 21. júla 2021</w:t>
      </w: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823315"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jc w:val="center"/>
        <w:rPr>
          <w:rFonts w:ascii="Times New Roman" w:hAnsi="Times New Roman"/>
          <w:b/>
          <w:color w:val="000000" w:themeColor="tx1" w:themeShade="FF"/>
          <w:sz w:val="24"/>
          <w:szCs w:val="24"/>
        </w:rPr>
      </w:pPr>
      <w:r w:rsidRPr="005D6E5F">
        <w:rPr>
          <w:rFonts w:ascii="Times New Roman" w:hAnsi="Times New Roman"/>
          <w:b/>
          <w:color w:val="000000" w:themeColor="tx1" w:themeShade="FF"/>
          <w:sz w:val="24"/>
          <w:szCs w:val="24"/>
        </w:rPr>
        <w:t>Eduad Heger</w:t>
      </w:r>
    </w:p>
    <w:p w:rsidR="00DD5451" w:rsidRPr="005D6E5F" w:rsidP="00DD5451">
      <w:pPr>
        <w:bidi w:val="0"/>
        <w:spacing w:after="0" w:line="240" w:lineRule="auto"/>
        <w:jc w:val="center"/>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predseda vlády Slovenskej republiky</w:t>
      </w: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823315"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rPr>
          <w:rFonts w:ascii="Times New Roman" w:hAnsi="Times New Roman"/>
          <w:color w:val="000000" w:themeColor="tx1" w:themeShade="FF"/>
          <w:sz w:val="24"/>
          <w:szCs w:val="24"/>
        </w:rPr>
      </w:pPr>
    </w:p>
    <w:p w:rsidR="00DD5451" w:rsidRPr="005D6E5F" w:rsidP="00DD5451">
      <w:pPr>
        <w:bidi w:val="0"/>
        <w:spacing w:after="0" w:line="240" w:lineRule="auto"/>
        <w:jc w:val="center"/>
        <w:rPr>
          <w:rFonts w:ascii="Times New Roman" w:hAnsi="Times New Roman"/>
          <w:b/>
          <w:color w:val="000000" w:themeColor="tx1" w:themeShade="FF"/>
          <w:sz w:val="24"/>
          <w:szCs w:val="24"/>
        </w:rPr>
      </w:pPr>
      <w:r w:rsidRPr="005D6E5F">
        <w:rPr>
          <w:rFonts w:ascii="Times New Roman" w:hAnsi="Times New Roman"/>
          <w:b/>
          <w:color w:val="000000" w:themeColor="tx1" w:themeShade="FF"/>
          <w:sz w:val="24"/>
          <w:szCs w:val="24"/>
        </w:rPr>
        <w:t>Andrej Doležal</w:t>
      </w:r>
    </w:p>
    <w:p w:rsidR="00DD5451" w:rsidRPr="005D6E5F" w:rsidP="00DD5451">
      <w:pPr>
        <w:bidi w:val="0"/>
        <w:spacing w:after="0" w:line="240" w:lineRule="auto"/>
        <w:jc w:val="center"/>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minister dopravy a výstavby</w:t>
      </w:r>
    </w:p>
    <w:p w:rsidR="00DD5451" w:rsidRPr="005D6E5F" w:rsidP="00DD5451">
      <w:pPr>
        <w:bidi w:val="0"/>
        <w:spacing w:after="0" w:line="240" w:lineRule="auto"/>
        <w:jc w:val="center"/>
        <w:rPr>
          <w:rFonts w:ascii="Times New Roman" w:hAnsi="Times New Roman"/>
          <w:color w:val="000000" w:themeColor="tx1" w:themeShade="FF"/>
          <w:sz w:val="24"/>
          <w:szCs w:val="24"/>
        </w:rPr>
      </w:pPr>
      <w:r w:rsidRPr="005D6E5F">
        <w:rPr>
          <w:rFonts w:ascii="Times New Roman" w:hAnsi="Times New Roman"/>
          <w:color w:val="000000" w:themeColor="tx1" w:themeShade="FF"/>
          <w:sz w:val="24"/>
          <w:szCs w:val="24"/>
        </w:rPr>
        <w:t>Slovenskej republiky</w:t>
      </w:r>
    </w:p>
    <w:p w:rsidR="00DD5451" w:rsidRPr="005D6E5F" w:rsidP="00DD5451">
      <w:pPr>
        <w:bidi w:val="0"/>
        <w:spacing w:after="0"/>
        <w:jc w:val="both"/>
        <w:rPr>
          <w:rFonts w:ascii="Times New Roman" w:hAnsi="Times New Roman"/>
          <w:color w:val="000000" w:themeColor="tx1" w:themeShade="FF"/>
          <w:sz w:val="24"/>
          <w:szCs w:val="24"/>
        </w:rPr>
      </w:pPr>
    </w:p>
    <w:p w:rsidR="00DD5451" w:rsidRPr="005D6E5F" w:rsidP="00DD5451">
      <w:pPr>
        <w:autoSpaceDE w:val="0"/>
        <w:autoSpaceDN w:val="0"/>
        <w:bidi w:val="0"/>
        <w:adjustRightInd w:val="0"/>
        <w:jc w:val="center"/>
        <w:rPr>
          <w:b/>
          <w:bCs/>
          <w:color w:val="000000" w:themeColor="tx1" w:themeShade="FF"/>
          <w:sz w:val="28"/>
          <w:szCs w:val="28"/>
        </w:rPr>
      </w:pPr>
    </w:p>
    <w:p w:rsidR="00DD5451" w:rsidRPr="005D6E5F" w:rsidP="002A2E2B">
      <w:pPr>
        <w:bidi w:val="0"/>
        <w:rPr>
          <w:color w:val="000000" w:themeColor="tx1" w:themeShade="FF"/>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SimSun">
    <w:altName w:val="??ˇ§ˇě?"/>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BatangChe">
    <w:altName w:val="Arial Unicode MS"/>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BF780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3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C1B7C">
      <w:rPr>
        <w:rFonts w:ascii="Times New Roman" w:hAnsi="Times New Roman"/>
        <w:noProof/>
      </w:rPr>
      <w:t>1</w:t>
    </w:r>
    <w:r>
      <w:rPr>
        <w:rFonts w:ascii="Times New Roman" w:hAnsi="Times New Roman"/>
      </w:rPr>
      <w:fldChar w:fldCharType="end"/>
    </w:r>
  </w:p>
  <w:p w:rsidR="00BF7801">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BF780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rsidP="00BF7801">
    <w:pPr>
      <w:pStyle w:val="Header"/>
      <w:bidi w:val="0"/>
      <w:jc w:val="right"/>
      <w:rPr>
        <w:rFonts w:ascii="Times New Roman" w:hAnsi="Times New Roman"/>
        <w:sz w:val="24"/>
        <w:szCs w:val="24"/>
      </w:rPr>
    </w:pPr>
    <w:r>
      <w:rPr>
        <w:rFonts w:ascii="Times New Roman" w:hAnsi="Times New Roman"/>
        <w:sz w:val="24"/>
        <w:szCs w:val="24"/>
      </w:rPr>
      <w:t>Príloha č. 2</w:t>
    </w:r>
  </w:p>
  <w:p w:rsidR="00BF7801" w:rsidRPr="00EB59C8" w:rsidP="00BF7801">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rsidRPr="000A15AE" w:rsidP="00BF7801">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376"/>
    <w:multiLevelType w:val="hybridMultilevel"/>
    <w:tmpl w:val="ECFE70F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050705"/>
    <w:multiLevelType w:val="hybridMultilevel"/>
    <w:tmpl w:val="4BB012A0"/>
    <w:lvl w:ilvl="0">
      <w:start w:val="1"/>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6">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9F23F5"/>
    <w:multiLevelType w:val="hybridMultilevel"/>
    <w:tmpl w:val="FEA6F160"/>
    <w:lvl w:ilvl="0">
      <w:start w:val="1"/>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8">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CE86A1A"/>
    <w:multiLevelType w:val="hybridMultilevel"/>
    <w:tmpl w:val="2C528F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7562D3A"/>
    <w:multiLevelType w:val="hybridMultilevel"/>
    <w:tmpl w:val="2DF43532"/>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6A9C2F82"/>
    <w:multiLevelType w:val="hybridMultilevel"/>
    <w:tmpl w:val="EBDE5DB8"/>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3"/>
  </w:num>
  <w:num w:numId="2">
    <w:abstractNumId w:val="6"/>
  </w:num>
  <w:num w:numId="3">
    <w:abstractNumId w:val="1"/>
  </w:num>
  <w:num w:numId="4">
    <w:abstractNumId w:val="7"/>
  </w:num>
  <w:num w:numId="5">
    <w:abstractNumId w:val="5"/>
  </w:num>
  <w:num w:numId="6">
    <w:abstractNumId w:val="11"/>
  </w:num>
  <w:num w:numId="7">
    <w:abstractNumId w:val="9"/>
  </w:num>
  <w:num w:numId="8">
    <w:abstractNumId w:val="12"/>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5EC"/>
    <w:rsid w:val="000313A3"/>
    <w:rsid w:val="00035EB6"/>
    <w:rsid w:val="00036795"/>
    <w:rsid w:val="00036B6E"/>
    <w:rsid w:val="00041EC4"/>
    <w:rsid w:val="00047F10"/>
    <w:rsid w:val="000567A1"/>
    <w:rsid w:val="00057135"/>
    <w:rsid w:val="000754BA"/>
    <w:rsid w:val="00087147"/>
    <w:rsid w:val="0008735C"/>
    <w:rsid w:val="00087864"/>
    <w:rsid w:val="000956AE"/>
    <w:rsid w:val="000A0CEB"/>
    <w:rsid w:val="000A15AE"/>
    <w:rsid w:val="000B3C2F"/>
    <w:rsid w:val="000C07B7"/>
    <w:rsid w:val="000F5196"/>
    <w:rsid w:val="000F5F97"/>
    <w:rsid w:val="00102D72"/>
    <w:rsid w:val="00103A63"/>
    <w:rsid w:val="001073E6"/>
    <w:rsid w:val="001127A8"/>
    <w:rsid w:val="00121233"/>
    <w:rsid w:val="001449E8"/>
    <w:rsid w:val="00153CE2"/>
    <w:rsid w:val="001543D4"/>
    <w:rsid w:val="001544B7"/>
    <w:rsid w:val="00163EAA"/>
    <w:rsid w:val="00170D2B"/>
    <w:rsid w:val="00196220"/>
    <w:rsid w:val="001C718D"/>
    <w:rsid w:val="001D0C9C"/>
    <w:rsid w:val="001D1EED"/>
    <w:rsid w:val="001D33D9"/>
    <w:rsid w:val="001E07F9"/>
    <w:rsid w:val="00200898"/>
    <w:rsid w:val="00205002"/>
    <w:rsid w:val="00212894"/>
    <w:rsid w:val="00213D13"/>
    <w:rsid w:val="00232EB9"/>
    <w:rsid w:val="00265B86"/>
    <w:rsid w:val="00270BD9"/>
    <w:rsid w:val="0027629F"/>
    <w:rsid w:val="002A2E2B"/>
    <w:rsid w:val="002A76C0"/>
    <w:rsid w:val="002B0E3E"/>
    <w:rsid w:val="002C2F97"/>
    <w:rsid w:val="002C54B7"/>
    <w:rsid w:val="002D1692"/>
    <w:rsid w:val="002E0D88"/>
    <w:rsid w:val="002F7FD1"/>
    <w:rsid w:val="003006E9"/>
    <w:rsid w:val="00317B90"/>
    <w:rsid w:val="003220B4"/>
    <w:rsid w:val="00332D26"/>
    <w:rsid w:val="0038259B"/>
    <w:rsid w:val="00384DD1"/>
    <w:rsid w:val="0039193E"/>
    <w:rsid w:val="00396EEA"/>
    <w:rsid w:val="003A447C"/>
    <w:rsid w:val="003A647F"/>
    <w:rsid w:val="003C6B8A"/>
    <w:rsid w:val="003D3FCC"/>
    <w:rsid w:val="00410EFF"/>
    <w:rsid w:val="00411B5F"/>
    <w:rsid w:val="00414185"/>
    <w:rsid w:val="00433099"/>
    <w:rsid w:val="0043460F"/>
    <w:rsid w:val="00435FE8"/>
    <w:rsid w:val="0043706C"/>
    <w:rsid w:val="004513E5"/>
    <w:rsid w:val="00457292"/>
    <w:rsid w:val="00460328"/>
    <w:rsid w:val="004637F1"/>
    <w:rsid w:val="00466CA4"/>
    <w:rsid w:val="004A13F9"/>
    <w:rsid w:val="004C779A"/>
    <w:rsid w:val="004D73CC"/>
    <w:rsid w:val="004E1F2F"/>
    <w:rsid w:val="004E6236"/>
    <w:rsid w:val="004F7538"/>
    <w:rsid w:val="005005EC"/>
    <w:rsid w:val="00505ECD"/>
    <w:rsid w:val="00521FA8"/>
    <w:rsid w:val="00541344"/>
    <w:rsid w:val="005A099E"/>
    <w:rsid w:val="005C0240"/>
    <w:rsid w:val="005C1B7C"/>
    <w:rsid w:val="005C4B9C"/>
    <w:rsid w:val="005D1378"/>
    <w:rsid w:val="005D36C5"/>
    <w:rsid w:val="005D6E5F"/>
    <w:rsid w:val="005E75C9"/>
    <w:rsid w:val="005F2EF1"/>
    <w:rsid w:val="006002B0"/>
    <w:rsid w:val="006074C6"/>
    <w:rsid w:val="00620C61"/>
    <w:rsid w:val="00621E7A"/>
    <w:rsid w:val="006237CD"/>
    <w:rsid w:val="00633515"/>
    <w:rsid w:val="00634A73"/>
    <w:rsid w:val="006378E1"/>
    <w:rsid w:val="00656C86"/>
    <w:rsid w:val="00681C6E"/>
    <w:rsid w:val="00682C26"/>
    <w:rsid w:val="00697E86"/>
    <w:rsid w:val="006B27A6"/>
    <w:rsid w:val="006C1138"/>
    <w:rsid w:val="006C324C"/>
    <w:rsid w:val="006C3288"/>
    <w:rsid w:val="006C38A1"/>
    <w:rsid w:val="006E3699"/>
    <w:rsid w:val="006E60EA"/>
    <w:rsid w:val="006F189B"/>
    <w:rsid w:val="007048F4"/>
    <w:rsid w:val="00720123"/>
    <w:rsid w:val="007246BD"/>
    <w:rsid w:val="00743A53"/>
    <w:rsid w:val="00790A57"/>
    <w:rsid w:val="0079499F"/>
    <w:rsid w:val="007A1B53"/>
    <w:rsid w:val="007A2B79"/>
    <w:rsid w:val="007A5A37"/>
    <w:rsid w:val="007C33E0"/>
    <w:rsid w:val="007D4D7B"/>
    <w:rsid w:val="007D5748"/>
    <w:rsid w:val="007E60AF"/>
    <w:rsid w:val="00823315"/>
    <w:rsid w:val="00840CC3"/>
    <w:rsid w:val="00844F77"/>
    <w:rsid w:val="0085334B"/>
    <w:rsid w:val="00854233"/>
    <w:rsid w:val="00854987"/>
    <w:rsid w:val="008576D6"/>
    <w:rsid w:val="00886BE1"/>
    <w:rsid w:val="00887A14"/>
    <w:rsid w:val="00894CD0"/>
    <w:rsid w:val="008B7182"/>
    <w:rsid w:val="008C0557"/>
    <w:rsid w:val="008C2752"/>
    <w:rsid w:val="008C7B42"/>
    <w:rsid w:val="008D1E8E"/>
    <w:rsid w:val="008D339D"/>
    <w:rsid w:val="008D5F3F"/>
    <w:rsid w:val="008E2736"/>
    <w:rsid w:val="008F0362"/>
    <w:rsid w:val="008F11E8"/>
    <w:rsid w:val="008F7D91"/>
    <w:rsid w:val="00924989"/>
    <w:rsid w:val="0092784B"/>
    <w:rsid w:val="009347C3"/>
    <w:rsid w:val="0093742C"/>
    <w:rsid w:val="00944871"/>
    <w:rsid w:val="009478BA"/>
    <w:rsid w:val="00955625"/>
    <w:rsid w:val="00960851"/>
    <w:rsid w:val="009706B7"/>
    <w:rsid w:val="00972364"/>
    <w:rsid w:val="00976F95"/>
    <w:rsid w:val="00981FC3"/>
    <w:rsid w:val="00997D11"/>
    <w:rsid w:val="009F6DCA"/>
    <w:rsid w:val="00A15005"/>
    <w:rsid w:val="00A2408E"/>
    <w:rsid w:val="00A314D1"/>
    <w:rsid w:val="00A65ACC"/>
    <w:rsid w:val="00A6778A"/>
    <w:rsid w:val="00A80DA0"/>
    <w:rsid w:val="00A97616"/>
    <w:rsid w:val="00AA50A6"/>
    <w:rsid w:val="00AD1CF5"/>
    <w:rsid w:val="00AD3B9F"/>
    <w:rsid w:val="00B054F4"/>
    <w:rsid w:val="00B16218"/>
    <w:rsid w:val="00B31BB4"/>
    <w:rsid w:val="00B34702"/>
    <w:rsid w:val="00B44F4B"/>
    <w:rsid w:val="00B85000"/>
    <w:rsid w:val="00B91161"/>
    <w:rsid w:val="00B913CC"/>
    <w:rsid w:val="00BA28DB"/>
    <w:rsid w:val="00BA78E4"/>
    <w:rsid w:val="00BC615C"/>
    <w:rsid w:val="00BD5B15"/>
    <w:rsid w:val="00BD5C41"/>
    <w:rsid w:val="00BD6C95"/>
    <w:rsid w:val="00BE07B3"/>
    <w:rsid w:val="00BE6AE2"/>
    <w:rsid w:val="00BF6AFB"/>
    <w:rsid w:val="00BF7801"/>
    <w:rsid w:val="00C0776F"/>
    <w:rsid w:val="00C11EE5"/>
    <w:rsid w:val="00C15212"/>
    <w:rsid w:val="00C210F2"/>
    <w:rsid w:val="00C43E4A"/>
    <w:rsid w:val="00C51FD4"/>
    <w:rsid w:val="00C61620"/>
    <w:rsid w:val="00C64362"/>
    <w:rsid w:val="00C722A8"/>
    <w:rsid w:val="00CB3623"/>
    <w:rsid w:val="00CB57F5"/>
    <w:rsid w:val="00CC43B9"/>
    <w:rsid w:val="00CE0EDC"/>
    <w:rsid w:val="00CF4855"/>
    <w:rsid w:val="00D30379"/>
    <w:rsid w:val="00D41E75"/>
    <w:rsid w:val="00D457AF"/>
    <w:rsid w:val="00D54944"/>
    <w:rsid w:val="00D7545F"/>
    <w:rsid w:val="00D83CDC"/>
    <w:rsid w:val="00D94724"/>
    <w:rsid w:val="00D9798C"/>
    <w:rsid w:val="00DC4E07"/>
    <w:rsid w:val="00DD5451"/>
    <w:rsid w:val="00DE2A49"/>
    <w:rsid w:val="00DE5BF1"/>
    <w:rsid w:val="00DF4324"/>
    <w:rsid w:val="00E07CE9"/>
    <w:rsid w:val="00E43C43"/>
    <w:rsid w:val="00E50785"/>
    <w:rsid w:val="00E65709"/>
    <w:rsid w:val="00E75D18"/>
    <w:rsid w:val="00E75FDB"/>
    <w:rsid w:val="00E80DE4"/>
    <w:rsid w:val="00E81AD5"/>
    <w:rsid w:val="00E85CBD"/>
    <w:rsid w:val="00E87889"/>
    <w:rsid w:val="00E929FA"/>
    <w:rsid w:val="00E963A3"/>
    <w:rsid w:val="00EA1E90"/>
    <w:rsid w:val="00EB59C8"/>
    <w:rsid w:val="00EB7ABC"/>
    <w:rsid w:val="00EC2D8C"/>
    <w:rsid w:val="00EE17EF"/>
    <w:rsid w:val="00EE46EC"/>
    <w:rsid w:val="00EF62AE"/>
    <w:rsid w:val="00EF7147"/>
    <w:rsid w:val="00F04CCD"/>
    <w:rsid w:val="00F23ED1"/>
    <w:rsid w:val="00F27E55"/>
    <w:rsid w:val="00F40136"/>
    <w:rsid w:val="00F70A94"/>
    <w:rsid w:val="00F94D1E"/>
    <w:rsid w:val="00F95494"/>
    <w:rsid w:val="00F9554F"/>
    <w:rsid w:val="00FA0A4A"/>
    <w:rsid w:val="00FA5B02"/>
    <w:rsid w:val="00FB381C"/>
    <w:rsid w:val="00FB6428"/>
    <w:rsid w:val="00FD51EB"/>
    <w:rsid w:val="00FF22A9"/>
    <w:rsid w:val="00FF5BD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paragraph" w:styleId="ListParagraph">
    <w:name w:val="List Paragraph"/>
    <w:aliases w:val="Conclusion de partie,List Paragraph (Czech Tourism),List Paragraph1,Nad,ODRAZKY PRVA UROVEN,Odsek,Odsek zoznamu2,Odstavec cíl se seznamem,Odstavec se seznamem5,Odstavec_muj,Seznam - odrážky,_Odstavec se seznamem,body"/>
    <w:basedOn w:val="Normal"/>
    <w:link w:val="OdsekzoznamuChar"/>
    <w:uiPriority w:val="34"/>
    <w:qFormat/>
    <w:rsid w:val="00BF7801"/>
    <w:pPr>
      <w:ind w:left="720"/>
      <w:contextualSpacing/>
      <w:jc w:val="left"/>
    </w:pPr>
  </w:style>
  <w:style w:type="paragraph" w:customStyle="1" w:styleId="Default">
    <w:name w:val="Default"/>
    <w:rsid w:val="00AD3B9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CommentReference">
    <w:name w:val="annotation reference"/>
    <w:basedOn w:val="DefaultParagraphFont"/>
    <w:uiPriority w:val="99"/>
    <w:rsid w:val="00AD1CF5"/>
    <w:rPr>
      <w:rFonts w:cs="Times New Roman"/>
      <w:sz w:val="16"/>
      <w:szCs w:val="16"/>
      <w:rtl w:val="0"/>
      <w:cs w:val="0"/>
    </w:rPr>
  </w:style>
  <w:style w:type="paragraph" w:styleId="CommentText">
    <w:name w:val="annotation text"/>
    <w:basedOn w:val="Normal"/>
    <w:link w:val="TextkomentraChar"/>
    <w:uiPriority w:val="99"/>
    <w:rsid w:val="00AD1CF5"/>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D1CF5"/>
    <w:rPr>
      <w:rFonts w:cs="Times New Roman"/>
      <w:sz w:val="20"/>
      <w:szCs w:val="20"/>
      <w:rtl w:val="0"/>
      <w:cs w:val="0"/>
    </w:rPr>
  </w:style>
  <w:style w:type="paragraph" w:styleId="CommentSubject">
    <w:name w:val="annotation subject"/>
    <w:basedOn w:val="CommentText"/>
    <w:next w:val="CommentText"/>
    <w:link w:val="PredmetkomentraChar"/>
    <w:uiPriority w:val="99"/>
    <w:rsid w:val="00AD1CF5"/>
    <w:pPr>
      <w:spacing w:line="240" w:lineRule="auto"/>
      <w:jc w:val="left"/>
    </w:pPr>
    <w:rPr>
      <w:b/>
      <w:bCs/>
    </w:rPr>
  </w:style>
  <w:style w:type="character" w:customStyle="1" w:styleId="PredmetkomentraChar">
    <w:name w:val="Predmet komentára Char"/>
    <w:basedOn w:val="TextkomentraChar"/>
    <w:link w:val="CommentSubject"/>
    <w:uiPriority w:val="99"/>
    <w:locked/>
    <w:rsid w:val="00AD1CF5"/>
    <w:rPr>
      <w:b/>
      <w:bCs/>
    </w:rPr>
  </w:style>
  <w:style w:type="character" w:styleId="PlaceholderText">
    <w:name w:val="Placeholder Text"/>
    <w:basedOn w:val="DefaultParagraphFont"/>
    <w:uiPriority w:val="99"/>
    <w:rsid w:val="008576D6"/>
    <w:rPr>
      <w:rFonts w:cs="Times New Roman"/>
      <w:color w:val="808080"/>
      <w:rtl w:val="0"/>
      <w:cs w:val="0"/>
    </w:rPr>
  </w:style>
  <w:style w:type="paragraph" w:styleId="BodyText">
    <w:name w:val="Body Text"/>
    <w:basedOn w:val="Normal"/>
    <w:link w:val="ZkladntextChar"/>
    <w:uiPriority w:val="99"/>
    <w:unhideWhenUsed/>
    <w:rsid w:val="008576D6"/>
    <w:pPr>
      <w:spacing w:after="0" w:line="240" w:lineRule="auto"/>
      <w:jc w:val="both"/>
    </w:pPr>
    <w:rPr>
      <w:rFonts w:ascii="Times New Roman" w:hAnsi="Times New Roman"/>
      <w:sz w:val="24"/>
      <w:szCs w:val="20"/>
      <w:lang w:val="cs-CZ" w:eastAsia="cs-CZ"/>
    </w:rPr>
  </w:style>
  <w:style w:type="character" w:customStyle="1" w:styleId="ZkladntextChar">
    <w:name w:val="Základný text Char"/>
    <w:basedOn w:val="DefaultParagraphFont"/>
    <w:link w:val="BodyText"/>
    <w:uiPriority w:val="99"/>
    <w:locked/>
    <w:rsid w:val="008576D6"/>
    <w:rPr>
      <w:rFonts w:ascii="Times New Roman" w:hAnsi="Times New Roman" w:cs="Times New Roman"/>
      <w:sz w:val="20"/>
      <w:szCs w:val="20"/>
      <w:rtl w:val="0"/>
      <w:cs w:val="0"/>
      <w:lang w:val="cs-CZ" w:eastAsia="cs-CZ"/>
    </w:rPr>
  </w:style>
  <w:style w:type="table" w:styleId="TableGrid">
    <w:name w:val="Table Grid"/>
    <w:basedOn w:val="TableNormal"/>
    <w:uiPriority w:val="59"/>
    <w:rsid w:val="00DD54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uiPriority w:val="99"/>
    <w:rsid w:val="00DD5451"/>
    <w:pPr>
      <w:spacing w:before="100" w:beforeAutospacing="1" w:after="100" w:afterAutospacing="1" w:line="240" w:lineRule="auto"/>
      <w:jc w:val="center"/>
    </w:pPr>
    <w:rPr>
      <w:rFonts w:ascii="Arial" w:hAnsi="Arial" w:cs="Arial"/>
      <w:b/>
      <w:bCs/>
      <w:color w:val="007060"/>
      <w:sz w:val="24"/>
      <w:szCs w:val="24"/>
      <w:lang w:eastAsia="sk-SK"/>
    </w:rPr>
  </w:style>
  <w:style w:type="character" w:styleId="Hyperlink">
    <w:name w:val="Hyperlink"/>
    <w:basedOn w:val="DefaultParagraphFont"/>
    <w:uiPriority w:val="99"/>
    <w:unhideWhenUsed/>
    <w:rsid w:val="00DD5451"/>
    <w:rPr>
      <w:rFonts w:cs="Times New Roman"/>
      <w:color w:val="0000FF" w:themeColor="hlink" w:themeShade="FF"/>
      <w:u w:val="single"/>
      <w:rtl w:val="0"/>
      <w:cs w:val="0"/>
    </w:rPr>
  </w:style>
  <w:style w:type="character" w:customStyle="1" w:styleId="norm00e1lnychar1">
    <w:name w:val="norm_00e1lny__char1"/>
    <w:rsid w:val="00DD5451"/>
    <w:rPr>
      <w:rFonts w:ascii="Times New Roman" w:hAnsi="Times New Roman" w:cs="Times New Roman"/>
      <w:sz w:val="20"/>
      <w:u w:val="none"/>
      <w:effect w:val="none"/>
    </w:rPr>
  </w:style>
  <w:style w:type="character" w:customStyle="1" w:styleId="z00e1kladn00fd0020textchar1">
    <w:name w:val="z_00e1kladn_00fd_0020text__char1"/>
    <w:rsid w:val="00DD5451"/>
    <w:rPr>
      <w:rFonts w:ascii="Times New Roman" w:hAnsi="Times New Roman" w:cs="Times New Roman"/>
      <w:sz w:val="20"/>
      <w:u w:val="none"/>
      <w:effect w:val="none"/>
    </w:rPr>
  </w:style>
  <w:style w:type="paragraph" w:customStyle="1" w:styleId="norm00e1lny">
    <w:name w:val="norm_00e1lny"/>
    <w:basedOn w:val="Normal"/>
    <w:rsid w:val="00DD5451"/>
    <w:pPr>
      <w:spacing w:after="0" w:line="200" w:lineRule="atLeast"/>
      <w:jc w:val="left"/>
    </w:pPr>
    <w:rPr>
      <w:rFonts w:ascii="Times New Roman" w:hAnsi="Times New Roman"/>
      <w:sz w:val="20"/>
      <w:szCs w:val="20"/>
      <w:lang w:eastAsia="sk-SK"/>
    </w:rPr>
  </w:style>
  <w:style w:type="paragraph" w:customStyle="1" w:styleId="z00e1kladn00fd0020text">
    <w:name w:val="z_00e1kladn_00fd_0020text"/>
    <w:basedOn w:val="Normal"/>
    <w:rsid w:val="00DD5451"/>
    <w:pPr>
      <w:spacing w:after="120" w:line="200" w:lineRule="atLeast"/>
      <w:jc w:val="left"/>
    </w:pPr>
    <w:rPr>
      <w:rFonts w:ascii="Times New Roman" w:hAnsi="Times New Roman"/>
      <w:sz w:val="20"/>
      <w:szCs w:val="20"/>
      <w:lang w:eastAsia="sk-SK"/>
    </w:rPr>
  </w:style>
  <w:style w:type="character" w:customStyle="1" w:styleId="apple-converted-space">
    <w:name w:val="apple-converted-space"/>
    <w:basedOn w:val="DefaultParagraphFont"/>
    <w:uiPriority w:val="99"/>
    <w:rsid w:val="00DD5451"/>
    <w:rPr>
      <w:rFonts w:cs="Times New Roman"/>
      <w:rtl w:val="0"/>
      <w:cs w:val="0"/>
    </w:rPr>
  </w:style>
  <w:style w:type="character" w:customStyle="1" w:styleId="awspan1">
    <w:name w:val="awspan1"/>
    <w:rsid w:val="00DD5451"/>
    <w:rPr>
      <w:color w:val="000000"/>
      <w:sz w:val="24"/>
    </w:rPr>
  </w:style>
  <w:style w:type="paragraph" w:styleId="BodyTextIndent2">
    <w:name w:val="Body Text Indent 2"/>
    <w:basedOn w:val="Normal"/>
    <w:link w:val="Zarkazkladnhotextu2Char"/>
    <w:uiPriority w:val="99"/>
    <w:rsid w:val="00DD5451"/>
    <w:pPr>
      <w:spacing w:after="120" w:line="480" w:lineRule="auto"/>
      <w:ind w:left="283"/>
      <w:jc w:val="left"/>
    </w:pPr>
    <w:rPr>
      <w:rFonts w:ascii="Calibri" w:hAnsi="Calibri" w:cs="Calibri"/>
    </w:rPr>
  </w:style>
  <w:style w:type="character" w:customStyle="1" w:styleId="Zarkazkladnhotextu2Char">
    <w:name w:val="Zarážka základného textu 2 Char"/>
    <w:basedOn w:val="DefaultParagraphFont"/>
    <w:link w:val="BodyTextIndent2"/>
    <w:uiPriority w:val="99"/>
    <w:locked/>
    <w:rsid w:val="00DD5451"/>
    <w:rPr>
      <w:rFonts w:ascii="Calibri" w:hAnsi="Calibri" w:cs="Calibri"/>
      <w:rtl w:val="0"/>
      <w:cs w:val="0"/>
    </w:rPr>
  </w:style>
  <w:style w:type="character" w:customStyle="1" w:styleId="OdsekzoznamuChar">
    <w:name w:val="Odsek zoznamu Char"/>
    <w:aliases w:val="Conclusion de partie Char,List Paragraph (Czech Tourism) Char,Nad Char,Odsek Char,Odstavec cíl se seznamem Char,Odstavec se seznamem5 Char,Odstavec_muj Char,Seznam - odrážky Char,_Odstavec se seznamem Char,body Char"/>
    <w:link w:val="ListParagraph"/>
    <w:uiPriority w:val="34"/>
    <w:qFormat/>
    <w:locked/>
    <w:rsid w:val="00DD5451"/>
  </w:style>
  <w:style w:type="paragraph" w:styleId="BodyTextIndent3">
    <w:name w:val="Body Text Indent 3"/>
    <w:basedOn w:val="Normal"/>
    <w:link w:val="Zarkazkladnhotextu3Char"/>
    <w:uiPriority w:val="99"/>
    <w:unhideWhenUsed/>
    <w:rsid w:val="00887A14"/>
    <w:pPr>
      <w:spacing w:after="120" w:line="240" w:lineRule="auto"/>
      <w:ind w:left="283"/>
      <w:jc w:val="left"/>
    </w:pPr>
    <w:rPr>
      <w:rFonts w:ascii="Times New Roman" w:hAnsi="Times New Roman"/>
      <w:sz w:val="16"/>
      <w:szCs w:val="16"/>
    </w:rPr>
  </w:style>
  <w:style w:type="character" w:customStyle="1" w:styleId="Zarkazkladnhotextu3Char">
    <w:name w:val="Zarážka základného textu 3 Char"/>
    <w:basedOn w:val="DefaultParagraphFont"/>
    <w:link w:val="BodyTextIndent3"/>
    <w:uiPriority w:val="99"/>
    <w:locked/>
    <w:rsid w:val="00887A14"/>
    <w:rPr>
      <w:rFonts w:ascii="Times New Roman" w:hAnsi="Times New Roman" w:cs="Times New Roman"/>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yperlink" Target="https://www.slov-lex.sk/pravne-predpisy/SK/ZZ/2013/474/20200721"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1961/135/" TargetMode="External" /><Relationship Id="rId5" Type="http://schemas.openxmlformats.org/officeDocument/2006/relationships/hyperlink" Target="https://www.slov-lex.sk/pravne-predpisy/SK/ZZ/2009/8/" TargetMode="External" /><Relationship Id="rId6" Type="http://schemas.openxmlformats.org/officeDocument/2006/relationships/hyperlink" Target="mailto:tomas.psenka@mindop.sk" TargetMode="External" /><Relationship Id="rId7" Type="http://schemas.openxmlformats.org/officeDocument/2006/relationships/hyperlink" Target="mailto:peter.povazan@mindop.sk" TargetMode="External" /><Relationship Id="rId8" Type="http://schemas.openxmlformats.org/officeDocument/2006/relationships/hyperlink" Target="https://www.mhsr.sk/uploads/files/Tk5z84W0.xlsx" TargetMode="External" /><Relationship Id="rId9" Type="http://schemas.openxmlformats.org/officeDocument/2006/relationships/header" Target="head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47</TotalTime>
  <Pages>24</Pages>
  <Words>8125</Words>
  <Characters>46318</Characters>
  <Application>Microsoft Office Word</Application>
  <DocSecurity>0</DocSecurity>
  <Lines>0</Lines>
  <Paragraphs>0</Paragraphs>
  <ScaleCrop>false</ScaleCrop>
  <Company>MH SR</Company>
  <LinksUpToDate>false</LinksUpToDate>
  <CharactersWithSpaces>54335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Považan, Peter</cp:lastModifiedBy>
  <cp:revision>14</cp:revision>
  <cp:lastPrinted>2021-07-21T13:37:00Z</cp:lastPrinted>
  <dcterms:created xsi:type="dcterms:W3CDTF">2021-05-20T14:09:00Z</dcterms:created>
  <dcterms:modified xsi:type="dcterms:W3CDTF">2021-07-21T13:38:00Z</dcterms:modified>
</cp:coreProperties>
</file>