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2E" w:rsidRPr="0046061E" w:rsidRDefault="0032582E" w:rsidP="00325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Analýza vplyvov na rozpočet verejnej správy,</w:t>
      </w:r>
    </w:p>
    <w:p w:rsidR="0032582E" w:rsidRPr="0046061E" w:rsidRDefault="0032582E" w:rsidP="00325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:rsidR="0046061E" w:rsidRDefault="0046061E" w:rsidP="004606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6061E" w:rsidRDefault="0032582E" w:rsidP="004606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46061E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  <w:r w:rsidR="0046061E">
        <w:rPr>
          <w:rFonts w:ascii="Times New Roman" w:hAnsi="Times New Roman"/>
          <w:b/>
          <w:bCs/>
          <w:sz w:val="24"/>
          <w:szCs w:val="24"/>
          <w:lang w:eastAsia="sk-SK"/>
        </w:rPr>
        <w:tab/>
      </w:r>
    </w:p>
    <w:p w:rsidR="0032582E" w:rsidRPr="0046061E" w:rsidRDefault="0046061E" w:rsidP="0046061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  <w:t xml:space="preserve">        </w:t>
      </w:r>
      <w:r w:rsidR="0032582E" w:rsidRPr="0046061E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947"/>
        <w:gridCol w:w="1417"/>
        <w:gridCol w:w="1482"/>
        <w:gridCol w:w="1538"/>
      </w:tblGrid>
      <w:tr w:rsidR="0032582E" w:rsidRPr="0046061E" w:rsidTr="0032582E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84" w:type="dxa"/>
            <w:gridSpan w:val="4"/>
            <w:shd w:val="clear" w:color="auto" w:fill="BFBFBF" w:themeFill="background1" w:themeFillShade="BF"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2582E" w:rsidRPr="0046061E" w:rsidTr="0032582E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  <w:vAlign w:val="center"/>
          </w:tcPr>
          <w:p w:rsidR="0032582E" w:rsidRPr="0046061E" w:rsidRDefault="00491829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2582E" w:rsidRPr="0046061E" w:rsidRDefault="00491829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:rsidR="0032582E" w:rsidRPr="0046061E" w:rsidRDefault="0032582E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32582E" w:rsidRPr="0046061E" w:rsidRDefault="0032582E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32582E" w:rsidRPr="0046061E" w:rsidTr="008A2547">
        <w:trPr>
          <w:trHeight w:val="468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947" w:type="dxa"/>
            <w:shd w:val="clear" w:color="auto" w:fill="C0C0C0"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C0C0C0"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32582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94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:rsidR="0032582E" w:rsidRPr="0046061E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1F53CD">
        <w:trPr>
          <w:trHeight w:val="434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947" w:type="dxa"/>
            <w:shd w:val="clear" w:color="auto" w:fill="BFBFBF" w:themeFill="background1" w:themeFillShade="BF"/>
            <w:noWrap/>
            <w:vAlign w:val="center"/>
          </w:tcPr>
          <w:p w:rsidR="0032582E" w:rsidRPr="00122D1D" w:rsidRDefault="003951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E400DB" w:rsidP="002C3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0155F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491829" w:rsidP="001633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16332C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754 689</w:t>
            </w:r>
          </w:p>
        </w:tc>
      </w:tr>
      <w:tr w:rsidR="0032582E" w:rsidRPr="0046061E" w:rsidTr="00A939D5">
        <w:trPr>
          <w:trHeight w:val="284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v tom: kapitola MF SR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9C60F9" w:rsidP="0032582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+ 8 565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0155F5" w:rsidRDefault="004D2E7A" w:rsidP="002C30F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sk-SK"/>
              </w:rPr>
            </w:pPr>
            <w:r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0155F5"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4D2E7A" w:rsidP="00042E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0678E8" w:rsidP="000678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754 689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D461B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z toho: 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program 07</w:t>
            </w:r>
            <w:r w:rsidR="00E400DB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E400DB">
              <w:rPr>
                <w:rFonts w:ascii="Times New Roman" w:hAnsi="Times New Roman"/>
                <w:sz w:val="24"/>
                <w:szCs w:val="24"/>
                <w:lang w:eastAsia="sk-SK"/>
              </w:rPr>
              <w:t>–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E400DB">
              <w:rPr>
                <w:rFonts w:ascii="Times New Roman" w:hAnsi="Times New Roman"/>
                <w:sz w:val="24"/>
                <w:szCs w:val="24"/>
                <w:lang w:eastAsia="sk-SK"/>
              </w:rPr>
              <w:t>Vý</w:t>
            </w:r>
            <w:r w:rsidR="00D461B0">
              <w:rPr>
                <w:rFonts w:ascii="Times New Roman" w:hAnsi="Times New Roman"/>
                <w:sz w:val="24"/>
                <w:szCs w:val="24"/>
                <w:lang w:eastAsia="sk-SK"/>
              </w:rPr>
              <w:t>ber daní a cla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491829" w:rsidP="0032582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0155F5" w:rsidRDefault="00CF2C6A" w:rsidP="00820936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0155F5"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CF2C6A" w:rsidP="002B0A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0678E8" w:rsidP="000678E8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754 689</w:t>
            </w:r>
          </w:p>
        </w:tc>
      </w:tr>
      <w:tr w:rsidR="003951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9512E" w:rsidRPr="0046061E" w:rsidRDefault="0039512E" w:rsidP="0039512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 podprogram </w:t>
            </w: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0EK 0D - 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T</w:t>
            </w: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financované zo ŠR</w:t>
            </w:r>
            <w:r w:rsidR="009567A2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– MF SR (</w:t>
            </w:r>
            <w:proofErr w:type="spellStart"/>
            <w:r w:rsidR="009567A2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org</w:t>
            </w:r>
            <w:proofErr w:type="spellEnd"/>
            <w:r w:rsidR="009567A2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. FR SR)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9512E" w:rsidRPr="00A939D5" w:rsidRDefault="0039512E" w:rsidP="0032582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512E" w:rsidRPr="00463D7E" w:rsidRDefault="0039512E" w:rsidP="002B0A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9512E" w:rsidRPr="00463D7E" w:rsidRDefault="0039512E" w:rsidP="002B0A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9512E" w:rsidRPr="00463D7E" w:rsidRDefault="0039512E" w:rsidP="002B0A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34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B80A78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CF2C6A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0155F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CF2C6A" w:rsidP="002B0A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CF2C6A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754 689</w:t>
            </w:r>
          </w:p>
        </w:tc>
      </w:tr>
      <w:tr w:rsidR="0032582E" w:rsidRPr="0046061E" w:rsidTr="00A939D5">
        <w:trPr>
          <w:trHeight w:val="352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B80A78" w:rsidP="0032582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CF2C6A" w:rsidP="00063F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0A213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73</w:t>
            </w:r>
            <w:r w:rsidR="00063FF2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0A213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CF2C6A" w:rsidP="002B0A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CF2C6A" w:rsidP="000678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754 689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8A2547">
        <w:trPr>
          <w:trHeight w:val="49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947" w:type="dxa"/>
            <w:shd w:val="clear" w:color="auto" w:fill="BFBFBF" w:themeFill="background1" w:themeFillShade="BF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1F53CD">
        <w:trPr>
          <w:trHeight w:val="362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947" w:type="dxa"/>
            <w:shd w:val="clear" w:color="auto" w:fill="BFBFBF" w:themeFill="background1" w:themeFillShade="BF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1943FA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482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</w:tr>
      <w:tr w:rsidR="0032582E" w:rsidRPr="0046061E" w:rsidTr="00A939D5">
        <w:trPr>
          <w:trHeight w:val="268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1943FA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1F53CD" w:rsidP="00463D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+</w:t>
            </w:r>
            <w:r w:rsidR="00463D7E" w:rsidRPr="00463D7E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523 028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2582E" w:rsidRPr="00A939D5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32582E" w:rsidRPr="00463D7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943FA" w:rsidRPr="0046061E" w:rsidTr="001F53CD">
        <w:trPr>
          <w:trHeight w:val="476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1943FA" w:rsidRPr="0046061E" w:rsidRDefault="001943FA" w:rsidP="001943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947" w:type="dxa"/>
            <w:shd w:val="clear" w:color="auto" w:fill="BFBFBF" w:themeFill="background1" w:themeFillShade="BF"/>
            <w:noWrap/>
            <w:vAlign w:val="center"/>
          </w:tcPr>
          <w:p w:rsidR="001943FA" w:rsidRPr="00A939D5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0155F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BFBFBF" w:themeFill="background1" w:themeFillShade="BF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+754 004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+754 689</w:t>
            </w:r>
          </w:p>
        </w:tc>
      </w:tr>
      <w:tr w:rsidR="001943FA" w:rsidRPr="002B0A37" w:rsidTr="00A939D5">
        <w:trPr>
          <w:trHeight w:val="188"/>
          <w:jc w:val="center"/>
        </w:trPr>
        <w:tc>
          <w:tcPr>
            <w:tcW w:w="4661" w:type="dxa"/>
            <w:noWrap/>
            <w:vAlign w:val="center"/>
          </w:tcPr>
          <w:p w:rsidR="001943FA" w:rsidRPr="0046061E" w:rsidRDefault="001943FA" w:rsidP="00194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v tom: kapitola MF SR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943FA" w:rsidRPr="00A939D5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43FA" w:rsidRPr="000155F5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sk-SK"/>
              </w:rPr>
            </w:pPr>
            <w:r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0155F5"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+754 689</w:t>
            </w:r>
          </w:p>
        </w:tc>
      </w:tr>
      <w:tr w:rsidR="001943FA" w:rsidRPr="002B0A37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943FA" w:rsidRPr="0046061E" w:rsidRDefault="001943FA" w:rsidP="001943FA">
            <w:pPr>
              <w:spacing w:after="0" w:line="240" w:lineRule="auto"/>
              <w:ind w:left="776" w:hanging="776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z toho: 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program 07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–</w:t>
            </w: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Výber daní a cla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943FA" w:rsidRPr="00A939D5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43FA" w:rsidRPr="000155F5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</w:t>
            </w:r>
            <w:r w:rsidR="000155F5" w:rsidRPr="000155F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+754 004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943FA" w:rsidRPr="00463D7E" w:rsidRDefault="001943FA" w:rsidP="001943F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463D7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+754 689</w:t>
            </w:r>
          </w:p>
        </w:tc>
      </w:tr>
      <w:tr w:rsidR="00E81428" w:rsidRPr="002B0A37" w:rsidTr="00A939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1428" w:rsidRPr="0046061E" w:rsidRDefault="00E81428" w:rsidP="00E81428">
            <w:pPr>
              <w:spacing w:after="0" w:line="240" w:lineRule="auto"/>
              <w:ind w:left="776" w:hanging="776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 podprogram </w:t>
            </w: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0EK 0D - 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T</w:t>
            </w:r>
            <w:r w:rsidRPr="0046061E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financované zo ŠR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– MF SR (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org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. FR SR)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E81428" w:rsidRPr="00A939D5" w:rsidRDefault="00E81428" w:rsidP="00122D1D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+8 565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81428" w:rsidRPr="00A939D5" w:rsidRDefault="00E81428" w:rsidP="00122D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E81428" w:rsidRPr="00A939D5" w:rsidRDefault="00E81428" w:rsidP="00122D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E81428" w:rsidRPr="00A939D5" w:rsidRDefault="00E81428" w:rsidP="00122D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A939D5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E81428">
        <w:trPr>
          <w:trHeight w:val="337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947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E1796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2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32582E" w:rsidRPr="0046061E" w:rsidTr="00BD7393">
        <w:trPr>
          <w:trHeight w:val="31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947" w:type="dxa"/>
            <w:shd w:val="clear" w:color="auto" w:fill="A6A6A6" w:themeFill="background1" w:themeFillShade="A6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482" w:type="dxa"/>
            <w:shd w:val="clear" w:color="auto" w:fill="A6A6A6" w:themeFill="background1" w:themeFillShade="A6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538" w:type="dxa"/>
            <w:shd w:val="clear" w:color="auto" w:fill="A6A6A6" w:themeFill="background1" w:themeFillShade="A6"/>
            <w:noWrap/>
            <w:vAlign w:val="center"/>
          </w:tcPr>
          <w:p w:rsidR="0032582E" w:rsidRPr="0046061E" w:rsidRDefault="0032582E" w:rsidP="003258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bookmarkEnd w:id="1"/>
    </w:tbl>
    <w:p w:rsidR="0032582E" w:rsidRPr="0046061E" w:rsidRDefault="0032582E" w:rsidP="0046061E">
      <w:pPr>
        <w:spacing w:after="0"/>
        <w:rPr>
          <w:rFonts w:ascii="Times New Roman" w:hAnsi="Times New Roman"/>
          <w:sz w:val="24"/>
          <w:szCs w:val="24"/>
        </w:rPr>
      </w:pPr>
    </w:p>
    <w:p w:rsidR="007D5748" w:rsidRDefault="007D5748" w:rsidP="00C042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C04213" w:rsidRPr="0046061E" w:rsidRDefault="00C04213" w:rsidP="00C042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C506D" w:rsidRDefault="003C506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sk-SK"/>
        </w:rPr>
        <w:t>Kategórie „610“ a „620“</w:t>
      </w:r>
    </w:p>
    <w:p w:rsidR="0051289D" w:rsidRPr="003C506D" w:rsidRDefault="0051289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122D1D" w:rsidRDefault="00122D1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</w:pPr>
      <w:r w:rsidRPr="003C506D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>Celkové navýšenie v kategórii „610“</w:t>
      </w:r>
      <w:r w:rsidR="003C506D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 xml:space="preserve"> oproti roku 2020 očakávame:</w:t>
      </w:r>
    </w:p>
    <w:p w:rsidR="0057070F" w:rsidRDefault="0057070F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57070F">
        <w:rPr>
          <w:rFonts w:ascii="Times New Roman" w:hAnsi="Times New Roman"/>
          <w:b/>
          <w:bCs/>
          <w:sz w:val="24"/>
          <w:szCs w:val="24"/>
          <w:lang w:eastAsia="sk-SK"/>
        </w:rPr>
        <w:t>na rok 2022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vo výške </w:t>
      </w:r>
      <w:r w:rsidR="00C973D8">
        <w:rPr>
          <w:rFonts w:ascii="Times New Roman" w:hAnsi="Times New Roman"/>
          <w:b/>
          <w:bCs/>
          <w:sz w:val="24"/>
          <w:szCs w:val="24"/>
          <w:lang w:eastAsia="sk-SK"/>
        </w:rPr>
        <w:t>523 028</w:t>
      </w:r>
      <w:r w:rsidR="00AF6609"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</w:p>
    <w:p w:rsidR="00AF6609" w:rsidRDefault="0057070F" w:rsidP="00AF660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57070F">
        <w:rPr>
          <w:rFonts w:ascii="Times New Roman" w:hAnsi="Times New Roman"/>
          <w:b/>
          <w:bCs/>
          <w:sz w:val="24"/>
          <w:szCs w:val="24"/>
          <w:lang w:eastAsia="sk-SK"/>
        </w:rPr>
        <w:t>na rok 2023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</w:t>
      </w:r>
      <w:r w:rsidRPr="0057070F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C973D8">
        <w:rPr>
          <w:rFonts w:ascii="Times New Roman" w:hAnsi="Times New Roman"/>
          <w:b/>
          <w:bCs/>
          <w:sz w:val="24"/>
          <w:szCs w:val="24"/>
          <w:lang w:eastAsia="sk-SK"/>
        </w:rPr>
        <w:t>523 028</w:t>
      </w:r>
      <w:r w:rsidR="00AF6609"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</w:p>
    <w:p w:rsidR="003A44E2" w:rsidRDefault="001943FA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na rok 2024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v ročnom vyjadrení </w:t>
      </w:r>
      <w:r w:rsidRPr="0057070F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523 028</w:t>
      </w:r>
      <w:r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</w:p>
    <w:p w:rsidR="001A4E07" w:rsidRDefault="001A4E07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Výška dopadu finančných prostriedkov na mzdové výdavky je ovplyvnená</w:t>
      </w:r>
    </w:p>
    <w:p w:rsidR="001A4E07" w:rsidRPr="006831CE" w:rsidRDefault="00DD34F6" w:rsidP="006831CE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831CE">
        <w:rPr>
          <w:rFonts w:ascii="Times New Roman" w:hAnsi="Times New Roman"/>
          <w:bCs/>
          <w:sz w:val="24"/>
          <w:szCs w:val="24"/>
          <w:lang w:eastAsia="sk-SK"/>
        </w:rPr>
        <w:t>zakotvením príplatku za riadenie pre funkciu zástupcu vedúceho oddelenia na colných úradoch a pre funkciu zástupcu vedúceho oddelenia na daňových úradoch,</w:t>
      </w:r>
    </w:p>
    <w:p w:rsidR="00DD34F6" w:rsidRPr="006831CE" w:rsidRDefault="0007322B" w:rsidP="006831CE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831CE">
        <w:rPr>
          <w:rFonts w:ascii="Times New Roman" w:hAnsi="Times New Roman"/>
          <w:bCs/>
          <w:sz w:val="24"/>
          <w:szCs w:val="24"/>
          <w:lang w:eastAsia="sk-SK"/>
        </w:rPr>
        <w:t>vyslaním príslušníka finančnej správy na plnenie úloh podľa medzinárodnej zmluvy do medzinárodnej organizácie,</w:t>
      </w:r>
    </w:p>
    <w:p w:rsidR="0007322B" w:rsidRPr="00C973D8" w:rsidRDefault="0007322B" w:rsidP="006831CE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831CE">
        <w:rPr>
          <w:rFonts w:ascii="Times New Roman" w:hAnsi="Times New Roman"/>
          <w:bCs/>
          <w:sz w:val="24"/>
          <w:szCs w:val="24"/>
          <w:lang w:eastAsia="sk-SK"/>
        </w:rPr>
        <w:t xml:space="preserve">poskytnutím najviac 10 dní </w:t>
      </w:r>
      <w:r w:rsidR="006831CE" w:rsidRPr="006831CE">
        <w:rPr>
          <w:rFonts w:ascii="Times New Roman" w:hAnsi="Times New Roman"/>
          <w:bCs/>
          <w:sz w:val="24"/>
          <w:szCs w:val="24"/>
          <w:lang w:eastAsia="sk-SK"/>
        </w:rPr>
        <w:t xml:space="preserve">nevyčerpanej </w:t>
      </w:r>
      <w:r w:rsidRPr="006831CE">
        <w:rPr>
          <w:rFonts w:ascii="Times New Roman" w:hAnsi="Times New Roman"/>
          <w:bCs/>
          <w:sz w:val="24"/>
          <w:szCs w:val="24"/>
          <w:lang w:eastAsia="sk-SK"/>
        </w:rPr>
        <w:t>dovolenky</w:t>
      </w:r>
      <w:r w:rsidR="006831CE" w:rsidRPr="006831CE">
        <w:rPr>
          <w:rFonts w:ascii="Times New Roman" w:hAnsi="Times New Roman"/>
          <w:bCs/>
          <w:sz w:val="24"/>
          <w:szCs w:val="24"/>
          <w:lang w:eastAsia="sk-SK"/>
        </w:rPr>
        <w:t>, ak si ju</w:t>
      </w:r>
      <w:r w:rsidRPr="006831CE">
        <w:rPr>
          <w:rFonts w:ascii="Times New Roman" w:hAnsi="Times New Roman"/>
          <w:sz w:val="24"/>
          <w:szCs w:val="24"/>
        </w:rPr>
        <w:t xml:space="preserve"> príslušník finančnej správy</w:t>
      </w:r>
      <w:r w:rsidR="006831CE" w:rsidRPr="006831CE">
        <w:rPr>
          <w:rFonts w:ascii="Times New Roman" w:hAnsi="Times New Roman"/>
          <w:sz w:val="24"/>
          <w:szCs w:val="24"/>
        </w:rPr>
        <w:t xml:space="preserve"> nemohol vyčerpať </w:t>
      </w:r>
      <w:r w:rsidRPr="006831CE">
        <w:rPr>
          <w:rFonts w:ascii="Times New Roman" w:hAnsi="Times New Roman"/>
          <w:sz w:val="24"/>
          <w:szCs w:val="24"/>
        </w:rPr>
        <w:t>ani do konca nasledujúceho roka</w:t>
      </w:r>
      <w:r w:rsidR="006831CE" w:rsidRPr="006831CE">
        <w:rPr>
          <w:rFonts w:ascii="Times New Roman" w:hAnsi="Times New Roman"/>
          <w:sz w:val="24"/>
          <w:szCs w:val="24"/>
        </w:rPr>
        <w:t xml:space="preserve"> z dôvodu dlhodobého záujmu na zabezpečení výkonu štátnej služby</w:t>
      </w:r>
      <w:r w:rsidR="00C973D8">
        <w:rPr>
          <w:rFonts w:ascii="Times New Roman" w:hAnsi="Times New Roman"/>
          <w:sz w:val="24"/>
          <w:szCs w:val="24"/>
        </w:rPr>
        <w:t>,</w:t>
      </w:r>
    </w:p>
    <w:p w:rsidR="00C973D8" w:rsidRPr="009246C8" w:rsidRDefault="00FD54F8" w:rsidP="006831CE">
      <w:pPr>
        <w:pStyle w:val="Odsekzoznamu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9246C8">
        <w:rPr>
          <w:rFonts w:ascii="Times New Roman" w:hAnsi="Times New Roman"/>
          <w:color w:val="000000" w:themeColor="text1"/>
          <w:sz w:val="24"/>
          <w:szCs w:val="24"/>
        </w:rPr>
        <w:t xml:space="preserve">priznaním </w:t>
      </w:r>
      <w:r w:rsidR="00C973D8" w:rsidRPr="009246C8">
        <w:rPr>
          <w:rFonts w:ascii="Times New Roman" w:hAnsi="Times New Roman"/>
          <w:color w:val="000000" w:themeColor="text1"/>
          <w:sz w:val="24"/>
          <w:szCs w:val="24"/>
        </w:rPr>
        <w:t>príplat</w:t>
      </w:r>
      <w:r w:rsidRPr="009246C8">
        <w:rPr>
          <w:rFonts w:ascii="Times New Roman" w:hAnsi="Times New Roman"/>
          <w:color w:val="000000" w:themeColor="text1"/>
          <w:sz w:val="24"/>
          <w:szCs w:val="24"/>
        </w:rPr>
        <w:t>ku</w:t>
      </w:r>
      <w:r w:rsidR="00C973D8" w:rsidRPr="009246C8">
        <w:rPr>
          <w:rFonts w:ascii="Times New Roman" w:hAnsi="Times New Roman"/>
          <w:color w:val="000000" w:themeColor="text1"/>
          <w:sz w:val="24"/>
          <w:szCs w:val="24"/>
        </w:rPr>
        <w:t xml:space="preserve"> za vedenie </w:t>
      </w:r>
      <w:r w:rsidR="00AB76AB">
        <w:rPr>
          <w:rFonts w:ascii="Times New Roman" w:hAnsi="Times New Roman"/>
          <w:color w:val="000000" w:themeColor="text1"/>
          <w:sz w:val="24"/>
          <w:szCs w:val="24"/>
        </w:rPr>
        <w:t xml:space="preserve">služobného motorového vozidla </w:t>
      </w:r>
      <w:r w:rsidR="00BB4990">
        <w:rPr>
          <w:rFonts w:ascii="Times New Roman" w:hAnsi="Times New Roman"/>
          <w:color w:val="000000" w:themeColor="text1"/>
          <w:sz w:val="24"/>
          <w:szCs w:val="24"/>
        </w:rPr>
        <w:t xml:space="preserve">alebo člnu, </w:t>
      </w:r>
      <w:r w:rsidR="00C973D8" w:rsidRPr="009246C8">
        <w:rPr>
          <w:rFonts w:ascii="Times New Roman" w:hAnsi="Times New Roman"/>
          <w:color w:val="000000" w:themeColor="text1"/>
          <w:sz w:val="24"/>
          <w:szCs w:val="24"/>
        </w:rPr>
        <w:t>uzavretá</w:t>
      </w:r>
      <w:r w:rsidR="00AB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9B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B76AB">
        <w:rPr>
          <w:rFonts w:ascii="Times New Roman" w:hAnsi="Times New Roman"/>
          <w:color w:val="000000" w:themeColor="text1"/>
          <w:sz w:val="24"/>
          <w:szCs w:val="24"/>
        </w:rPr>
        <w:t>ohoda o prechodnom používaní služobného motorového vozidla, j</w:t>
      </w:r>
      <w:r w:rsidR="00C973D8" w:rsidRPr="009246C8">
        <w:rPr>
          <w:rFonts w:ascii="Times New Roman" w:hAnsi="Times New Roman"/>
          <w:color w:val="000000" w:themeColor="text1"/>
          <w:sz w:val="24"/>
          <w:szCs w:val="24"/>
        </w:rPr>
        <w:t>ednostopového</w:t>
      </w:r>
      <w:r w:rsidR="00BB4990">
        <w:rPr>
          <w:rFonts w:ascii="Times New Roman" w:hAnsi="Times New Roman"/>
          <w:color w:val="000000" w:themeColor="text1"/>
          <w:sz w:val="24"/>
          <w:szCs w:val="24"/>
        </w:rPr>
        <w:t xml:space="preserve"> služobného</w:t>
      </w:r>
      <w:r w:rsidR="00C973D8" w:rsidRPr="009246C8">
        <w:rPr>
          <w:rFonts w:ascii="Times New Roman" w:hAnsi="Times New Roman"/>
          <w:color w:val="000000" w:themeColor="text1"/>
          <w:sz w:val="24"/>
          <w:szCs w:val="24"/>
        </w:rPr>
        <w:t xml:space="preserve"> motorového vozidla, špeciálneh</w:t>
      </w:r>
      <w:r w:rsidRPr="009246C8">
        <w:rPr>
          <w:rFonts w:ascii="Times New Roman" w:hAnsi="Times New Roman"/>
          <w:color w:val="000000" w:themeColor="text1"/>
          <w:sz w:val="24"/>
          <w:szCs w:val="24"/>
        </w:rPr>
        <w:t>o vozidla alebo motorového čln</w:t>
      </w:r>
      <w:r w:rsidR="00BB4990">
        <w:rPr>
          <w:rFonts w:ascii="Times New Roman" w:hAnsi="Times New Roman"/>
          <w:color w:val="000000" w:themeColor="text1"/>
          <w:sz w:val="24"/>
          <w:szCs w:val="24"/>
        </w:rPr>
        <w:t xml:space="preserve">u bude </w:t>
      </w:r>
      <w:r w:rsidRPr="009246C8">
        <w:rPr>
          <w:rFonts w:ascii="Times New Roman" w:hAnsi="Times New Roman"/>
          <w:color w:val="000000" w:themeColor="text1"/>
          <w:sz w:val="24"/>
          <w:szCs w:val="24"/>
        </w:rPr>
        <w:t>jedinou podmienkou na výplatu tohto príplatku</w:t>
      </w:r>
      <w:r w:rsidR="00BB499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9246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99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246C8">
        <w:rPr>
          <w:rFonts w:ascii="Times New Roman" w:hAnsi="Times New Roman"/>
          <w:color w:val="000000" w:themeColor="text1"/>
          <w:sz w:val="24"/>
          <w:szCs w:val="24"/>
        </w:rPr>
        <w:t xml:space="preserve">ri analýze vplyvov sme vychádzali z údajov z roku 2020. </w:t>
      </w:r>
    </w:p>
    <w:p w:rsidR="001A4E07" w:rsidRDefault="001A4E07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A44E2" w:rsidRDefault="003A44E2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S navýšením v kategórii „610“ – Mzdy, platy, služobné príjmy a ostatné osobné vyrovnania priamo súvisí navýšenie čerpania v kategórii </w:t>
      </w:r>
      <w:r w:rsidRPr="001A4E07">
        <w:rPr>
          <w:rFonts w:ascii="Times New Roman" w:hAnsi="Times New Roman"/>
          <w:b/>
          <w:bCs/>
          <w:i/>
          <w:sz w:val="24"/>
          <w:szCs w:val="24"/>
          <w:lang w:eastAsia="sk-SK"/>
        </w:rPr>
        <w:t>„620“ – Poistné a príspevok do poisťovní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57070F" w:rsidRDefault="0057070F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7070F" w:rsidRPr="0057070F" w:rsidRDefault="0057070F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</w:pPr>
      <w:r w:rsidRPr="0057070F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>Celkové navýšenie v kategórii „620“ oproti roku 2020 očakávame:</w:t>
      </w:r>
    </w:p>
    <w:p w:rsidR="0057070F" w:rsidRPr="00316C6E" w:rsidRDefault="0057070F" w:rsidP="0057070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57070F">
        <w:rPr>
          <w:rFonts w:ascii="Times New Roman" w:hAnsi="Times New Roman"/>
          <w:b/>
          <w:bCs/>
          <w:sz w:val="24"/>
          <w:szCs w:val="24"/>
          <w:lang w:eastAsia="sk-SK"/>
        </w:rPr>
        <w:t>na rok 2022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vo výške </w:t>
      </w:r>
      <w:r w:rsidR="00C973D8">
        <w:rPr>
          <w:rFonts w:ascii="Times New Roman" w:hAnsi="Times New Roman"/>
          <w:b/>
          <w:bCs/>
          <w:sz w:val="24"/>
          <w:szCs w:val="24"/>
          <w:lang w:eastAsia="sk-SK"/>
        </w:rPr>
        <w:t>185 376</w:t>
      </w:r>
      <w:r w:rsidR="00AF6609"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</w:p>
    <w:p w:rsidR="0057070F" w:rsidRDefault="0057070F" w:rsidP="0057070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57070F">
        <w:rPr>
          <w:rFonts w:ascii="Times New Roman" w:hAnsi="Times New Roman"/>
          <w:b/>
          <w:bCs/>
          <w:sz w:val="24"/>
          <w:szCs w:val="24"/>
          <w:lang w:eastAsia="sk-SK"/>
        </w:rPr>
        <w:t>na rok 2023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</w:t>
      </w:r>
      <w:r w:rsidRPr="0057070F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C973D8">
        <w:rPr>
          <w:rFonts w:ascii="Times New Roman" w:hAnsi="Times New Roman"/>
          <w:b/>
          <w:bCs/>
          <w:sz w:val="24"/>
          <w:szCs w:val="24"/>
          <w:lang w:eastAsia="sk-SK"/>
        </w:rPr>
        <w:t>185 376</w:t>
      </w:r>
      <w:r w:rsidR="008F505D"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AF6609" w:rsidRPr="00316C6E">
        <w:rPr>
          <w:rFonts w:ascii="Times New Roman" w:hAnsi="Times New Roman"/>
          <w:b/>
          <w:bCs/>
          <w:sz w:val="24"/>
          <w:szCs w:val="24"/>
          <w:lang w:eastAsia="sk-SK"/>
        </w:rPr>
        <w:t>€</w:t>
      </w:r>
    </w:p>
    <w:p w:rsidR="001943FA" w:rsidRDefault="001943FA" w:rsidP="001943F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Pr="0057070F">
        <w:rPr>
          <w:rFonts w:ascii="Times New Roman" w:hAnsi="Times New Roman"/>
          <w:b/>
          <w:bCs/>
          <w:sz w:val="24"/>
          <w:szCs w:val="24"/>
          <w:lang w:eastAsia="sk-SK"/>
        </w:rPr>
        <w:t>na rok 202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4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</w:t>
      </w:r>
      <w:r w:rsidRPr="0057070F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185 376</w:t>
      </w:r>
      <w:r w:rsidRPr="00316C6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</w:p>
    <w:p w:rsidR="00122D1D" w:rsidRDefault="00122D1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22D1D" w:rsidRDefault="00122D1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 w:rsidRPr="00122D1D">
        <w:rPr>
          <w:rFonts w:ascii="Times New Roman" w:hAnsi="Times New Roman"/>
          <w:b/>
          <w:bCs/>
          <w:i/>
          <w:sz w:val="24"/>
          <w:szCs w:val="24"/>
          <w:lang w:eastAsia="sk-SK"/>
        </w:rPr>
        <w:t>Kategóri</w:t>
      </w:r>
      <w:r w:rsidR="003C506D">
        <w:rPr>
          <w:rFonts w:ascii="Times New Roman" w:hAnsi="Times New Roman"/>
          <w:b/>
          <w:bCs/>
          <w:i/>
          <w:sz w:val="24"/>
          <w:szCs w:val="24"/>
          <w:lang w:eastAsia="sk-SK"/>
        </w:rPr>
        <w:t>e</w:t>
      </w:r>
      <w:r w:rsidRPr="00122D1D">
        <w:rPr>
          <w:rFonts w:ascii="Times New Roman" w:hAnsi="Times New Roman"/>
          <w:b/>
          <w:bCs/>
          <w:i/>
          <w:sz w:val="24"/>
          <w:szCs w:val="24"/>
          <w:lang w:eastAsia="sk-SK"/>
        </w:rPr>
        <w:t xml:space="preserve"> „630“ </w:t>
      </w:r>
      <w:r w:rsidR="003C506D">
        <w:rPr>
          <w:rFonts w:ascii="Times New Roman" w:hAnsi="Times New Roman"/>
          <w:b/>
          <w:bCs/>
          <w:i/>
          <w:sz w:val="24"/>
          <w:szCs w:val="24"/>
          <w:lang w:eastAsia="sk-SK"/>
        </w:rPr>
        <w:t xml:space="preserve">a </w:t>
      </w:r>
      <w:r w:rsidRPr="00122D1D">
        <w:rPr>
          <w:rFonts w:ascii="Times New Roman" w:hAnsi="Times New Roman"/>
          <w:b/>
          <w:bCs/>
          <w:i/>
          <w:sz w:val="24"/>
          <w:szCs w:val="24"/>
          <w:lang w:eastAsia="sk-SK"/>
        </w:rPr>
        <w:t>„710“</w:t>
      </w:r>
    </w:p>
    <w:p w:rsidR="0051289D" w:rsidRDefault="0051289D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22D1D" w:rsidRPr="00122D1D" w:rsidRDefault="006F4677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22D1D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 xml:space="preserve">Celkové navýšenie v kategórii „630“ </w:t>
      </w:r>
      <w:r w:rsidR="008D7C03" w:rsidRPr="00122D1D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 xml:space="preserve">a v kategórii „710“ </w:t>
      </w:r>
      <w:r w:rsidRPr="00122D1D">
        <w:rPr>
          <w:rFonts w:ascii="Times New Roman" w:hAnsi="Times New Roman"/>
          <w:b/>
          <w:bCs/>
          <w:i/>
          <w:sz w:val="24"/>
          <w:szCs w:val="24"/>
          <w:u w:val="single"/>
          <w:lang w:eastAsia="sk-SK"/>
        </w:rPr>
        <w:t>oproti roku 2020 očakávame:</w:t>
      </w:r>
    </w:p>
    <w:p w:rsidR="008D7C03" w:rsidRPr="008D7C03" w:rsidRDefault="006F4677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="008D7C03" w:rsidRPr="008B795F">
        <w:rPr>
          <w:rFonts w:ascii="Times New Roman" w:hAnsi="Times New Roman"/>
          <w:b/>
          <w:bCs/>
          <w:sz w:val="24"/>
          <w:szCs w:val="24"/>
          <w:lang w:eastAsia="sk-SK"/>
        </w:rPr>
        <w:t>na rok</w:t>
      </w:r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D7C03" w:rsidRPr="008B795F">
        <w:rPr>
          <w:rFonts w:ascii="Times New Roman" w:hAnsi="Times New Roman"/>
          <w:b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 z dôvodu </w:t>
      </w:r>
      <w:r w:rsidR="00301684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úpravy ISVS FS (a to zapracovaním nového druhu </w:t>
      </w:r>
      <w:proofErr w:type="spellStart"/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>ne</w:t>
      </w:r>
      <w:proofErr w:type="spellEnd"/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/prítomnosti </w:t>
      </w:r>
      <w:r w:rsidR="00301684" w:rsidRPr="008B795F">
        <w:rPr>
          <w:rFonts w:ascii="Times New Roman" w:hAnsi="Times New Roman"/>
          <w:bCs/>
          <w:sz w:val="24"/>
          <w:szCs w:val="24"/>
          <w:lang w:eastAsia="sk-SK"/>
        </w:rPr>
        <w:t>na evidenciu vykonávania služobných úloh a nového druhu neprítomnosti na evidenciu služobného voľna s nárokom na služobný plat z osobných dôvodov)</w:t>
      </w:r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 vo výške </w:t>
      </w:r>
      <w:r w:rsidR="008D7C03" w:rsidRPr="008B795F">
        <w:rPr>
          <w:rFonts w:ascii="Times New Roman" w:hAnsi="Times New Roman"/>
          <w:b/>
          <w:bCs/>
          <w:sz w:val="24"/>
          <w:szCs w:val="24"/>
          <w:lang w:eastAsia="sk-SK"/>
        </w:rPr>
        <w:t>8 565 €</w:t>
      </w:r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 na bežné výdavky („630</w:t>
      </w:r>
      <w:r w:rsidR="008173C0" w:rsidRPr="008B795F">
        <w:rPr>
          <w:rFonts w:ascii="Times New Roman" w:hAnsi="Times New Roman"/>
          <w:bCs/>
          <w:sz w:val="24"/>
          <w:szCs w:val="24"/>
          <w:lang w:eastAsia="sk-SK"/>
        </w:rPr>
        <w:t>“</w:t>
      </w:r>
      <w:r w:rsidR="008D7C03" w:rsidRPr="008B795F">
        <w:rPr>
          <w:rFonts w:ascii="Times New Roman" w:hAnsi="Times New Roman"/>
          <w:bCs/>
          <w:sz w:val="24"/>
          <w:szCs w:val="24"/>
          <w:lang w:eastAsia="sk-SK"/>
        </w:rPr>
        <w:t xml:space="preserve"> – Tovary a služby)</w:t>
      </w:r>
      <w:r w:rsidR="008B795F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6F4677" w:rsidRPr="00275C90" w:rsidRDefault="008D7C03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- </w:t>
      </w:r>
      <w:r w:rsidR="006F4677" w:rsidRPr="00275C90">
        <w:rPr>
          <w:rFonts w:ascii="Times New Roman" w:hAnsi="Times New Roman"/>
          <w:b/>
          <w:bCs/>
          <w:sz w:val="24"/>
          <w:szCs w:val="24"/>
          <w:lang w:eastAsia="sk-SK"/>
        </w:rPr>
        <w:t>na rok</w:t>
      </w:r>
      <w:r w:rsidR="006F467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F4677" w:rsidRPr="00275C90">
        <w:rPr>
          <w:rFonts w:ascii="Times New Roman" w:hAnsi="Times New Roman"/>
          <w:b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="006F467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053BB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 dôvodu obstarania špeciálnych výbušných predmetov 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spolu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n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a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2 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roky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(t. j. 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="00B57CC6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F467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FF3263" w:rsidRPr="00275C90">
        <w:rPr>
          <w:rFonts w:ascii="Times New Roman" w:hAnsi="Times New Roman"/>
          <w:b/>
          <w:bCs/>
          <w:sz w:val="24"/>
          <w:szCs w:val="24"/>
          <w:lang w:eastAsia="sk-SK"/>
        </w:rPr>
        <w:t>23 485</w:t>
      </w:r>
      <w:r w:rsidR="006F4677" w:rsidRPr="00275C90">
        <w:rPr>
          <w:rFonts w:ascii="Times New Roman" w:hAnsi="Times New Roman"/>
          <w:b/>
          <w:bCs/>
          <w:sz w:val="24"/>
          <w:szCs w:val="24"/>
        </w:rPr>
        <w:t xml:space="preserve"> €</w:t>
      </w:r>
      <w:r w:rsidR="006F4677" w:rsidRPr="00275C90">
        <w:rPr>
          <w:rFonts w:ascii="Times New Roman" w:hAnsi="Times New Roman"/>
          <w:bCs/>
          <w:sz w:val="24"/>
          <w:szCs w:val="24"/>
        </w:rPr>
        <w:t xml:space="preserve"> na bežné výdavky</w:t>
      </w:r>
      <w:r w:rsidRPr="00275C90">
        <w:rPr>
          <w:rFonts w:ascii="Times New Roman" w:hAnsi="Times New Roman"/>
          <w:bCs/>
          <w:sz w:val="24"/>
          <w:szCs w:val="24"/>
        </w:rPr>
        <w:t xml:space="preserve"> 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(„630</w:t>
      </w:r>
      <w:r w:rsidR="008173C0" w:rsidRPr="00275C90">
        <w:rPr>
          <w:rFonts w:ascii="Times New Roman" w:hAnsi="Times New Roman"/>
          <w:bCs/>
          <w:sz w:val="24"/>
          <w:szCs w:val="24"/>
          <w:lang w:eastAsia="sk-SK"/>
        </w:rPr>
        <w:t>“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– Tovary a služby)</w:t>
      </w:r>
      <w:r w:rsidR="008B795F" w:rsidRPr="00275C90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6F4677" w:rsidRPr="00275C90" w:rsidRDefault="006F4677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5C90">
        <w:rPr>
          <w:rFonts w:ascii="Times New Roman" w:hAnsi="Times New Roman"/>
          <w:bCs/>
          <w:sz w:val="24"/>
          <w:szCs w:val="24"/>
        </w:rPr>
        <w:t xml:space="preserve">- </w:t>
      </w:r>
      <w:r w:rsidRPr="00275C90">
        <w:rPr>
          <w:rFonts w:ascii="Times New Roman" w:hAnsi="Times New Roman"/>
          <w:b/>
          <w:bCs/>
          <w:sz w:val="24"/>
          <w:szCs w:val="24"/>
        </w:rPr>
        <w:t>na rok</w:t>
      </w:r>
      <w:r w:rsidRPr="00275C90">
        <w:rPr>
          <w:rFonts w:ascii="Times New Roman" w:hAnsi="Times New Roman"/>
          <w:bCs/>
          <w:sz w:val="24"/>
          <w:szCs w:val="24"/>
        </w:rPr>
        <w:t xml:space="preserve"> </w:t>
      </w:r>
      <w:r w:rsidRPr="00275C90">
        <w:rPr>
          <w:rFonts w:ascii="Times New Roman" w:hAnsi="Times New Roman"/>
          <w:b/>
          <w:bCs/>
          <w:sz w:val="24"/>
          <w:szCs w:val="24"/>
        </w:rPr>
        <w:t>202</w:t>
      </w:r>
      <w:r w:rsidR="001943FA">
        <w:rPr>
          <w:rFonts w:ascii="Times New Roman" w:hAnsi="Times New Roman"/>
          <w:b/>
          <w:bCs/>
          <w:sz w:val="24"/>
          <w:szCs w:val="24"/>
        </w:rPr>
        <w:t>3</w:t>
      </w:r>
      <w:r w:rsidRPr="00275C90">
        <w:rPr>
          <w:rFonts w:ascii="Times New Roman" w:hAnsi="Times New Roman"/>
          <w:bCs/>
          <w:sz w:val="24"/>
          <w:szCs w:val="24"/>
        </w:rPr>
        <w:t xml:space="preserve"> vo výške </w:t>
      </w:r>
      <w:r w:rsidR="00FF3263" w:rsidRPr="00275C90">
        <w:rPr>
          <w:rFonts w:ascii="Times New Roman" w:hAnsi="Times New Roman"/>
          <w:b/>
          <w:bCs/>
          <w:sz w:val="24"/>
          <w:szCs w:val="24"/>
        </w:rPr>
        <w:t>45 600</w:t>
      </w:r>
      <w:r w:rsidRPr="00275C90">
        <w:rPr>
          <w:rFonts w:ascii="Times New Roman" w:hAnsi="Times New Roman"/>
          <w:b/>
          <w:bCs/>
          <w:sz w:val="24"/>
          <w:szCs w:val="24"/>
        </w:rPr>
        <w:t xml:space="preserve"> €</w:t>
      </w:r>
      <w:r w:rsidR="00FF3263" w:rsidRPr="00275C90">
        <w:rPr>
          <w:rFonts w:ascii="Times New Roman" w:hAnsi="Times New Roman"/>
          <w:bCs/>
          <w:sz w:val="24"/>
          <w:szCs w:val="24"/>
        </w:rPr>
        <w:t xml:space="preserve"> (z toho 14 400 € na bežné výdavky – školenie </w:t>
      </w:r>
      <w:r w:rsidR="008173C0" w:rsidRPr="00275C90">
        <w:rPr>
          <w:rFonts w:ascii="Times New Roman" w:hAnsi="Times New Roman"/>
          <w:bCs/>
          <w:sz w:val="24"/>
          <w:szCs w:val="24"/>
        </w:rPr>
        <w:t xml:space="preserve">„630“ – Tovary a služby </w:t>
      </w:r>
      <w:r w:rsidR="00FF3263" w:rsidRPr="00275C90">
        <w:rPr>
          <w:rFonts w:ascii="Times New Roman" w:hAnsi="Times New Roman"/>
          <w:bCs/>
          <w:sz w:val="24"/>
          <w:szCs w:val="24"/>
        </w:rPr>
        <w:t>a 31 200 € na kapitálové výdavky – výstavba skladovacieho priestoru</w:t>
      </w:r>
      <w:r w:rsidR="008173C0" w:rsidRPr="00275C90">
        <w:rPr>
          <w:rFonts w:ascii="Times New Roman" w:hAnsi="Times New Roman"/>
          <w:bCs/>
          <w:sz w:val="24"/>
          <w:szCs w:val="24"/>
        </w:rPr>
        <w:t xml:space="preserve"> „710“ – Obstar</w:t>
      </w:r>
      <w:r w:rsidR="002C135F" w:rsidRPr="00275C90">
        <w:rPr>
          <w:rFonts w:ascii="Times New Roman" w:hAnsi="Times New Roman"/>
          <w:bCs/>
          <w:sz w:val="24"/>
          <w:szCs w:val="24"/>
        </w:rPr>
        <w:t>áv</w:t>
      </w:r>
      <w:r w:rsidR="008173C0" w:rsidRPr="00275C90">
        <w:rPr>
          <w:rFonts w:ascii="Times New Roman" w:hAnsi="Times New Roman"/>
          <w:bCs/>
          <w:sz w:val="24"/>
          <w:szCs w:val="24"/>
        </w:rPr>
        <w:t>anie kapitálových aktív</w:t>
      </w:r>
      <w:r w:rsidR="00FF3263" w:rsidRPr="00275C90">
        <w:rPr>
          <w:rFonts w:ascii="Times New Roman" w:hAnsi="Times New Roman"/>
          <w:bCs/>
          <w:sz w:val="24"/>
          <w:szCs w:val="24"/>
        </w:rPr>
        <w:t>),</w:t>
      </w:r>
    </w:p>
    <w:p w:rsidR="006F4677" w:rsidRDefault="00FF3263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5C90">
        <w:rPr>
          <w:rFonts w:ascii="Times New Roman" w:hAnsi="Times New Roman"/>
          <w:bCs/>
          <w:sz w:val="24"/>
          <w:szCs w:val="24"/>
        </w:rPr>
        <w:t xml:space="preserve">- </w:t>
      </w:r>
      <w:r w:rsidRPr="00275C90">
        <w:rPr>
          <w:rFonts w:ascii="Times New Roman" w:hAnsi="Times New Roman"/>
          <w:b/>
          <w:bCs/>
          <w:sz w:val="24"/>
          <w:szCs w:val="24"/>
        </w:rPr>
        <w:t>na rok</w:t>
      </w:r>
      <w:r w:rsidRPr="00275C90">
        <w:rPr>
          <w:rFonts w:ascii="Times New Roman" w:hAnsi="Times New Roman"/>
          <w:bCs/>
          <w:sz w:val="24"/>
          <w:szCs w:val="24"/>
        </w:rPr>
        <w:t xml:space="preserve"> </w:t>
      </w:r>
      <w:r w:rsidRPr="00275C90">
        <w:rPr>
          <w:rFonts w:ascii="Times New Roman" w:hAnsi="Times New Roman"/>
          <w:b/>
          <w:bCs/>
          <w:sz w:val="24"/>
          <w:szCs w:val="24"/>
        </w:rPr>
        <w:t>202</w:t>
      </w:r>
      <w:r w:rsidR="001943FA">
        <w:rPr>
          <w:rFonts w:ascii="Times New Roman" w:hAnsi="Times New Roman"/>
          <w:b/>
          <w:bCs/>
          <w:sz w:val="24"/>
          <w:szCs w:val="24"/>
        </w:rPr>
        <w:t>4</w:t>
      </w:r>
      <w:r w:rsidRPr="00275C90">
        <w:rPr>
          <w:rFonts w:ascii="Times New Roman" w:hAnsi="Times New Roman"/>
          <w:bCs/>
          <w:sz w:val="24"/>
          <w:szCs w:val="24"/>
        </w:rPr>
        <w:t xml:space="preserve"> 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 dôvodu obstarania špeciálnych výbušných predmetov a špeciálnych náloží spolu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n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a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2 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roky 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(t. j. 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>202</w:t>
      </w:r>
      <w:r w:rsidR="001943FA">
        <w:rPr>
          <w:rFonts w:ascii="Times New Roman" w:hAnsi="Times New Roman"/>
          <w:bCs/>
          <w:sz w:val="24"/>
          <w:szCs w:val="24"/>
          <w:lang w:eastAsia="sk-SK"/>
        </w:rPr>
        <w:t>5</w:t>
      </w:r>
      <w:r w:rsidR="00B50597"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="00565E07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275C90">
        <w:rPr>
          <w:rFonts w:ascii="Times New Roman" w:hAnsi="Times New Roman"/>
          <w:bCs/>
          <w:sz w:val="24"/>
          <w:szCs w:val="24"/>
        </w:rPr>
        <w:t xml:space="preserve">vo výške </w:t>
      </w:r>
      <w:r w:rsidRPr="00275C90">
        <w:rPr>
          <w:rFonts w:ascii="Times New Roman" w:hAnsi="Times New Roman"/>
          <w:b/>
          <w:bCs/>
          <w:sz w:val="24"/>
          <w:szCs w:val="24"/>
        </w:rPr>
        <w:t>46 285 €</w:t>
      </w:r>
      <w:r w:rsidRPr="00275C90">
        <w:rPr>
          <w:rFonts w:ascii="Times New Roman" w:hAnsi="Times New Roman"/>
          <w:bCs/>
          <w:sz w:val="24"/>
          <w:szCs w:val="24"/>
        </w:rPr>
        <w:t xml:space="preserve"> </w:t>
      </w:r>
      <w:r w:rsidR="00121232" w:rsidRPr="00275C90">
        <w:rPr>
          <w:rFonts w:ascii="Times New Roman" w:hAnsi="Times New Roman"/>
          <w:bCs/>
          <w:sz w:val="24"/>
          <w:szCs w:val="24"/>
        </w:rPr>
        <w:t xml:space="preserve">(z toho 23 485 € - špeciálne výbušné predmety a 22 800 € - špeciálne nálože) </w:t>
      </w:r>
      <w:r w:rsidRPr="00275C90">
        <w:rPr>
          <w:rFonts w:ascii="Times New Roman" w:hAnsi="Times New Roman"/>
          <w:bCs/>
          <w:sz w:val="24"/>
          <w:szCs w:val="24"/>
        </w:rPr>
        <w:t>na bežné výdavky</w:t>
      </w:r>
      <w:r w:rsidR="008173C0" w:rsidRPr="00275C90">
        <w:rPr>
          <w:rFonts w:ascii="Times New Roman" w:hAnsi="Times New Roman"/>
          <w:bCs/>
          <w:sz w:val="24"/>
          <w:szCs w:val="24"/>
        </w:rPr>
        <w:t xml:space="preserve"> („630“ – Tovary a služby)</w:t>
      </w:r>
      <w:r w:rsidRPr="00275C90">
        <w:rPr>
          <w:rFonts w:ascii="Times New Roman" w:hAnsi="Times New Roman"/>
          <w:bCs/>
          <w:sz w:val="24"/>
          <w:szCs w:val="24"/>
        </w:rPr>
        <w:t>.</w:t>
      </w:r>
    </w:p>
    <w:p w:rsidR="005549D0" w:rsidRPr="00C7598E" w:rsidRDefault="005549D0" w:rsidP="009D44E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7598E">
        <w:rPr>
          <w:rFonts w:ascii="Times New Roman" w:hAnsi="Times New Roman"/>
          <w:sz w:val="24"/>
          <w:szCs w:val="24"/>
        </w:rPr>
        <w:t>Celkové navýšenie v kategórii „630“ a „710“ na roky 202</w:t>
      </w:r>
      <w:r w:rsidR="001943FA">
        <w:rPr>
          <w:rFonts w:ascii="Times New Roman" w:hAnsi="Times New Roman"/>
          <w:sz w:val="24"/>
          <w:szCs w:val="24"/>
        </w:rPr>
        <w:t>2</w:t>
      </w:r>
      <w:r w:rsidRPr="00C7598E">
        <w:rPr>
          <w:rFonts w:ascii="Times New Roman" w:hAnsi="Times New Roman"/>
          <w:sz w:val="24"/>
          <w:szCs w:val="24"/>
        </w:rPr>
        <w:t xml:space="preserve"> až </w:t>
      </w:r>
      <w:r w:rsidR="001943FA">
        <w:rPr>
          <w:rFonts w:ascii="Times New Roman" w:hAnsi="Times New Roman"/>
          <w:sz w:val="24"/>
          <w:szCs w:val="24"/>
        </w:rPr>
        <w:t>2024</w:t>
      </w:r>
      <w:r w:rsidRPr="00C7598E">
        <w:rPr>
          <w:rFonts w:ascii="Times New Roman" w:hAnsi="Times New Roman"/>
          <w:sz w:val="24"/>
          <w:szCs w:val="24"/>
        </w:rPr>
        <w:t xml:space="preserve"> je ovplyvnené vytvorením novej možnosti v predmetnom návrhu zákona pre ozbrojených príslušníkov finančnej správy disponovať a použiť počas vykonávania služobného zákroku (na prekonanie odporu utvorenej prekážky a odpútanie pozornosti nebezpečného páchateľa) </w:t>
      </w:r>
      <w:r w:rsidR="00BE2448" w:rsidRPr="00C7598E">
        <w:rPr>
          <w:rFonts w:ascii="Times New Roman" w:hAnsi="Times New Roman"/>
          <w:sz w:val="24"/>
          <w:szCs w:val="24"/>
        </w:rPr>
        <w:t>špeciálne výbušné predmety a špeciálne nálože.</w:t>
      </w:r>
    </w:p>
    <w:p w:rsidR="00000464" w:rsidRPr="00391D51" w:rsidRDefault="00391D51" w:rsidP="00391D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C7598E">
        <w:rPr>
          <w:rFonts w:ascii="Times New Roman" w:hAnsi="Times New Roman"/>
          <w:bCs/>
          <w:sz w:val="24"/>
          <w:szCs w:val="24"/>
          <w:lang w:eastAsia="sk-SK"/>
        </w:rPr>
        <w:t xml:space="preserve">Financovanie osobných výdavkov a výdavkov súvisiacich s úpravami ISVS FS má kapitola MF SR zabezpečené v rozpočte na príslušné roky. Financovanie ostatných výdavkov bude </w:t>
      </w:r>
      <w:r w:rsidR="00D97CF8" w:rsidRPr="00C7598E">
        <w:rPr>
          <w:rFonts w:ascii="Times New Roman" w:hAnsi="Times New Roman"/>
          <w:bCs/>
          <w:sz w:val="24"/>
          <w:szCs w:val="24"/>
          <w:lang w:eastAsia="sk-SK"/>
        </w:rPr>
        <w:t>zabezpečené v rámci schváleného rozpočtu verejnej správy na príslušné roky</w:t>
      </w:r>
      <w:r w:rsidRPr="00C7598E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391D51" w:rsidRDefault="00391D51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D57E9" w:rsidRDefault="004D57E9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D57E9" w:rsidRDefault="004D57E9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D57E9" w:rsidRDefault="004D57E9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D57E9" w:rsidRDefault="004D57E9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46061E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7479E" w:rsidRDefault="00FE6CDB" w:rsidP="00895DD3">
      <w:p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7479E">
        <w:rPr>
          <w:rFonts w:ascii="Times New Roman" w:hAnsi="Times New Roman"/>
          <w:bCs/>
          <w:sz w:val="24"/>
          <w:szCs w:val="24"/>
        </w:rPr>
        <w:t xml:space="preserve">Návrh zákona bol vypracovaný na základe </w:t>
      </w:r>
      <w:r w:rsidR="00B7479E" w:rsidRPr="00B7479E">
        <w:rPr>
          <w:rFonts w:ascii="Times New Roman" w:hAnsi="Times New Roman"/>
          <w:bCs/>
          <w:sz w:val="24"/>
          <w:szCs w:val="24"/>
        </w:rPr>
        <w:t>Plánu legislatívnych úloh vlády SR</w:t>
      </w:r>
      <w:r w:rsidR="00012A6C">
        <w:rPr>
          <w:rFonts w:ascii="Times New Roman" w:hAnsi="Times New Roman"/>
          <w:bCs/>
          <w:sz w:val="24"/>
          <w:szCs w:val="24"/>
        </w:rPr>
        <w:t xml:space="preserve"> na mesiace jún až december 2021</w:t>
      </w:r>
      <w:r w:rsidR="00B7479E" w:rsidRPr="00B7479E">
        <w:rPr>
          <w:rFonts w:ascii="Times New Roman" w:hAnsi="Times New Roman"/>
          <w:bCs/>
          <w:sz w:val="24"/>
          <w:szCs w:val="24"/>
        </w:rPr>
        <w:t>. Dôvodom je potreba novelizovať niektoré ustanovenia zákona, ktoré sa týkajú pôsobnosti orgánov finančnej správy, resp. oprávnení ozbrojených príslušníkov finančnej správy, ako aj služobného pomeru príslušníkov finančnej správy, a to najmä na základe poznatkov a skúseností s uplatňovaním zákona v praxi získaných od nadobudnutia jeho účinnosti, ako aj na základe požiadaviek finančnej správy.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46061E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46061E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6061E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6061E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56FD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46061E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46061E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46061E" w:rsidRDefault="00D56FD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X </w:t>
      </w: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7D5748" w:rsidRPr="0046061E">
        <w:rPr>
          <w:rFonts w:ascii="Times New Roman" w:hAnsi="Times New Roman"/>
          <w:sz w:val="24"/>
          <w:szCs w:val="24"/>
          <w:lang w:eastAsia="sk-SK"/>
        </w:rPr>
        <w:t xml:space="preserve">iné </w:t>
      </w:r>
    </w:p>
    <w:p w:rsid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638F4" w:rsidRDefault="007D5748" w:rsidP="00AE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AE5268" w:rsidRDefault="00AE5268" w:rsidP="007D57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46061E" w:rsidTr="00D6478C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46061E" w:rsidTr="00D6478C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46061E" w:rsidTr="00D6478C">
        <w:trPr>
          <w:trHeight w:val="70"/>
        </w:trPr>
        <w:tc>
          <w:tcPr>
            <w:tcW w:w="4530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46061E" w:rsidTr="00D6478C">
        <w:trPr>
          <w:trHeight w:val="70"/>
        </w:trPr>
        <w:tc>
          <w:tcPr>
            <w:tcW w:w="4530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46061E" w:rsidTr="00D6478C">
        <w:trPr>
          <w:trHeight w:val="70"/>
        </w:trPr>
        <w:tc>
          <w:tcPr>
            <w:tcW w:w="4530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6061E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2638F4" w:rsidRDefault="002638F4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46061E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6061E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061E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17AB9" w:rsidRDefault="00C23A3F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Ministerstvo financií SR požiadalo Finančné riaditeľstvo SR o kvantifikáciu vplyvov navrhovaných opatrení na rozpočet verejnej správy. Z odpovede Finančného riaditeľstva SR vyplynulo nasledujúce:</w:t>
      </w:r>
    </w:p>
    <w:p w:rsidR="00C23A3F" w:rsidRPr="00817AB9" w:rsidRDefault="00C23A3F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63489" w:rsidRDefault="00263489" w:rsidP="0026348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i/>
          <w:sz w:val="24"/>
          <w:szCs w:val="24"/>
          <w:lang w:eastAsia="sk-SK"/>
        </w:rPr>
        <w:t>Kategória „6</w:t>
      </w:r>
      <w:r>
        <w:rPr>
          <w:rFonts w:ascii="Times New Roman" w:hAnsi="Times New Roman"/>
          <w:b/>
          <w:bCs/>
          <w:i/>
          <w:sz w:val="24"/>
          <w:szCs w:val="24"/>
          <w:lang w:eastAsia="sk-SK"/>
        </w:rPr>
        <w:t>1</w:t>
      </w:r>
      <w:r w:rsidRPr="0046061E">
        <w:rPr>
          <w:rFonts w:ascii="Times New Roman" w:hAnsi="Times New Roman"/>
          <w:b/>
          <w:bCs/>
          <w:i/>
          <w:sz w:val="24"/>
          <w:szCs w:val="24"/>
          <w:lang w:eastAsia="sk-SK"/>
        </w:rPr>
        <w:t xml:space="preserve">0“ </w:t>
      </w:r>
    </w:p>
    <w:p w:rsidR="00EB3139" w:rsidRPr="00EB3139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B3139">
        <w:rPr>
          <w:rFonts w:ascii="Times New Roman" w:hAnsi="Times New Roman"/>
          <w:bCs/>
          <w:sz w:val="24"/>
          <w:szCs w:val="24"/>
          <w:u w:val="single"/>
          <w:lang w:eastAsia="sk-SK"/>
        </w:rPr>
        <w:t>Príplatok za riadenie pre funkciu zástupcu vedúceho oddelenia</w:t>
      </w:r>
    </w:p>
    <w:p w:rsidR="00EB3139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- na daňových úradoch je 251 oddelení, na colných úradoch je 48 oddelení</w:t>
      </w:r>
    </w:p>
    <w:p w:rsidR="00EB3139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- spolu 299 zástupcov vedúcich oddelení v 4. platovej triede s priemerným príplatkom za riadenie 80 €</w:t>
      </w:r>
    </w:p>
    <w:p w:rsidR="00EB3139" w:rsidRPr="00243FE5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299x80x12=287 040 €</w:t>
      </w:r>
      <w:r w:rsidR="00243FE5">
        <w:rPr>
          <w:rFonts w:ascii="Times New Roman" w:hAnsi="Times New Roman"/>
          <w:bCs/>
          <w:sz w:val="24"/>
          <w:szCs w:val="24"/>
          <w:lang w:eastAsia="sk-SK"/>
        </w:rPr>
        <w:t xml:space="preserve"> na rok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 2022, 287 040 € na rok 2023, 287 040 € na rok 2024.</w:t>
      </w:r>
    </w:p>
    <w:p w:rsidR="00EB3139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B3139" w:rsidRDefault="00EB3139" w:rsidP="00EB313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B3139">
        <w:rPr>
          <w:rFonts w:ascii="Times New Roman" w:hAnsi="Times New Roman"/>
          <w:bCs/>
          <w:sz w:val="24"/>
          <w:szCs w:val="24"/>
          <w:u w:val="single"/>
          <w:lang w:eastAsia="sk-SK"/>
        </w:rPr>
        <w:t>Vyslanie príslušníka finančnej správy na plnenie úloh podľa medzinárodnej zmluvy do medzinárodnej organizácie</w:t>
      </w:r>
    </w:p>
    <w:p w:rsidR="00EB3139" w:rsidRDefault="00F83C02" w:rsidP="004935B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Mzdové výdavky v ročnom vyjadrení predstavujú navýšenie oproti </w:t>
      </w:r>
      <w:r w:rsidR="00E8408F">
        <w:rPr>
          <w:rFonts w:ascii="Times New Roman" w:hAnsi="Times New Roman"/>
          <w:bCs/>
          <w:sz w:val="24"/>
          <w:szCs w:val="24"/>
          <w:lang w:eastAsia="sk-SK"/>
        </w:rPr>
        <w:t>roku 2020 v roku 2022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 až 2024 v sume 117 420 €.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 xml:space="preserve">Východiskom pre výpočet mzdových výdavkov </w:t>
      </w:r>
      <w:r w:rsidR="00F46E5A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 xml:space="preserve">1 </w:t>
      </w:r>
      <w:r w:rsidR="00F46E5A">
        <w:rPr>
          <w:rFonts w:ascii="Times New Roman" w:hAnsi="Times New Roman"/>
          <w:bCs/>
          <w:sz w:val="24"/>
          <w:szCs w:val="24"/>
          <w:lang w:eastAsia="sk-SK"/>
        </w:rPr>
        <w:t xml:space="preserve">vyslaného 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>príslušníka finančnej správy bol</w:t>
      </w:r>
      <w:r w:rsidR="00571B9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71B94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výpočet mzdových výdavkov na 1 </w:t>
      </w:r>
      <w:r w:rsidR="00F46E5A">
        <w:rPr>
          <w:rFonts w:ascii="Times New Roman" w:hAnsi="Times New Roman"/>
          <w:bCs/>
          <w:sz w:val="24"/>
          <w:szCs w:val="24"/>
          <w:lang w:eastAsia="sk-SK"/>
        </w:rPr>
        <w:t>príslušníka finančnej správy</w:t>
      </w:r>
      <w:r w:rsidR="00571B94">
        <w:rPr>
          <w:rFonts w:ascii="Times New Roman" w:hAnsi="Times New Roman"/>
          <w:bCs/>
          <w:sz w:val="24"/>
          <w:szCs w:val="24"/>
          <w:lang w:eastAsia="sk-SK"/>
        </w:rPr>
        <w:t xml:space="preserve"> vyslaného </w:t>
      </w:r>
      <w:r w:rsidR="00571B94" w:rsidRPr="00571B94">
        <w:rPr>
          <w:rFonts w:ascii="Times New Roman" w:hAnsi="Times New Roman"/>
          <w:bCs/>
          <w:sz w:val="24"/>
          <w:szCs w:val="24"/>
          <w:lang w:eastAsia="sk-SK"/>
        </w:rPr>
        <w:t>na výkon štátnej služby do Holandského kráľovstva vo funkcii styčného dôstojníka pre Agentúru Európskej únie pre spoluprácu v oblasti presadzovania práva (</w:t>
      </w:r>
      <w:proofErr w:type="spellStart"/>
      <w:r w:rsidR="00571B94" w:rsidRPr="00571B94">
        <w:rPr>
          <w:rFonts w:ascii="Times New Roman" w:hAnsi="Times New Roman"/>
          <w:bCs/>
          <w:sz w:val="24"/>
          <w:szCs w:val="24"/>
          <w:lang w:eastAsia="sk-SK"/>
        </w:rPr>
        <w:t>Europol</w:t>
      </w:r>
      <w:proofErr w:type="spellEnd"/>
      <w:r w:rsidR="00571B94" w:rsidRPr="00571B94">
        <w:rPr>
          <w:rFonts w:ascii="Times New Roman" w:hAnsi="Times New Roman"/>
          <w:bCs/>
          <w:sz w:val="24"/>
          <w:szCs w:val="24"/>
          <w:lang w:eastAsia="sk-SK"/>
        </w:rPr>
        <w:t>).</w:t>
      </w:r>
    </w:p>
    <w:p w:rsidR="00EB3139" w:rsidRPr="00EB3139" w:rsidRDefault="00EB3139" w:rsidP="004935B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63489" w:rsidRDefault="00EB3139" w:rsidP="004935B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B3139">
        <w:rPr>
          <w:rFonts w:ascii="Times New Roman" w:hAnsi="Times New Roman"/>
          <w:bCs/>
          <w:sz w:val="24"/>
          <w:szCs w:val="24"/>
          <w:u w:val="single"/>
          <w:lang w:eastAsia="sk-SK"/>
        </w:rPr>
        <w:t>Poskytnutie najviac 10 dní nevyčerpanej dovolenky</w:t>
      </w:r>
    </w:p>
    <w:p w:rsidR="00C973D8" w:rsidRDefault="00E8408F" w:rsidP="004935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8408F">
        <w:rPr>
          <w:rFonts w:ascii="Times New Roman" w:hAnsi="Times New Roman"/>
          <w:bCs/>
          <w:sz w:val="24"/>
          <w:szCs w:val="24"/>
          <w:lang w:eastAsia="sk-SK"/>
        </w:rPr>
        <w:t>V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 priemere </w:t>
      </w:r>
      <w:r w:rsidR="0023596E">
        <w:rPr>
          <w:rFonts w:ascii="Times New Roman" w:hAnsi="Times New Roman"/>
          <w:bCs/>
          <w:sz w:val="24"/>
          <w:szCs w:val="24"/>
          <w:lang w:eastAsia="sk-SK"/>
        </w:rPr>
        <w:t xml:space="preserve">ide </w:t>
      </w:r>
      <w:r>
        <w:rPr>
          <w:rFonts w:ascii="Times New Roman" w:hAnsi="Times New Roman"/>
          <w:bCs/>
          <w:sz w:val="24"/>
          <w:szCs w:val="24"/>
          <w:lang w:eastAsia="sk-SK"/>
        </w:rPr>
        <w:t>o 8,5 dňa nevyčerpanej dovolenky na 1</w:t>
      </w:r>
      <w:r w:rsidR="0023596E">
        <w:rPr>
          <w:rFonts w:ascii="Times New Roman" w:hAnsi="Times New Roman"/>
          <w:bCs/>
          <w:sz w:val="24"/>
          <w:szCs w:val="24"/>
          <w:lang w:eastAsia="sk-SK"/>
        </w:rPr>
        <w:t xml:space="preserve"> zamestnanca/príslušníka finančnej správy; pri priemernom plate 1 600 € priemerné náklady sú vo výške 625,25 €. V súčasnosti ide o 8 zamestnancov/príslušníkov finančnej správy, t. j. priemerné 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ročné </w:t>
      </w:r>
      <w:r w:rsidR="0023596E" w:rsidRPr="00EC739E">
        <w:rPr>
          <w:rFonts w:ascii="Times New Roman" w:hAnsi="Times New Roman"/>
          <w:bCs/>
          <w:sz w:val="24"/>
          <w:szCs w:val="24"/>
          <w:lang w:eastAsia="sk-SK"/>
        </w:rPr>
        <w:t xml:space="preserve">náklady </w:t>
      </w:r>
      <w:r w:rsidR="00C20AC7" w:rsidRPr="00EC739E">
        <w:rPr>
          <w:rFonts w:ascii="Times New Roman" w:hAnsi="Times New Roman"/>
          <w:bCs/>
          <w:sz w:val="24"/>
          <w:szCs w:val="24"/>
          <w:lang w:eastAsia="sk-SK"/>
        </w:rPr>
        <w:t>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2 </w:t>
      </w:r>
      <w:r w:rsidR="0023596E" w:rsidRPr="00EC739E">
        <w:rPr>
          <w:rFonts w:ascii="Times New Roman" w:hAnsi="Times New Roman"/>
          <w:bCs/>
          <w:sz w:val="24"/>
          <w:szCs w:val="24"/>
          <w:lang w:eastAsia="sk-SK"/>
        </w:rPr>
        <w:t>budú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 vo výške 5 002 €, </w:t>
      </w:r>
      <w:r w:rsidR="006F0A81" w:rsidRPr="00EC739E">
        <w:rPr>
          <w:rFonts w:ascii="Times New Roman" w:hAnsi="Times New Roman"/>
          <w:bCs/>
          <w:sz w:val="24"/>
          <w:szCs w:val="24"/>
          <w:lang w:eastAsia="sk-SK"/>
        </w:rPr>
        <w:t>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3 </w:t>
      </w:r>
      <w:r w:rsidR="006F0A81" w:rsidRPr="00EC739E">
        <w:rPr>
          <w:rFonts w:ascii="Times New Roman" w:hAnsi="Times New Roman"/>
          <w:bCs/>
          <w:sz w:val="24"/>
          <w:szCs w:val="24"/>
          <w:lang w:eastAsia="sk-SK"/>
        </w:rPr>
        <w:t>budú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 vo výške 5 002 €, </w:t>
      </w:r>
      <w:r w:rsidR="006F0A81" w:rsidRPr="00EC739E">
        <w:rPr>
          <w:rFonts w:ascii="Times New Roman" w:hAnsi="Times New Roman"/>
          <w:bCs/>
          <w:sz w:val="24"/>
          <w:szCs w:val="24"/>
          <w:lang w:eastAsia="sk-SK"/>
        </w:rPr>
        <w:t>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4 </w:t>
      </w:r>
      <w:r w:rsidR="006F0A81" w:rsidRPr="00EC739E">
        <w:rPr>
          <w:rFonts w:ascii="Times New Roman" w:hAnsi="Times New Roman"/>
          <w:bCs/>
          <w:sz w:val="24"/>
          <w:szCs w:val="24"/>
          <w:lang w:eastAsia="sk-SK"/>
        </w:rPr>
        <w:t>budú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 vo výške 5 002 €.</w:t>
      </w:r>
    </w:p>
    <w:p w:rsidR="00BB2D5D" w:rsidRDefault="00BB2D5D" w:rsidP="00AB76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53D1" w:rsidRDefault="004C53D1" w:rsidP="004C53D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C53D1">
        <w:rPr>
          <w:rFonts w:ascii="Times New Roman" w:hAnsi="Times New Roman"/>
          <w:sz w:val="24"/>
          <w:szCs w:val="24"/>
          <w:u w:val="single"/>
          <w:lang w:eastAsia="sk-SK"/>
        </w:rPr>
        <w:t>Priznanie príplatku za vedenie služobného motorového vozidla</w:t>
      </w:r>
      <w:r w:rsidR="00DD2C78">
        <w:rPr>
          <w:rFonts w:ascii="Times New Roman" w:hAnsi="Times New Roman"/>
          <w:sz w:val="24"/>
          <w:szCs w:val="24"/>
          <w:u w:val="single"/>
          <w:lang w:eastAsia="sk-SK"/>
        </w:rPr>
        <w:t xml:space="preserve"> alebo čln</w:t>
      </w:r>
      <w:r w:rsidR="00F839BF">
        <w:rPr>
          <w:rFonts w:ascii="Times New Roman" w:hAnsi="Times New Roman"/>
          <w:sz w:val="24"/>
          <w:szCs w:val="24"/>
          <w:u w:val="single"/>
          <w:lang w:eastAsia="sk-SK"/>
        </w:rPr>
        <w:t>u</w:t>
      </w:r>
    </w:p>
    <w:p w:rsidR="004C53D1" w:rsidRPr="0088471A" w:rsidRDefault="004C53D1" w:rsidP="004C53D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Vyčíslenie nákladov oproti súčasnému stavu pri uzavretí Dohody o prechodnom používaní služobného motorového vozidla</w:t>
      </w:r>
      <w:r w:rsidR="00DD2C78">
        <w:rPr>
          <w:rFonts w:ascii="Times New Roman" w:hAnsi="Times New Roman"/>
          <w:sz w:val="24"/>
          <w:szCs w:val="24"/>
          <w:lang w:eastAsia="sk-SK"/>
        </w:rPr>
        <w:t xml:space="preserve"> alebo čln</w:t>
      </w:r>
      <w:r w:rsidR="00F839BF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>, keď patrí príslušníkovi finančnej správy príplatok za vedenie služobného motorového vozidla</w:t>
      </w:r>
      <w:r w:rsidR="00DD2C78">
        <w:rPr>
          <w:rFonts w:ascii="Times New Roman" w:hAnsi="Times New Roman"/>
          <w:sz w:val="24"/>
          <w:szCs w:val="24"/>
          <w:lang w:eastAsia="sk-SK"/>
        </w:rPr>
        <w:t xml:space="preserve"> alebo čln</w:t>
      </w:r>
      <w:r w:rsidR="002D4090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 xml:space="preserve"> bez ohľadu na počet jázd</w:t>
      </w:r>
      <w:r w:rsidR="00F839BF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predstavuje na rok 2022 sumu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113 566 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€, na rok 2023 sumu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113 566 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€ a na rok 2024 sumu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113 566 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€.</w:t>
      </w:r>
    </w:p>
    <w:p w:rsidR="00BB2D5D" w:rsidRDefault="00BB2D5D" w:rsidP="00AB76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63489" w:rsidRPr="0046061E" w:rsidRDefault="00263489" w:rsidP="004935B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i/>
          <w:sz w:val="24"/>
          <w:szCs w:val="24"/>
          <w:lang w:eastAsia="sk-SK"/>
        </w:rPr>
        <w:t>Kategória „6</w:t>
      </w:r>
      <w:r>
        <w:rPr>
          <w:rFonts w:ascii="Times New Roman" w:hAnsi="Times New Roman"/>
          <w:b/>
          <w:bCs/>
          <w:i/>
          <w:sz w:val="24"/>
          <w:szCs w:val="24"/>
          <w:lang w:eastAsia="sk-SK"/>
        </w:rPr>
        <w:t>2</w:t>
      </w:r>
      <w:r w:rsidRPr="0046061E">
        <w:rPr>
          <w:rFonts w:ascii="Times New Roman" w:hAnsi="Times New Roman"/>
          <w:b/>
          <w:bCs/>
          <w:i/>
          <w:sz w:val="24"/>
          <w:szCs w:val="24"/>
          <w:lang w:eastAsia="sk-SK"/>
        </w:rPr>
        <w:t xml:space="preserve">0“ </w:t>
      </w:r>
    </w:p>
    <w:p w:rsidR="00057B6A" w:rsidRPr="00EB3139" w:rsidRDefault="00057B6A" w:rsidP="00057B6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B3139">
        <w:rPr>
          <w:rFonts w:ascii="Times New Roman" w:hAnsi="Times New Roman"/>
          <w:bCs/>
          <w:sz w:val="24"/>
          <w:szCs w:val="24"/>
          <w:u w:val="single"/>
          <w:lang w:eastAsia="sk-SK"/>
        </w:rPr>
        <w:t>Príplatok za riadenie pre funkciu zástupcu vedúceho oddelenia</w:t>
      </w:r>
    </w:p>
    <w:p w:rsidR="00263489" w:rsidRDefault="00977193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Poistné v ročnom vyjadrení</w:t>
      </w:r>
      <w:r w:rsidR="00057B6A">
        <w:rPr>
          <w:rFonts w:ascii="Times New Roman" w:hAnsi="Times New Roman"/>
          <w:bCs/>
          <w:sz w:val="24"/>
          <w:szCs w:val="24"/>
          <w:lang w:eastAsia="sk-SK"/>
        </w:rPr>
        <w:t xml:space="preserve"> vypočítané z navýšenia v kategórii „610“ predstavuje 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057B6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sumu 100 897 €, na rok 2023</w:t>
      </w:r>
      <w:r w:rsidR="00057B6A">
        <w:rPr>
          <w:rFonts w:ascii="Times New Roman" w:hAnsi="Times New Roman"/>
          <w:bCs/>
          <w:sz w:val="24"/>
          <w:szCs w:val="24"/>
          <w:lang w:eastAsia="sk-SK"/>
        </w:rPr>
        <w:t xml:space="preserve"> sumu 100 897 € a 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057B6A">
        <w:rPr>
          <w:rFonts w:ascii="Times New Roman" w:hAnsi="Times New Roman"/>
          <w:bCs/>
          <w:sz w:val="24"/>
          <w:szCs w:val="24"/>
          <w:lang w:eastAsia="sk-SK"/>
        </w:rPr>
        <w:t xml:space="preserve"> sumu 100 897 €.</w:t>
      </w:r>
    </w:p>
    <w:p w:rsidR="00057B6A" w:rsidRDefault="00057B6A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57B6A" w:rsidRDefault="00057B6A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B3139">
        <w:rPr>
          <w:rFonts w:ascii="Times New Roman" w:hAnsi="Times New Roman"/>
          <w:bCs/>
          <w:sz w:val="24"/>
          <w:szCs w:val="24"/>
          <w:u w:val="single"/>
          <w:lang w:eastAsia="sk-SK"/>
        </w:rPr>
        <w:t>Vyslanie príslušníka finančnej správy na plnenie úloh podľa medzinárodnej zmluvy do medzinárodnej organizácie</w:t>
      </w:r>
    </w:p>
    <w:p w:rsidR="00057B6A" w:rsidRDefault="00057B6A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Poistné v ročnom vyjadrení vypočítané z navýšenia v kategórii „610“ predstavuje 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 sumu 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 xml:space="preserve">42 506 </w:t>
      </w:r>
      <w:r>
        <w:rPr>
          <w:rFonts w:ascii="Times New Roman" w:hAnsi="Times New Roman"/>
          <w:bCs/>
          <w:sz w:val="24"/>
          <w:szCs w:val="24"/>
          <w:lang w:eastAsia="sk-SK"/>
        </w:rPr>
        <w:t>€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>, 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 xml:space="preserve"> sumu 42 506 € a 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643F35">
        <w:rPr>
          <w:rFonts w:ascii="Times New Roman" w:hAnsi="Times New Roman"/>
          <w:bCs/>
          <w:sz w:val="24"/>
          <w:szCs w:val="24"/>
          <w:lang w:eastAsia="sk-SK"/>
        </w:rPr>
        <w:t xml:space="preserve"> sumu 42 506 €.</w:t>
      </w:r>
    </w:p>
    <w:p w:rsidR="00643F35" w:rsidRDefault="00643F35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643F35" w:rsidRPr="00EC739E" w:rsidRDefault="00643F35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EC739E">
        <w:rPr>
          <w:rFonts w:ascii="Times New Roman" w:hAnsi="Times New Roman"/>
          <w:bCs/>
          <w:sz w:val="24"/>
          <w:szCs w:val="24"/>
          <w:u w:val="single"/>
          <w:lang w:eastAsia="sk-SK"/>
        </w:rPr>
        <w:t>Poskytnutie najviac 10 dní nevyčerpanej dovolenky</w:t>
      </w:r>
    </w:p>
    <w:p w:rsidR="00643F35" w:rsidRDefault="00EC739E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C739E">
        <w:rPr>
          <w:rFonts w:ascii="Times New Roman" w:hAnsi="Times New Roman"/>
          <w:bCs/>
          <w:sz w:val="24"/>
          <w:szCs w:val="24"/>
          <w:lang w:eastAsia="sk-SK"/>
        </w:rPr>
        <w:t>Poistné v ročnom vyjadrení vypočítané z navýšenia v kategórii „610“ predstavuje 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Pr="00EC739E">
        <w:rPr>
          <w:rFonts w:ascii="Times New Roman" w:hAnsi="Times New Roman"/>
          <w:bCs/>
          <w:sz w:val="24"/>
          <w:szCs w:val="24"/>
          <w:lang w:eastAsia="sk-SK"/>
        </w:rPr>
        <w:t xml:space="preserve"> sumu 1 771 €, 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Pr="00EC739E">
        <w:rPr>
          <w:rFonts w:ascii="Times New Roman" w:hAnsi="Times New Roman"/>
          <w:bCs/>
          <w:sz w:val="24"/>
          <w:szCs w:val="24"/>
          <w:lang w:eastAsia="sk-SK"/>
        </w:rPr>
        <w:t xml:space="preserve"> sumu 1 771 € a 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Pr="00EC739E">
        <w:rPr>
          <w:rFonts w:ascii="Times New Roman" w:hAnsi="Times New Roman"/>
          <w:bCs/>
          <w:sz w:val="24"/>
          <w:szCs w:val="24"/>
          <w:lang w:eastAsia="sk-SK"/>
        </w:rPr>
        <w:t xml:space="preserve"> sumu 1 771 €.</w:t>
      </w:r>
    </w:p>
    <w:p w:rsidR="00DC3E27" w:rsidRPr="0088471A" w:rsidRDefault="00DC3E27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4C53D1" w:rsidRDefault="004C53D1" w:rsidP="00DC3E2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C53D1">
        <w:rPr>
          <w:rFonts w:ascii="Times New Roman" w:hAnsi="Times New Roman"/>
          <w:sz w:val="24"/>
          <w:szCs w:val="24"/>
          <w:u w:val="single"/>
          <w:lang w:eastAsia="sk-SK"/>
        </w:rPr>
        <w:t>Priznanie príplatku za vedenie služobného motorového vozidla alebo čln</w:t>
      </w:r>
      <w:r w:rsidR="002D4090">
        <w:rPr>
          <w:rFonts w:ascii="Times New Roman" w:hAnsi="Times New Roman"/>
          <w:sz w:val="24"/>
          <w:szCs w:val="24"/>
          <w:u w:val="single"/>
          <w:lang w:eastAsia="sk-SK"/>
        </w:rPr>
        <w:t>u</w:t>
      </w:r>
    </w:p>
    <w:p w:rsidR="00DC3E27" w:rsidRPr="0088471A" w:rsidRDefault="00DC3E27" w:rsidP="00DC3E2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Poistné v ročnom vyjadrení vypočítané z navýšenia v kategórii „610“ predstavuje na rok 202</w:t>
      </w:r>
      <w:r w:rsidR="006F0A81"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sumu </w:t>
      </w:r>
      <w:r w:rsidR="006F0A81"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40 202  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€, na rok 202</w:t>
      </w:r>
      <w:r w:rsidR="006F0A81"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sumu 40 202 € a na rok 202</w:t>
      </w:r>
      <w:r w:rsidR="006F0A81"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4</w:t>
      </w:r>
      <w:r w:rsidRPr="0088471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sumu 40 202 €.</w:t>
      </w:r>
    </w:p>
    <w:p w:rsidR="005B5F07" w:rsidRPr="00263489" w:rsidRDefault="005B5F07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E6CDB" w:rsidRPr="0046061E" w:rsidRDefault="00C1436B" w:rsidP="00C143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i/>
          <w:sz w:val="24"/>
          <w:szCs w:val="24"/>
          <w:lang w:eastAsia="sk-SK"/>
        </w:rPr>
        <w:t xml:space="preserve">Kategória „630“ </w:t>
      </w:r>
    </w:p>
    <w:p w:rsidR="00AB7027" w:rsidRDefault="00AB7027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1. </w:t>
      </w:r>
      <w:r w:rsidR="006E440E">
        <w:rPr>
          <w:rFonts w:ascii="Times New Roman" w:hAnsi="Times New Roman"/>
          <w:bCs/>
          <w:sz w:val="24"/>
          <w:szCs w:val="24"/>
          <w:u w:val="single"/>
          <w:lang w:eastAsia="sk-SK"/>
        </w:rPr>
        <w:t>Úprava informačného systému (ISVS FS)</w:t>
      </w:r>
      <w:r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 </w:t>
      </w:r>
    </w:p>
    <w:p w:rsidR="00727F4B" w:rsidRPr="00727F4B" w:rsidRDefault="00727F4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Úprava IS </w:t>
      </w:r>
      <w:r w:rsidR="009B2849">
        <w:rPr>
          <w:rFonts w:ascii="Times New Roman" w:hAnsi="Times New Roman"/>
          <w:bCs/>
          <w:sz w:val="24"/>
          <w:szCs w:val="24"/>
          <w:lang w:eastAsia="sk-SK"/>
        </w:rPr>
        <w:t xml:space="preserve">v sume </w:t>
      </w:r>
      <w:r w:rsidR="009B2849" w:rsidRPr="009B2849">
        <w:rPr>
          <w:rFonts w:ascii="Times New Roman" w:hAnsi="Times New Roman"/>
          <w:b/>
          <w:bCs/>
          <w:sz w:val="24"/>
          <w:szCs w:val="24"/>
          <w:lang w:eastAsia="sk-SK"/>
        </w:rPr>
        <w:t>8 565 €</w:t>
      </w:r>
      <w:r w:rsidR="009B284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na rok 2021</w:t>
      </w:r>
      <w:r w:rsidR="00734B7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sa týka zapracovania nového druhu </w:t>
      </w:r>
      <w:proofErr w:type="spellStart"/>
      <w:r>
        <w:rPr>
          <w:rFonts w:ascii="Times New Roman" w:hAnsi="Times New Roman"/>
          <w:bCs/>
          <w:sz w:val="24"/>
          <w:szCs w:val="24"/>
          <w:lang w:eastAsia="sk-SK"/>
        </w:rPr>
        <w:t>ne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>/prítomnosti na evidenciu vykonávania služobných úloh a nového druhu neprítomnosti na evidenciu služobného voľna s nárokom na služobný plat z osobných dôvodov.</w:t>
      </w:r>
    </w:p>
    <w:p w:rsidR="00AB7027" w:rsidRPr="00AB7027" w:rsidRDefault="00AB7027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11CD8" w:rsidRPr="00275C90" w:rsidRDefault="00AB7027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2</w:t>
      </w:r>
      <w:r w:rsidR="00DE34DC"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. </w:t>
      </w:r>
      <w:r w:rsidR="006303AD"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Obstaranie </w:t>
      </w:r>
      <w:r w:rsidR="006303AD" w:rsidRPr="00275C90">
        <w:rPr>
          <w:rFonts w:ascii="Times New Roman" w:hAnsi="Times New Roman"/>
          <w:bCs/>
          <w:sz w:val="24"/>
          <w:szCs w:val="24"/>
          <w:u w:val="single"/>
        </w:rPr>
        <w:t>špeciálnych výbušných predmetov a špeciálnych náloží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Zásahová výbuška - 1 rana, 1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84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Zásahová výbuška - 1 rana, 100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8 400 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CB5D42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Zásahová výbuška - 6 rán, 1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102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Zásahová výbuška - 6 rán, 100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10 200 €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Telo granátu výcvikovej výbušky, 1</w:t>
      </w:r>
      <w:r w:rsidR="00DF0988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ks 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30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Telo granátu výcvikovej výbušky, 135</w:t>
      </w:r>
      <w:r w:rsidR="00DF0988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4 050 €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Tréningová vymeniteľná pyrotechnická vložka s pákovým zapaľovačom - 1 rana, 1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34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 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Tréningová vymeniteľná pyrotechnická vložka s pákovým zapaľovačom - 1 rana, 420 ks – 1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4 280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(táto forma výcviku šetrí finančné prostriedky, nakoľko sa výbuška recykluje)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Zásahový disperzný granát s dráždivou kompozíciou, 1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78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Zásahový disperzný granát s dráždivou kompozíciou, 90 ks – 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7 020 € </w:t>
      </w:r>
    </w:p>
    <w:p w:rsidR="006303AD" w:rsidRPr="00275C90" w:rsidRDefault="006303AD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     </w:t>
      </w:r>
    </w:p>
    <w:p w:rsidR="00D95A90" w:rsidRPr="00275C90" w:rsidRDefault="00D95A90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 za 4 roky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:</w:t>
      </w:r>
      <w:r w:rsidR="006303AD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B70B34" w:rsidRPr="00275C90">
        <w:rPr>
          <w:rFonts w:ascii="Times New Roman" w:hAnsi="Times New Roman"/>
          <w:bCs/>
          <w:sz w:val="24"/>
          <w:szCs w:val="24"/>
          <w:lang w:eastAsia="sk-SK"/>
        </w:rPr>
        <w:t>43 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95</w:t>
      </w:r>
      <w:r w:rsidR="00B70B34" w:rsidRPr="00275C90">
        <w:rPr>
          <w:rFonts w:ascii="Times New Roman" w:hAnsi="Times New Roman"/>
          <w:bCs/>
          <w:sz w:val="24"/>
          <w:szCs w:val="24"/>
          <w:lang w:eastAsia="sk-SK"/>
        </w:rPr>
        <w:t>0 €</w:t>
      </w:r>
    </w:p>
    <w:p w:rsidR="00A72ED9" w:rsidRPr="00275C90" w:rsidRDefault="00A72ED9" w:rsidP="006303A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 za 2 roky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Pr="00275C90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="009E77C2" w:rsidRPr="00275C90">
        <w:rPr>
          <w:rFonts w:ascii="Times New Roman" w:hAnsi="Times New Roman"/>
          <w:b/>
          <w:bCs/>
          <w:sz w:val="24"/>
          <w:szCs w:val="24"/>
          <w:lang w:eastAsia="sk-SK"/>
        </w:rPr>
        <w:t>1 975</w:t>
      </w:r>
      <w:r w:rsidRPr="00275C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€</w:t>
      </w:r>
      <w:r w:rsidR="00DE34DC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E77C2" w:rsidRPr="00275C90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v roku</w:t>
      </w:r>
      <w:r w:rsidR="009E77C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9E77C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E440E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- obstaranie 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na roky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 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 v roku</w:t>
      </w:r>
      <w:r w:rsidR="009E77C2" w:rsidRPr="00275C90">
        <w:rPr>
          <w:rFonts w:ascii="Times New Roman" w:hAnsi="Times New Roman"/>
          <w:bCs/>
          <w:sz w:val="24"/>
          <w:szCs w:val="24"/>
          <w:lang w:eastAsia="sk-SK"/>
        </w:rPr>
        <w:t> 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E440E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- obstaranie 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na roky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 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5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7E658B" w:rsidRPr="00275C90" w:rsidRDefault="00D95A9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R</w:t>
      </w:r>
      <w:r w:rsidR="006303AD"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očné náklady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:</w:t>
      </w:r>
      <w:r w:rsidR="006303AD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B70B34" w:rsidRPr="00275C90">
        <w:rPr>
          <w:rFonts w:ascii="Times New Roman" w:hAnsi="Times New Roman"/>
          <w:bCs/>
          <w:sz w:val="24"/>
          <w:szCs w:val="24"/>
          <w:lang w:eastAsia="sk-SK"/>
        </w:rPr>
        <w:t>10 9</w:t>
      </w:r>
      <w:r w:rsidR="00CB5D42" w:rsidRPr="00275C90">
        <w:rPr>
          <w:rFonts w:ascii="Times New Roman" w:hAnsi="Times New Roman"/>
          <w:bCs/>
          <w:sz w:val="24"/>
          <w:szCs w:val="24"/>
          <w:lang w:eastAsia="sk-SK"/>
        </w:rPr>
        <w:t>88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 </w:t>
      </w:r>
    </w:p>
    <w:p w:rsidR="00C1436B" w:rsidRPr="00275C90" w:rsidRDefault="00C143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Výbuška V-30, 1 ks – 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>43 €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Výbuška V-30, 20 ks – 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>860 €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D95A90" w:rsidRPr="00275C90" w:rsidRDefault="00BB14ED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Výbuška V-100, 1 ks – 84 €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Výbuška V-100, 20 ks – 1 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680 € 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Elektrický Pyrotechnický Inic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iátor Okamžitý – EPIO, 1 ks – 12 € 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Elektrický Pyrotechnický Iniciátor Okamžitý – EPIO, 40 ks – 4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80 € 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D95A90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 za 4 roky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="00B70B34" w:rsidRPr="00275C90">
        <w:rPr>
          <w:rFonts w:ascii="Times New Roman" w:hAnsi="Times New Roman"/>
          <w:bCs/>
          <w:sz w:val="24"/>
          <w:szCs w:val="24"/>
          <w:lang w:eastAsia="sk-SK"/>
        </w:rPr>
        <w:t>3 02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>0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 </w:t>
      </w:r>
    </w:p>
    <w:p w:rsidR="00282A1F" w:rsidRPr="00275C90" w:rsidRDefault="00282A1F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 za 2 roky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Pr="00275C90">
        <w:rPr>
          <w:rFonts w:ascii="Times New Roman" w:hAnsi="Times New Roman"/>
          <w:b/>
          <w:bCs/>
          <w:sz w:val="24"/>
          <w:szCs w:val="24"/>
          <w:lang w:eastAsia="sk-SK"/>
        </w:rPr>
        <w:t>1 510 €</w:t>
      </w:r>
      <w:r w:rsidR="009E77C2" w:rsidRPr="00275C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(v roku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E440E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– obstaranie 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na roky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2 a 2023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 v roku 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E440E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– obstaranie 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na roky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a 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5</w:t>
      </w:r>
      <w:r w:rsidR="00C77D42"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134047" w:rsidRPr="00275C90" w:rsidRDefault="00D95A90" w:rsidP="00D95A9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Ročné náklady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="00B70B34" w:rsidRPr="00275C90">
        <w:rPr>
          <w:rFonts w:ascii="Times New Roman" w:hAnsi="Times New Roman"/>
          <w:bCs/>
          <w:sz w:val="24"/>
          <w:szCs w:val="24"/>
          <w:lang w:eastAsia="sk-SK"/>
        </w:rPr>
        <w:t>7</w:t>
      </w:r>
      <w:r w:rsidR="00BB14ED" w:rsidRPr="00275C90">
        <w:rPr>
          <w:rFonts w:ascii="Times New Roman" w:hAnsi="Times New Roman"/>
          <w:bCs/>
          <w:sz w:val="24"/>
          <w:szCs w:val="24"/>
          <w:lang w:eastAsia="sk-SK"/>
        </w:rPr>
        <w:t>55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€</w:t>
      </w:r>
    </w:p>
    <w:p w:rsidR="003E4E4B" w:rsidRPr="00275C90" w:rsidRDefault="003E4E4B" w:rsidP="003E4E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95A90" w:rsidRPr="00275C90" w:rsidRDefault="00D95A9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Špeciálne nálože</w:t>
      </w:r>
    </w:p>
    <w:p w:rsidR="00D95A90" w:rsidRPr="00275C90" w:rsidRDefault="00D95A9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Ročné náklady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="00DE34DC" w:rsidRPr="00275C90">
        <w:rPr>
          <w:rFonts w:ascii="Times New Roman" w:hAnsi="Times New Roman"/>
          <w:b/>
          <w:bCs/>
          <w:sz w:val="24"/>
          <w:szCs w:val="24"/>
          <w:lang w:eastAsia="sk-SK"/>
        </w:rPr>
        <w:t>22 800 €</w:t>
      </w:r>
      <w:r w:rsidR="00DE34DC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C7BDF" w:rsidRPr="00275C90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od roku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AC7BDF"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DE34DC" w:rsidRPr="00275C90" w:rsidRDefault="00DE34D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E34DC" w:rsidRPr="00275C90" w:rsidRDefault="00AB7027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3</w:t>
      </w:r>
      <w:r w:rsidR="00DE34DC"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. Školenie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Školenie kandidátov v kurze Vojenského pyrotechnika v Národnom Centre EOD trvanie 8 týždňov – teoretická časť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Školenie kandidátov v kurze Vojenského pyrotechnika v Národnom Centre EOD trvanie 4 týždne – praktická časť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Školenie kandidátov v kurze ADR – Preprava nebezpečných materiálov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Školenie kandidátov v kurze Ofenzívna pyrotechnika (</w:t>
      </w:r>
      <w:proofErr w:type="spellStart"/>
      <w:r w:rsidRPr="00275C90">
        <w:rPr>
          <w:rFonts w:ascii="Times New Roman" w:hAnsi="Times New Roman"/>
          <w:bCs/>
          <w:sz w:val="24"/>
          <w:szCs w:val="24"/>
          <w:lang w:eastAsia="sk-SK"/>
        </w:rPr>
        <w:t>Explosive</w:t>
      </w:r>
      <w:proofErr w:type="spellEnd"/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proofErr w:type="spellStart"/>
      <w:r w:rsidRPr="00275C90">
        <w:rPr>
          <w:rFonts w:ascii="Times New Roman" w:hAnsi="Times New Roman"/>
          <w:bCs/>
          <w:sz w:val="24"/>
          <w:szCs w:val="24"/>
          <w:lang w:eastAsia="sk-SK"/>
        </w:rPr>
        <w:t>Breaching</w:t>
      </w:r>
      <w:proofErr w:type="spellEnd"/>
      <w:r w:rsidRPr="00275C90">
        <w:rPr>
          <w:rFonts w:ascii="Times New Roman" w:hAnsi="Times New Roman"/>
          <w:bCs/>
          <w:sz w:val="24"/>
          <w:szCs w:val="24"/>
          <w:lang w:eastAsia="sk-SK"/>
        </w:rPr>
        <w:t>) Level 1,2,3,4 – Centrum výcviku Lešť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lang w:eastAsia="sk-SK"/>
        </w:rPr>
        <w:t>Školenie kandidátov v kurze Vyhľadávanie a zneškodňovanie nástražno-výbušných systémov Level 1,2,3,4 – Centrum výcviku Lešť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Pr="00275C90">
        <w:rPr>
          <w:rFonts w:ascii="Times New Roman" w:hAnsi="Times New Roman"/>
          <w:b/>
          <w:bCs/>
          <w:sz w:val="24"/>
          <w:szCs w:val="24"/>
          <w:lang w:eastAsia="sk-SK"/>
        </w:rPr>
        <w:t>14 400 €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(na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DE34DC" w:rsidRPr="00275C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275C90" w:rsidRDefault="00DE34D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  <w:r w:rsidRPr="00275C90">
        <w:rPr>
          <w:rFonts w:ascii="Times New Roman" w:hAnsi="Times New Roman"/>
          <w:b/>
          <w:bCs/>
          <w:i/>
          <w:sz w:val="24"/>
          <w:szCs w:val="24"/>
          <w:lang w:eastAsia="sk-SK"/>
        </w:rPr>
        <w:t>Kategória „710“</w:t>
      </w:r>
    </w:p>
    <w:p w:rsidR="00DE34DC" w:rsidRPr="00275C90" w:rsidRDefault="00DE34D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Výstavba skladovacieho priestoru</w:t>
      </w:r>
      <w:r w:rsidR="009D44E5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na uskladnenie</w:t>
      </w:r>
      <w:r w:rsidR="00FA083C"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vyššie uvedených špeciálnych výbušných predmetov a špeciálnych náloží.</w:t>
      </w:r>
    </w:p>
    <w:p w:rsidR="00DE34DC" w:rsidRPr="00D95A90" w:rsidRDefault="00DE34DC" w:rsidP="00DE34D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75C90">
        <w:rPr>
          <w:rFonts w:ascii="Times New Roman" w:hAnsi="Times New Roman"/>
          <w:bCs/>
          <w:sz w:val="24"/>
          <w:szCs w:val="24"/>
          <w:u w:val="single"/>
          <w:lang w:eastAsia="sk-SK"/>
        </w:rPr>
        <w:t>Celkové náklady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: </w:t>
      </w:r>
      <w:r w:rsidRPr="00275C90">
        <w:rPr>
          <w:rFonts w:ascii="Times New Roman" w:hAnsi="Times New Roman"/>
          <w:b/>
          <w:bCs/>
          <w:sz w:val="24"/>
          <w:szCs w:val="24"/>
          <w:lang w:eastAsia="sk-SK"/>
        </w:rPr>
        <w:t>31 200 €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 xml:space="preserve"> (na rok 202</w:t>
      </w:r>
      <w:r w:rsidR="006F0A81">
        <w:rPr>
          <w:rFonts w:ascii="Times New Roman" w:hAnsi="Times New Roman"/>
          <w:bCs/>
          <w:sz w:val="24"/>
          <w:szCs w:val="24"/>
          <w:lang w:eastAsia="sk-SK"/>
        </w:rPr>
        <w:t>3</w:t>
      </w:r>
      <w:r w:rsidRPr="00275C90"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:rsidR="00DE34DC" w:rsidRPr="0046061E" w:rsidRDefault="00DE34D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  <w:sectPr w:rsidR="00DE34DC" w:rsidRPr="0046061E" w:rsidSect="008861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  </w:t>
      </w:r>
    </w:p>
    <w:p w:rsidR="007D5748" w:rsidRPr="0046061E" w:rsidRDefault="00266F65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lastRenderedPageBreak/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 xml:space="preserve">    </w:t>
      </w:r>
      <w:r w:rsidR="007D5748" w:rsidRPr="0046061E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page" w:horzAnchor="page" w:tblpX="501" w:tblpY="207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46061E" w:rsidTr="00E11CD8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46061E" w:rsidTr="00E11CD8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41720F" w:rsidP="006F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F0A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41720F" w:rsidP="006F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F0A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41720F" w:rsidP="006F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F0A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41720F" w:rsidP="006F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F0A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E11CD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E11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46061E" w:rsidRDefault="007D5748" w:rsidP="00E1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32D8F" w:rsidRDefault="00932D8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Poznámka: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8D108E" w:rsidRPr="0046061E" w:rsidRDefault="008D108E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266F65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</w:t>
      </w:r>
      <w:r w:rsidR="007D5748" w:rsidRPr="0046061E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704D6" w:rsidRPr="0046061E" w:rsidTr="00D6478C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04D6" w:rsidRPr="0046061E" w:rsidTr="00D6478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8307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8307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704D6" w:rsidRPr="0046061E" w:rsidTr="00830741">
        <w:trPr>
          <w:trHeight w:val="27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741" w:rsidRPr="000B6C57" w:rsidRDefault="00164770" w:rsidP="0051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8 565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2C30F8" w:rsidP="003B2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B2F" w:rsidRPr="0046061E" w:rsidRDefault="009B732B" w:rsidP="00B43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B430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B430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B2F" w:rsidRPr="0046061E" w:rsidRDefault="009B732B" w:rsidP="000B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754 689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704D6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Tovary a služby (630)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0B6C57" w:rsidRDefault="0016477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8 565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0A405A" w:rsidP="00993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23 485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0A405A" w:rsidP="00993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14 400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31530C" w:rsidP="00993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46 285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704D6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Bežné transfery (640)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0B6C57" w:rsidRDefault="0013479A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704D6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0B6C57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C30F8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31 200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0B6C57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31 200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704D6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 Kapitálové transfery (720)</w:t>
            </w: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0B6C57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704D6" w:rsidRPr="0046061E" w:rsidTr="00D6478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79A" w:rsidRPr="000B6C57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79A" w:rsidRPr="0046061E" w:rsidRDefault="00F13B40" w:rsidP="0051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B457A" w:rsidRPr="0046061E" w:rsidTr="00D6478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479A" w:rsidRPr="000B6C57" w:rsidRDefault="00164770" w:rsidP="00164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B6C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8 565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479A" w:rsidRPr="0046061E" w:rsidRDefault="000155F5" w:rsidP="00993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731 889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479A" w:rsidRPr="0046061E" w:rsidRDefault="009B732B" w:rsidP="006B4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754 004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479A" w:rsidRPr="0046061E" w:rsidRDefault="009B732B" w:rsidP="00993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754 689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3479A" w:rsidRPr="0046061E" w:rsidRDefault="0013479A" w:rsidP="00134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46061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 –  výdavky rozpísať až do položiek platnej ekonomickej klasifikácie</w:t>
      </w:r>
    </w:p>
    <w:p w:rsidR="007D5748" w:rsidRPr="0046061E" w:rsidRDefault="007D5748" w:rsidP="0013479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/>
          <w:bCs/>
          <w:sz w:val="24"/>
          <w:szCs w:val="24"/>
          <w:lang w:eastAsia="sk-SK"/>
        </w:rPr>
        <w:t>Poznámka: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57FD" w:rsidRPr="0046061E" w:rsidRDefault="001457F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22224" w:rsidRPr="0046061E" w:rsidRDefault="0092222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13479A" w:rsidRPr="0046061E" w:rsidRDefault="0013479A" w:rsidP="0013479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1436B" w:rsidRPr="0046061E" w:rsidRDefault="00C1436B" w:rsidP="0013479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46061E" w:rsidRDefault="007D5748" w:rsidP="00E11CD8">
      <w:pPr>
        <w:tabs>
          <w:tab w:val="num" w:pos="1080"/>
          <w:tab w:val="left" w:pos="12333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46061E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           Tabuľka č. 5 </w:t>
      </w:r>
    </w:p>
    <w:p w:rsidR="007D5748" w:rsidRPr="0046061E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442"/>
        <w:gridCol w:w="1978"/>
        <w:gridCol w:w="630"/>
        <w:gridCol w:w="990"/>
      </w:tblGrid>
      <w:tr w:rsidR="007D5748" w:rsidRPr="0046061E" w:rsidTr="00D6478C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46061E" w:rsidTr="00DF23CF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F26A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F26A3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6061E" w:rsidRDefault="0013479A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C30F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color w:val="FF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6061E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6061E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708 404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708 404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708 404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523 028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523028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C30F8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46061E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D85F03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D85F03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0F8" w:rsidRPr="00D85F03" w:rsidRDefault="002C30F8" w:rsidP="002C30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sk-SK"/>
              </w:rPr>
              <w:t>185 376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0F8" w:rsidRPr="0046061E" w:rsidRDefault="002C30F8" w:rsidP="002C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3479A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3479A" w:rsidRPr="0046061E" w:rsidTr="00DF23C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3479A" w:rsidRPr="0046061E" w:rsidTr="00D6478C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3479A" w:rsidRPr="0046061E" w:rsidRDefault="0013479A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3479A" w:rsidRPr="0046061E" w:rsidTr="00DF23CF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36B" w:rsidRPr="0046061E" w:rsidRDefault="0013479A" w:rsidP="0078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6061E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479A" w:rsidRPr="0046061E" w:rsidRDefault="0013479A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46061E" w:rsidRDefault="00CB3623" w:rsidP="00886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623" w:rsidRPr="0046061E" w:rsidSect="00D24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93" w:rsidRDefault="005D3093">
      <w:pPr>
        <w:spacing w:after="0" w:line="240" w:lineRule="auto"/>
      </w:pPr>
      <w:r>
        <w:separator/>
      </w:r>
    </w:p>
  </w:endnote>
  <w:endnote w:type="continuationSeparator" w:id="0">
    <w:p w:rsidR="005D3093" w:rsidRDefault="005D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Default="002D409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2D4090" w:rsidRDefault="002D409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Default="002D409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555E4">
      <w:rPr>
        <w:noProof/>
      </w:rPr>
      <w:t>4</w:t>
    </w:r>
    <w:r>
      <w:fldChar w:fldCharType="end"/>
    </w:r>
  </w:p>
  <w:p w:rsidR="002D4090" w:rsidRDefault="002D409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Default="002D4090">
    <w:pPr>
      <w:pStyle w:val="Pta"/>
      <w:jc w:val="right"/>
    </w:pPr>
  </w:p>
  <w:p w:rsidR="002D4090" w:rsidRDefault="002D40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93" w:rsidRDefault="005D3093">
      <w:pPr>
        <w:spacing w:after="0" w:line="240" w:lineRule="auto"/>
      </w:pPr>
      <w:r>
        <w:separator/>
      </w:r>
    </w:p>
  </w:footnote>
  <w:footnote w:type="continuationSeparator" w:id="0">
    <w:p w:rsidR="005D3093" w:rsidRDefault="005D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Default="002D4090" w:rsidP="00D6478C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2D4090" w:rsidRPr="00EB59C8" w:rsidRDefault="002D4090" w:rsidP="00D6478C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Pr="0024067A" w:rsidRDefault="002D4090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90" w:rsidRPr="000A15AE" w:rsidRDefault="002D4090" w:rsidP="00266F65">
    <w:pPr>
      <w:pStyle w:val="Hlavik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A0F"/>
    <w:multiLevelType w:val="hybridMultilevel"/>
    <w:tmpl w:val="363E5972"/>
    <w:lvl w:ilvl="0" w:tplc="C7245E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9D4"/>
    <w:multiLevelType w:val="hybridMultilevel"/>
    <w:tmpl w:val="90D6E47E"/>
    <w:lvl w:ilvl="0" w:tplc="041B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4905"/>
    <w:multiLevelType w:val="hybridMultilevel"/>
    <w:tmpl w:val="FED2599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24D3"/>
    <w:multiLevelType w:val="hybridMultilevel"/>
    <w:tmpl w:val="BCB87F4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5B43D0"/>
    <w:multiLevelType w:val="hybridMultilevel"/>
    <w:tmpl w:val="67E2C44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D8117C"/>
    <w:multiLevelType w:val="hybridMultilevel"/>
    <w:tmpl w:val="959290C0"/>
    <w:lvl w:ilvl="0" w:tplc="C7245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0464"/>
    <w:rsid w:val="00001D8B"/>
    <w:rsid w:val="00012A6C"/>
    <w:rsid w:val="000155F5"/>
    <w:rsid w:val="00016BB1"/>
    <w:rsid w:val="00016BF4"/>
    <w:rsid w:val="00020024"/>
    <w:rsid w:val="0002109D"/>
    <w:rsid w:val="00023682"/>
    <w:rsid w:val="0002462F"/>
    <w:rsid w:val="00033025"/>
    <w:rsid w:val="00035EB6"/>
    <w:rsid w:val="00040889"/>
    <w:rsid w:val="00042ECF"/>
    <w:rsid w:val="00057135"/>
    <w:rsid w:val="00057B6A"/>
    <w:rsid w:val="00063FF2"/>
    <w:rsid w:val="0006761D"/>
    <w:rsid w:val="000678E8"/>
    <w:rsid w:val="0007322B"/>
    <w:rsid w:val="00090B5C"/>
    <w:rsid w:val="00096A70"/>
    <w:rsid w:val="000A15AE"/>
    <w:rsid w:val="000A1A3D"/>
    <w:rsid w:val="000A213D"/>
    <w:rsid w:val="000A405A"/>
    <w:rsid w:val="000A56FB"/>
    <w:rsid w:val="000B6C57"/>
    <w:rsid w:val="000C178E"/>
    <w:rsid w:val="000C5086"/>
    <w:rsid w:val="000D3583"/>
    <w:rsid w:val="000D55AB"/>
    <w:rsid w:val="000F57A3"/>
    <w:rsid w:val="001114A0"/>
    <w:rsid w:val="00112066"/>
    <w:rsid w:val="001127A8"/>
    <w:rsid w:val="001132AE"/>
    <w:rsid w:val="00121232"/>
    <w:rsid w:val="00122D1D"/>
    <w:rsid w:val="00134047"/>
    <w:rsid w:val="0013479A"/>
    <w:rsid w:val="001457FD"/>
    <w:rsid w:val="001546C3"/>
    <w:rsid w:val="001561A6"/>
    <w:rsid w:val="00161CFF"/>
    <w:rsid w:val="0016332C"/>
    <w:rsid w:val="00164770"/>
    <w:rsid w:val="00170D2B"/>
    <w:rsid w:val="001749FC"/>
    <w:rsid w:val="00175C01"/>
    <w:rsid w:val="0019355D"/>
    <w:rsid w:val="001943FA"/>
    <w:rsid w:val="00197E8A"/>
    <w:rsid w:val="001A21F1"/>
    <w:rsid w:val="001A4DCD"/>
    <w:rsid w:val="001A4E07"/>
    <w:rsid w:val="001A6C21"/>
    <w:rsid w:val="001C01FE"/>
    <w:rsid w:val="001C18BF"/>
    <w:rsid w:val="001D501F"/>
    <w:rsid w:val="001D6425"/>
    <w:rsid w:val="001E1610"/>
    <w:rsid w:val="001E6BE8"/>
    <w:rsid w:val="001F25F5"/>
    <w:rsid w:val="001F2647"/>
    <w:rsid w:val="001F53CD"/>
    <w:rsid w:val="00200898"/>
    <w:rsid w:val="0020475E"/>
    <w:rsid w:val="00212894"/>
    <w:rsid w:val="0021500D"/>
    <w:rsid w:val="0023596E"/>
    <w:rsid w:val="00235C9D"/>
    <w:rsid w:val="00237FA0"/>
    <w:rsid w:val="0024067A"/>
    <w:rsid w:val="00241C7C"/>
    <w:rsid w:val="00243FE5"/>
    <w:rsid w:val="002555E4"/>
    <w:rsid w:val="00263489"/>
    <w:rsid w:val="002638F4"/>
    <w:rsid w:val="00266ABD"/>
    <w:rsid w:val="00266F65"/>
    <w:rsid w:val="00275C90"/>
    <w:rsid w:val="00276216"/>
    <w:rsid w:val="0027763F"/>
    <w:rsid w:val="00277AD3"/>
    <w:rsid w:val="00282A1F"/>
    <w:rsid w:val="002865CE"/>
    <w:rsid w:val="002876AE"/>
    <w:rsid w:val="002909E3"/>
    <w:rsid w:val="002A2CCE"/>
    <w:rsid w:val="002A40BB"/>
    <w:rsid w:val="002A4A76"/>
    <w:rsid w:val="002B0A37"/>
    <w:rsid w:val="002B25E6"/>
    <w:rsid w:val="002B4480"/>
    <w:rsid w:val="002C135F"/>
    <w:rsid w:val="002C30F8"/>
    <w:rsid w:val="002D33FA"/>
    <w:rsid w:val="002D4090"/>
    <w:rsid w:val="002E51D9"/>
    <w:rsid w:val="002E6B72"/>
    <w:rsid w:val="002F2CE1"/>
    <w:rsid w:val="002F2D7E"/>
    <w:rsid w:val="00301684"/>
    <w:rsid w:val="00302979"/>
    <w:rsid w:val="0031325B"/>
    <w:rsid w:val="0031530C"/>
    <w:rsid w:val="00316C6E"/>
    <w:rsid w:val="00317B90"/>
    <w:rsid w:val="00324015"/>
    <w:rsid w:val="0032582E"/>
    <w:rsid w:val="003308ED"/>
    <w:rsid w:val="00331381"/>
    <w:rsid w:val="00347EC4"/>
    <w:rsid w:val="0036286A"/>
    <w:rsid w:val="003704D6"/>
    <w:rsid w:val="0037679B"/>
    <w:rsid w:val="003860C2"/>
    <w:rsid w:val="00390F5D"/>
    <w:rsid w:val="00391D51"/>
    <w:rsid w:val="0039512E"/>
    <w:rsid w:val="003A2B0A"/>
    <w:rsid w:val="003A44E2"/>
    <w:rsid w:val="003B1942"/>
    <w:rsid w:val="003B295C"/>
    <w:rsid w:val="003B69C7"/>
    <w:rsid w:val="003C4B10"/>
    <w:rsid w:val="003C506D"/>
    <w:rsid w:val="003D648C"/>
    <w:rsid w:val="003E0EA9"/>
    <w:rsid w:val="003E41CF"/>
    <w:rsid w:val="003E4E4B"/>
    <w:rsid w:val="00400261"/>
    <w:rsid w:val="00414C50"/>
    <w:rsid w:val="0041720F"/>
    <w:rsid w:val="0046061E"/>
    <w:rsid w:val="00463D7E"/>
    <w:rsid w:val="00464472"/>
    <w:rsid w:val="00473A39"/>
    <w:rsid w:val="00481167"/>
    <w:rsid w:val="00487203"/>
    <w:rsid w:val="00491814"/>
    <w:rsid w:val="00491829"/>
    <w:rsid w:val="004935B7"/>
    <w:rsid w:val="004A1D25"/>
    <w:rsid w:val="004B5E5E"/>
    <w:rsid w:val="004B7CE2"/>
    <w:rsid w:val="004C53D1"/>
    <w:rsid w:val="004D2E7A"/>
    <w:rsid w:val="004D57E9"/>
    <w:rsid w:val="004F010A"/>
    <w:rsid w:val="004F71DE"/>
    <w:rsid w:val="005005EC"/>
    <w:rsid w:val="0050119F"/>
    <w:rsid w:val="0051289D"/>
    <w:rsid w:val="005130D8"/>
    <w:rsid w:val="00514B2F"/>
    <w:rsid w:val="00523087"/>
    <w:rsid w:val="00525FF0"/>
    <w:rsid w:val="00550697"/>
    <w:rsid w:val="00550C8D"/>
    <w:rsid w:val="0055494D"/>
    <w:rsid w:val="005549D0"/>
    <w:rsid w:val="00565E07"/>
    <w:rsid w:val="0057070F"/>
    <w:rsid w:val="00571B94"/>
    <w:rsid w:val="005737C0"/>
    <w:rsid w:val="005744C9"/>
    <w:rsid w:val="005801A3"/>
    <w:rsid w:val="005813C0"/>
    <w:rsid w:val="0058791D"/>
    <w:rsid w:val="005952CC"/>
    <w:rsid w:val="005A5066"/>
    <w:rsid w:val="005B1EF1"/>
    <w:rsid w:val="005B4D36"/>
    <w:rsid w:val="005B5F07"/>
    <w:rsid w:val="005C4025"/>
    <w:rsid w:val="005D3093"/>
    <w:rsid w:val="005E1D51"/>
    <w:rsid w:val="005F09E9"/>
    <w:rsid w:val="005F153F"/>
    <w:rsid w:val="005F1CC8"/>
    <w:rsid w:val="006028E6"/>
    <w:rsid w:val="0060660F"/>
    <w:rsid w:val="006161B1"/>
    <w:rsid w:val="00627221"/>
    <w:rsid w:val="006303AD"/>
    <w:rsid w:val="00643F35"/>
    <w:rsid w:val="00661B9C"/>
    <w:rsid w:val="006831CE"/>
    <w:rsid w:val="006A51EB"/>
    <w:rsid w:val="006B457A"/>
    <w:rsid w:val="006B4C00"/>
    <w:rsid w:val="006D63BA"/>
    <w:rsid w:val="006E440E"/>
    <w:rsid w:val="006E49FD"/>
    <w:rsid w:val="006F0A81"/>
    <w:rsid w:val="006F0E9F"/>
    <w:rsid w:val="006F4677"/>
    <w:rsid w:val="00704E68"/>
    <w:rsid w:val="00711DE2"/>
    <w:rsid w:val="007134B6"/>
    <w:rsid w:val="0071713D"/>
    <w:rsid w:val="007246BD"/>
    <w:rsid w:val="00727F4B"/>
    <w:rsid w:val="00734B73"/>
    <w:rsid w:val="00744170"/>
    <w:rsid w:val="00751684"/>
    <w:rsid w:val="007561B8"/>
    <w:rsid w:val="00762B4F"/>
    <w:rsid w:val="00765F08"/>
    <w:rsid w:val="00774CF6"/>
    <w:rsid w:val="00776AA1"/>
    <w:rsid w:val="00784EA6"/>
    <w:rsid w:val="00797594"/>
    <w:rsid w:val="007B04DD"/>
    <w:rsid w:val="007C0E56"/>
    <w:rsid w:val="007C5556"/>
    <w:rsid w:val="007C7253"/>
    <w:rsid w:val="007D2D0C"/>
    <w:rsid w:val="007D4207"/>
    <w:rsid w:val="007D4C02"/>
    <w:rsid w:val="007D5748"/>
    <w:rsid w:val="007D5B78"/>
    <w:rsid w:val="007E169B"/>
    <w:rsid w:val="007E658B"/>
    <w:rsid w:val="007E65C5"/>
    <w:rsid w:val="007E6B45"/>
    <w:rsid w:val="00805220"/>
    <w:rsid w:val="00810894"/>
    <w:rsid w:val="00816541"/>
    <w:rsid w:val="008173C0"/>
    <w:rsid w:val="00817AB9"/>
    <w:rsid w:val="00820936"/>
    <w:rsid w:val="00830741"/>
    <w:rsid w:val="00836DB4"/>
    <w:rsid w:val="00857C72"/>
    <w:rsid w:val="008613E8"/>
    <w:rsid w:val="00862463"/>
    <w:rsid w:val="00866B60"/>
    <w:rsid w:val="008700B3"/>
    <w:rsid w:val="0087183A"/>
    <w:rsid w:val="008838E9"/>
    <w:rsid w:val="0088471A"/>
    <w:rsid w:val="00886115"/>
    <w:rsid w:val="00895DD3"/>
    <w:rsid w:val="008A2547"/>
    <w:rsid w:val="008B5F05"/>
    <w:rsid w:val="008B795F"/>
    <w:rsid w:val="008D108E"/>
    <w:rsid w:val="008D339D"/>
    <w:rsid w:val="008D7C03"/>
    <w:rsid w:val="008E0A7A"/>
    <w:rsid w:val="008E2736"/>
    <w:rsid w:val="008E621B"/>
    <w:rsid w:val="008F505D"/>
    <w:rsid w:val="008F7D5F"/>
    <w:rsid w:val="00912191"/>
    <w:rsid w:val="00915325"/>
    <w:rsid w:val="0092209C"/>
    <w:rsid w:val="00922224"/>
    <w:rsid w:val="009246C8"/>
    <w:rsid w:val="00931236"/>
    <w:rsid w:val="00932D8F"/>
    <w:rsid w:val="0093790A"/>
    <w:rsid w:val="00941170"/>
    <w:rsid w:val="009434B8"/>
    <w:rsid w:val="0094462B"/>
    <w:rsid w:val="009465E6"/>
    <w:rsid w:val="009472F6"/>
    <w:rsid w:val="00947A87"/>
    <w:rsid w:val="009567A2"/>
    <w:rsid w:val="00962220"/>
    <w:rsid w:val="00963878"/>
    <w:rsid w:val="009706B7"/>
    <w:rsid w:val="00973463"/>
    <w:rsid w:val="0097409A"/>
    <w:rsid w:val="00977193"/>
    <w:rsid w:val="009931E2"/>
    <w:rsid w:val="00993A95"/>
    <w:rsid w:val="00995DB8"/>
    <w:rsid w:val="00997B22"/>
    <w:rsid w:val="009A3633"/>
    <w:rsid w:val="009A3D78"/>
    <w:rsid w:val="009A572A"/>
    <w:rsid w:val="009B191F"/>
    <w:rsid w:val="009B2849"/>
    <w:rsid w:val="009B732B"/>
    <w:rsid w:val="009C60F9"/>
    <w:rsid w:val="009C76C0"/>
    <w:rsid w:val="009C7AA0"/>
    <w:rsid w:val="009D318B"/>
    <w:rsid w:val="009D44E5"/>
    <w:rsid w:val="009E645E"/>
    <w:rsid w:val="009E77C2"/>
    <w:rsid w:val="00A053BB"/>
    <w:rsid w:val="00A12736"/>
    <w:rsid w:val="00A145D2"/>
    <w:rsid w:val="00A1481B"/>
    <w:rsid w:val="00A15AA5"/>
    <w:rsid w:val="00A31EA1"/>
    <w:rsid w:val="00A32A70"/>
    <w:rsid w:val="00A330A7"/>
    <w:rsid w:val="00A4029A"/>
    <w:rsid w:val="00A72ED9"/>
    <w:rsid w:val="00A77F2D"/>
    <w:rsid w:val="00A939D5"/>
    <w:rsid w:val="00AB7027"/>
    <w:rsid w:val="00AB76AB"/>
    <w:rsid w:val="00AC7BDF"/>
    <w:rsid w:val="00AD7AA8"/>
    <w:rsid w:val="00AE5268"/>
    <w:rsid w:val="00AF55F6"/>
    <w:rsid w:val="00AF6609"/>
    <w:rsid w:val="00B13F7F"/>
    <w:rsid w:val="00B15B4F"/>
    <w:rsid w:val="00B25B3C"/>
    <w:rsid w:val="00B330D3"/>
    <w:rsid w:val="00B36024"/>
    <w:rsid w:val="00B3715E"/>
    <w:rsid w:val="00B4305A"/>
    <w:rsid w:val="00B45037"/>
    <w:rsid w:val="00B50597"/>
    <w:rsid w:val="00B5535C"/>
    <w:rsid w:val="00B57CC6"/>
    <w:rsid w:val="00B70B34"/>
    <w:rsid w:val="00B7479E"/>
    <w:rsid w:val="00B754BB"/>
    <w:rsid w:val="00B80A78"/>
    <w:rsid w:val="00B83308"/>
    <w:rsid w:val="00B95C20"/>
    <w:rsid w:val="00B96EDB"/>
    <w:rsid w:val="00BB09F4"/>
    <w:rsid w:val="00BB14ED"/>
    <w:rsid w:val="00BB188D"/>
    <w:rsid w:val="00BB2D5D"/>
    <w:rsid w:val="00BB4990"/>
    <w:rsid w:val="00BC7DEB"/>
    <w:rsid w:val="00BD7393"/>
    <w:rsid w:val="00BE2448"/>
    <w:rsid w:val="00BE47D2"/>
    <w:rsid w:val="00BE7050"/>
    <w:rsid w:val="00BF09A3"/>
    <w:rsid w:val="00BF69BA"/>
    <w:rsid w:val="00C04213"/>
    <w:rsid w:val="00C10D16"/>
    <w:rsid w:val="00C1429D"/>
    <w:rsid w:val="00C1436B"/>
    <w:rsid w:val="00C15212"/>
    <w:rsid w:val="00C20AC7"/>
    <w:rsid w:val="00C23A3F"/>
    <w:rsid w:val="00C23C12"/>
    <w:rsid w:val="00C32821"/>
    <w:rsid w:val="00C34CA2"/>
    <w:rsid w:val="00C51FD4"/>
    <w:rsid w:val="00C5415F"/>
    <w:rsid w:val="00C548BA"/>
    <w:rsid w:val="00C56334"/>
    <w:rsid w:val="00C56550"/>
    <w:rsid w:val="00C57D40"/>
    <w:rsid w:val="00C71D17"/>
    <w:rsid w:val="00C726D5"/>
    <w:rsid w:val="00C7598E"/>
    <w:rsid w:val="00C76767"/>
    <w:rsid w:val="00C77D42"/>
    <w:rsid w:val="00C77E96"/>
    <w:rsid w:val="00C87588"/>
    <w:rsid w:val="00C926F9"/>
    <w:rsid w:val="00C973D8"/>
    <w:rsid w:val="00CB0547"/>
    <w:rsid w:val="00CB2E4F"/>
    <w:rsid w:val="00CB3623"/>
    <w:rsid w:val="00CB496D"/>
    <w:rsid w:val="00CB5D42"/>
    <w:rsid w:val="00CD019F"/>
    <w:rsid w:val="00CD080A"/>
    <w:rsid w:val="00CD72DB"/>
    <w:rsid w:val="00CE0C27"/>
    <w:rsid w:val="00CE299A"/>
    <w:rsid w:val="00CF0616"/>
    <w:rsid w:val="00CF2C6A"/>
    <w:rsid w:val="00D10D11"/>
    <w:rsid w:val="00D2243E"/>
    <w:rsid w:val="00D24503"/>
    <w:rsid w:val="00D35FB2"/>
    <w:rsid w:val="00D412A6"/>
    <w:rsid w:val="00D43042"/>
    <w:rsid w:val="00D44C67"/>
    <w:rsid w:val="00D461B0"/>
    <w:rsid w:val="00D46945"/>
    <w:rsid w:val="00D5650B"/>
    <w:rsid w:val="00D56FD8"/>
    <w:rsid w:val="00D6478C"/>
    <w:rsid w:val="00D80759"/>
    <w:rsid w:val="00D825DB"/>
    <w:rsid w:val="00D85F03"/>
    <w:rsid w:val="00D95A90"/>
    <w:rsid w:val="00D97CF8"/>
    <w:rsid w:val="00DB26B4"/>
    <w:rsid w:val="00DC1D81"/>
    <w:rsid w:val="00DC3E27"/>
    <w:rsid w:val="00DD2C78"/>
    <w:rsid w:val="00DD2DE6"/>
    <w:rsid w:val="00DD34F6"/>
    <w:rsid w:val="00DD43A6"/>
    <w:rsid w:val="00DD5021"/>
    <w:rsid w:val="00DE34DC"/>
    <w:rsid w:val="00DE5BF1"/>
    <w:rsid w:val="00DE7932"/>
    <w:rsid w:val="00DF0988"/>
    <w:rsid w:val="00DF23CF"/>
    <w:rsid w:val="00E07CE9"/>
    <w:rsid w:val="00E11CD8"/>
    <w:rsid w:val="00E1796E"/>
    <w:rsid w:val="00E31973"/>
    <w:rsid w:val="00E400DB"/>
    <w:rsid w:val="00E57E84"/>
    <w:rsid w:val="00E813D1"/>
    <w:rsid w:val="00E81428"/>
    <w:rsid w:val="00E8408F"/>
    <w:rsid w:val="00E8418A"/>
    <w:rsid w:val="00E84879"/>
    <w:rsid w:val="00E86507"/>
    <w:rsid w:val="00E963A3"/>
    <w:rsid w:val="00E969BB"/>
    <w:rsid w:val="00EA1E90"/>
    <w:rsid w:val="00EA31D5"/>
    <w:rsid w:val="00EA3E1A"/>
    <w:rsid w:val="00EA4177"/>
    <w:rsid w:val="00EB3139"/>
    <w:rsid w:val="00EB40A3"/>
    <w:rsid w:val="00EB59C8"/>
    <w:rsid w:val="00EC2539"/>
    <w:rsid w:val="00EC739E"/>
    <w:rsid w:val="00EE167B"/>
    <w:rsid w:val="00EE50ED"/>
    <w:rsid w:val="00EF0264"/>
    <w:rsid w:val="00EF0874"/>
    <w:rsid w:val="00EF51E9"/>
    <w:rsid w:val="00EF6264"/>
    <w:rsid w:val="00F05128"/>
    <w:rsid w:val="00F06F7A"/>
    <w:rsid w:val="00F13B40"/>
    <w:rsid w:val="00F20023"/>
    <w:rsid w:val="00F236A1"/>
    <w:rsid w:val="00F26A35"/>
    <w:rsid w:val="00F27524"/>
    <w:rsid w:val="00F40136"/>
    <w:rsid w:val="00F41A37"/>
    <w:rsid w:val="00F45E3E"/>
    <w:rsid w:val="00F4625B"/>
    <w:rsid w:val="00F46E5A"/>
    <w:rsid w:val="00F61259"/>
    <w:rsid w:val="00F71222"/>
    <w:rsid w:val="00F839BF"/>
    <w:rsid w:val="00F83C02"/>
    <w:rsid w:val="00F84C4D"/>
    <w:rsid w:val="00F92510"/>
    <w:rsid w:val="00FA083C"/>
    <w:rsid w:val="00FA0F80"/>
    <w:rsid w:val="00FA1F31"/>
    <w:rsid w:val="00FA2654"/>
    <w:rsid w:val="00FB100A"/>
    <w:rsid w:val="00FB37B3"/>
    <w:rsid w:val="00FB4E5D"/>
    <w:rsid w:val="00FB6695"/>
    <w:rsid w:val="00FB67E8"/>
    <w:rsid w:val="00FC2BD3"/>
    <w:rsid w:val="00FD0372"/>
    <w:rsid w:val="00FD2E24"/>
    <w:rsid w:val="00FD455B"/>
    <w:rsid w:val="00FD54F8"/>
    <w:rsid w:val="00FE3662"/>
    <w:rsid w:val="00FE4E2A"/>
    <w:rsid w:val="00FE5833"/>
    <w:rsid w:val="00FE6CDB"/>
    <w:rsid w:val="00FF2DE3"/>
    <w:rsid w:val="00FF3263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79C89C-F7AB-440D-885B-58CEC92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428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customStyle="1" w:styleId="tl">
    <w:name w:val="Štýl"/>
    <w:basedOn w:val="Normlny"/>
    <w:uiPriority w:val="99"/>
    <w:rsid w:val="00F41A37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865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5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8650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5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86507"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17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2FA1-D865-4FEA-BF81-C8F57D2E3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7946DD-0A81-4FFD-A03F-D4E757B5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Krivosik Michal</cp:lastModifiedBy>
  <cp:revision>6</cp:revision>
  <cp:lastPrinted>2021-03-22T14:39:00Z</cp:lastPrinted>
  <dcterms:created xsi:type="dcterms:W3CDTF">2021-06-22T12:08:00Z</dcterms:created>
  <dcterms:modified xsi:type="dcterms:W3CDTF">2021-07-15T08:38:00Z</dcterms:modified>
</cp:coreProperties>
</file>