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957D9" w14:textId="77777777" w:rsidR="00153B43" w:rsidRPr="00002F51" w:rsidRDefault="00153B43" w:rsidP="00153B43">
      <w:pPr>
        <w:jc w:val="both"/>
        <w:rPr>
          <w:rFonts w:ascii="Cambria" w:hAnsi="Cambria"/>
          <w:sz w:val="22"/>
          <w:szCs w:val="22"/>
          <w:lang w:val="sk-SK"/>
        </w:rPr>
      </w:pPr>
    </w:p>
    <w:p w14:paraId="0A2BE6CB" w14:textId="08482399" w:rsidR="00153B43" w:rsidRPr="00002F51" w:rsidRDefault="00E94E3A" w:rsidP="00153B43">
      <w:pPr>
        <w:pStyle w:val="Heading1"/>
        <w:tabs>
          <w:tab w:val="right" w:pos="8958"/>
        </w:tabs>
        <w:rPr>
          <w:rFonts w:ascii="Cambria" w:hAnsi="Cambria"/>
          <w:sz w:val="22"/>
          <w:szCs w:val="22"/>
        </w:rPr>
      </w:pPr>
      <w:r w:rsidRPr="00002F51">
        <w:rPr>
          <w:rFonts w:ascii="Cambria" w:hAnsi="Cambria"/>
          <w:sz w:val="22"/>
          <w:szCs w:val="22"/>
        </w:rPr>
        <w:t>PREDKLADACIA  SPRÁVA</w:t>
      </w:r>
    </w:p>
    <w:p w14:paraId="5141ADBF" w14:textId="77777777" w:rsidR="00153B43" w:rsidRPr="00002F51" w:rsidRDefault="00153B43" w:rsidP="00AB1659">
      <w:pPr>
        <w:pStyle w:val="BodyText"/>
        <w:jc w:val="both"/>
        <w:rPr>
          <w:rFonts w:ascii="Cambria" w:hAnsi="Cambria"/>
          <w:sz w:val="22"/>
          <w:szCs w:val="22"/>
          <w:lang w:val="sk-SK"/>
        </w:rPr>
      </w:pPr>
    </w:p>
    <w:p w14:paraId="5FB35479" w14:textId="77777777" w:rsidR="00153B43" w:rsidRPr="00002F51" w:rsidRDefault="00153B43" w:rsidP="00153B43">
      <w:pPr>
        <w:pStyle w:val="BodyText"/>
        <w:ind w:right="902" w:firstLine="720"/>
        <w:jc w:val="both"/>
        <w:rPr>
          <w:rFonts w:ascii="Cambria" w:hAnsi="Cambria"/>
          <w:sz w:val="22"/>
          <w:szCs w:val="22"/>
          <w:lang w:val="sk-SK"/>
        </w:rPr>
      </w:pPr>
    </w:p>
    <w:p w14:paraId="7DBC88DC" w14:textId="77777777" w:rsidR="00153B43" w:rsidRPr="00002F51" w:rsidRDefault="00153B43" w:rsidP="00153B43">
      <w:pPr>
        <w:pStyle w:val="BodyText"/>
        <w:ind w:right="902" w:firstLine="720"/>
        <w:jc w:val="both"/>
        <w:rPr>
          <w:rFonts w:ascii="Cambria" w:hAnsi="Cambria"/>
          <w:sz w:val="22"/>
          <w:szCs w:val="22"/>
          <w:lang w:val="sk-SK"/>
        </w:rPr>
      </w:pPr>
    </w:p>
    <w:p w14:paraId="44DB5722" w14:textId="7F2C2EEB" w:rsidR="00571795" w:rsidRDefault="00210C2D" w:rsidP="009A69AE">
      <w:pPr>
        <w:pStyle w:val="BodyText"/>
        <w:tabs>
          <w:tab w:val="right" w:pos="8958"/>
        </w:tabs>
        <w:ind w:right="-42" w:firstLine="720"/>
        <w:jc w:val="both"/>
        <w:rPr>
          <w:rFonts w:ascii="Cambria" w:hAnsi="Cambria"/>
          <w:sz w:val="22"/>
          <w:szCs w:val="22"/>
          <w:lang w:val="sk-SK"/>
        </w:rPr>
      </w:pPr>
      <w:r w:rsidRPr="00210C2D">
        <w:rPr>
          <w:rFonts w:ascii="Cambria" w:hAnsi="Cambria"/>
          <w:sz w:val="22"/>
          <w:szCs w:val="22"/>
          <w:lang w:val="sk-SK"/>
        </w:rPr>
        <w:t>Správu o finančnej stabilite Máj 2021</w:t>
      </w:r>
      <w:r w:rsidR="00A42C91">
        <w:rPr>
          <w:rFonts w:ascii="Cambria" w:hAnsi="Cambria"/>
          <w:sz w:val="22"/>
          <w:szCs w:val="22"/>
          <w:lang w:val="sk-SK"/>
        </w:rPr>
        <w:t xml:space="preserve"> </w:t>
      </w:r>
      <w:r w:rsidR="00571795" w:rsidRPr="00210C2D">
        <w:rPr>
          <w:rFonts w:ascii="Cambria" w:hAnsi="Cambria"/>
          <w:sz w:val="22"/>
          <w:szCs w:val="22"/>
          <w:lang w:val="sk-SK"/>
        </w:rPr>
        <w:t xml:space="preserve">predkladá Národná banka Slovenska po jej schválení Bankovou radou NBS na základe povinnosti, ktorá Národnej banke Slovenska vyplýva z §1 ods. 3 písm. </w:t>
      </w:r>
      <w:r w:rsidR="00384192" w:rsidRPr="00210C2D">
        <w:rPr>
          <w:rFonts w:ascii="Cambria" w:hAnsi="Cambria"/>
          <w:sz w:val="22"/>
          <w:szCs w:val="22"/>
          <w:lang w:val="sk-SK"/>
        </w:rPr>
        <w:t>i</w:t>
      </w:r>
      <w:r w:rsidR="00571795" w:rsidRPr="00210C2D">
        <w:rPr>
          <w:rFonts w:ascii="Cambria" w:hAnsi="Cambria"/>
          <w:sz w:val="22"/>
          <w:szCs w:val="22"/>
          <w:lang w:val="sk-SK"/>
        </w:rPr>
        <w:t>) zákona č. 747/2004 Z. z. o dohľade nad finančným trhom v</w:t>
      </w:r>
      <w:r w:rsidR="00002F51" w:rsidRPr="00210C2D">
        <w:rPr>
          <w:rFonts w:ascii="Cambria" w:hAnsi="Cambria"/>
          <w:sz w:val="22"/>
          <w:szCs w:val="22"/>
          <w:lang w:val="sk-SK"/>
        </w:rPr>
        <w:t> </w:t>
      </w:r>
      <w:r w:rsidR="00571795" w:rsidRPr="00210C2D">
        <w:rPr>
          <w:rFonts w:ascii="Cambria" w:hAnsi="Cambria"/>
          <w:sz w:val="22"/>
          <w:szCs w:val="22"/>
          <w:lang w:val="sk-SK"/>
        </w:rPr>
        <w:t xml:space="preserve"> znení </w:t>
      </w:r>
      <w:r w:rsidRPr="00210C2D">
        <w:rPr>
          <w:rFonts w:ascii="Cambria" w:hAnsi="Cambria"/>
          <w:sz w:val="22"/>
          <w:szCs w:val="22"/>
          <w:lang w:val="sk-SK"/>
        </w:rPr>
        <w:t>zákon</w:t>
      </w:r>
      <w:r w:rsidR="00317B4F">
        <w:rPr>
          <w:rFonts w:ascii="Cambria" w:hAnsi="Cambria"/>
          <w:sz w:val="22"/>
          <w:szCs w:val="22"/>
          <w:lang w:val="sk-SK"/>
        </w:rPr>
        <w:t>a</w:t>
      </w:r>
      <w:r w:rsidRPr="00210C2D">
        <w:rPr>
          <w:rFonts w:ascii="Cambria" w:hAnsi="Cambria"/>
          <w:sz w:val="22"/>
          <w:szCs w:val="22"/>
          <w:lang w:val="sk-SK"/>
        </w:rPr>
        <w:t xml:space="preserve"> č. 209/ 2021 Z.</w:t>
      </w:r>
      <w:r w:rsidR="00A42C91">
        <w:rPr>
          <w:rFonts w:ascii="Cambria" w:hAnsi="Cambria"/>
          <w:sz w:val="22"/>
          <w:szCs w:val="22"/>
          <w:lang w:val="sk-SK"/>
        </w:rPr>
        <w:t> </w:t>
      </w:r>
      <w:bookmarkStart w:id="0" w:name="_GoBack"/>
      <w:bookmarkEnd w:id="0"/>
      <w:r w:rsidRPr="00210C2D">
        <w:rPr>
          <w:rFonts w:ascii="Cambria" w:hAnsi="Cambria"/>
          <w:sz w:val="22"/>
          <w:szCs w:val="22"/>
          <w:lang w:val="sk-SK"/>
        </w:rPr>
        <w:t>z.</w:t>
      </w:r>
    </w:p>
    <w:p w14:paraId="7753B769" w14:textId="61B02763" w:rsidR="00210C2D" w:rsidRDefault="00210C2D" w:rsidP="009A69AE">
      <w:pPr>
        <w:pStyle w:val="BodyText"/>
        <w:tabs>
          <w:tab w:val="right" w:pos="8958"/>
        </w:tabs>
        <w:ind w:right="-42" w:firstLine="720"/>
        <w:jc w:val="both"/>
        <w:rPr>
          <w:rFonts w:ascii="Cambria" w:hAnsi="Cambria"/>
          <w:sz w:val="22"/>
          <w:szCs w:val="22"/>
          <w:highlight w:val="yellow"/>
          <w:lang w:val="sk-SK"/>
        </w:rPr>
      </w:pPr>
    </w:p>
    <w:p w14:paraId="02EBE2FE" w14:textId="7A683884" w:rsidR="00571795" w:rsidRPr="00210C2D" w:rsidRDefault="00BF7751" w:rsidP="009A69AE">
      <w:pPr>
        <w:pStyle w:val="BodyText"/>
        <w:tabs>
          <w:tab w:val="right" w:pos="8958"/>
        </w:tabs>
        <w:ind w:right="-42" w:firstLine="720"/>
        <w:jc w:val="both"/>
        <w:rPr>
          <w:rFonts w:ascii="Cambria" w:hAnsi="Cambria"/>
          <w:sz w:val="22"/>
          <w:szCs w:val="22"/>
          <w:lang w:val="sk-SK"/>
        </w:rPr>
      </w:pPr>
      <w:r w:rsidRPr="00210C2D">
        <w:rPr>
          <w:rFonts w:ascii="Cambria" w:hAnsi="Cambria"/>
          <w:sz w:val="22"/>
          <w:szCs w:val="22"/>
          <w:lang w:val="sk-SK"/>
        </w:rPr>
        <w:t>Cieľom tejto správy je informovať o aktuálnych trendoch a rizikách v slovenskom finančnom sektore.</w:t>
      </w:r>
    </w:p>
    <w:p w14:paraId="2E6FEDC9" w14:textId="77777777" w:rsidR="00345C57" w:rsidRPr="00491E7C" w:rsidRDefault="00345C57" w:rsidP="009A69AE">
      <w:pPr>
        <w:pStyle w:val="BodyText"/>
        <w:ind w:right="902" w:firstLine="720"/>
        <w:jc w:val="both"/>
        <w:rPr>
          <w:rFonts w:ascii="Cambria" w:hAnsi="Cambria"/>
          <w:sz w:val="22"/>
          <w:szCs w:val="22"/>
          <w:highlight w:val="yellow"/>
          <w:lang w:val="sk-SK"/>
        </w:rPr>
      </w:pPr>
    </w:p>
    <w:p w14:paraId="7559934E" w14:textId="5149FB5C" w:rsidR="009A69AE" w:rsidRPr="00491E7C" w:rsidRDefault="009A69AE" w:rsidP="00BF49B3">
      <w:pPr>
        <w:ind w:firstLine="708"/>
        <w:jc w:val="both"/>
        <w:rPr>
          <w:rFonts w:ascii="Cambria" w:hAnsi="Cambria"/>
          <w:sz w:val="22"/>
          <w:szCs w:val="22"/>
          <w:highlight w:val="yellow"/>
          <w:lang w:val="sk-SK"/>
        </w:rPr>
      </w:pPr>
      <w:r w:rsidRPr="00210C2D">
        <w:rPr>
          <w:rFonts w:ascii="Cambria" w:hAnsi="Cambria"/>
          <w:sz w:val="22"/>
          <w:szCs w:val="22"/>
          <w:lang w:val="sk-SK"/>
        </w:rPr>
        <w:t xml:space="preserve">Správa je rozčlenená do </w:t>
      </w:r>
      <w:r w:rsidR="00210C2D" w:rsidRPr="00210C2D">
        <w:rPr>
          <w:rFonts w:ascii="Cambria" w:hAnsi="Cambria"/>
          <w:sz w:val="22"/>
          <w:szCs w:val="22"/>
          <w:lang w:val="sk-SK"/>
        </w:rPr>
        <w:t>troch</w:t>
      </w:r>
      <w:r w:rsidRPr="00210C2D">
        <w:rPr>
          <w:rFonts w:ascii="Cambria" w:hAnsi="Cambria"/>
          <w:sz w:val="22"/>
          <w:szCs w:val="22"/>
          <w:lang w:val="sk-SK"/>
        </w:rPr>
        <w:t xml:space="preserve"> kapitol</w:t>
      </w:r>
      <w:r w:rsidR="00210C2D" w:rsidRPr="00210C2D">
        <w:rPr>
          <w:rFonts w:ascii="Cambria" w:hAnsi="Cambria"/>
          <w:sz w:val="22"/>
          <w:szCs w:val="22"/>
          <w:lang w:val="sk-SK"/>
        </w:rPr>
        <w:t>. V rámci nich sa z</w:t>
      </w:r>
      <w:r w:rsidRPr="00210C2D">
        <w:rPr>
          <w:rFonts w:ascii="Cambria" w:hAnsi="Cambria"/>
          <w:sz w:val="22"/>
          <w:szCs w:val="22"/>
          <w:lang w:val="sk-SK"/>
        </w:rPr>
        <w:t xml:space="preserve">ameriava </w:t>
      </w:r>
      <w:r w:rsidR="00210C2D" w:rsidRPr="00210C2D">
        <w:rPr>
          <w:rFonts w:ascii="Cambria" w:hAnsi="Cambria"/>
          <w:sz w:val="22"/>
          <w:szCs w:val="22"/>
          <w:lang w:val="sk-SK"/>
        </w:rPr>
        <w:t>na makroekonomické prostredie, najvýznamnejšie trendy a riziká vo finančnom sektore a na odolnosť finančných inštitúcií voči týmto rizikám</w:t>
      </w:r>
      <w:r w:rsidR="00AA5735">
        <w:rPr>
          <w:rFonts w:ascii="Cambria" w:hAnsi="Cambria"/>
          <w:sz w:val="22"/>
          <w:szCs w:val="22"/>
          <w:lang w:val="sk-SK"/>
        </w:rPr>
        <w:t xml:space="preserve">. </w:t>
      </w:r>
      <w:r w:rsidR="00210C2D" w:rsidRPr="00210C2D">
        <w:rPr>
          <w:rFonts w:ascii="Cambria" w:hAnsi="Cambria"/>
          <w:sz w:val="22"/>
          <w:szCs w:val="22"/>
          <w:lang w:val="sk-SK"/>
        </w:rPr>
        <w:t xml:space="preserve">Časovo sa zameriava najmä na obdobie, kedy bola na Slovensku prítomná druhá vlna </w:t>
      </w:r>
      <w:r w:rsidRPr="00210C2D">
        <w:rPr>
          <w:rFonts w:ascii="Cambria" w:hAnsi="Cambria"/>
          <w:sz w:val="22"/>
          <w:szCs w:val="22"/>
          <w:lang w:val="sk-SK"/>
        </w:rPr>
        <w:t xml:space="preserve">pandémie </w:t>
      </w:r>
      <w:proofErr w:type="spellStart"/>
      <w:r w:rsidRPr="00210C2D">
        <w:rPr>
          <w:rFonts w:ascii="Cambria" w:hAnsi="Cambria"/>
          <w:sz w:val="22"/>
          <w:szCs w:val="22"/>
          <w:lang w:val="sk-SK"/>
        </w:rPr>
        <w:t>koronavírusu</w:t>
      </w:r>
      <w:proofErr w:type="spellEnd"/>
      <w:r w:rsidRPr="00210C2D">
        <w:rPr>
          <w:rFonts w:ascii="Cambria" w:hAnsi="Cambria"/>
          <w:sz w:val="22"/>
          <w:szCs w:val="22"/>
          <w:lang w:val="sk-SK"/>
        </w:rPr>
        <w:t>.</w:t>
      </w:r>
    </w:p>
    <w:p w14:paraId="08750B67" w14:textId="348C8052" w:rsidR="009A69AE" w:rsidRDefault="009A69AE" w:rsidP="009A69AE">
      <w:pPr>
        <w:jc w:val="both"/>
        <w:rPr>
          <w:rFonts w:ascii="Cambria" w:hAnsi="Cambria"/>
          <w:sz w:val="22"/>
          <w:szCs w:val="22"/>
          <w:highlight w:val="yellow"/>
          <w:lang w:val="sk-SK"/>
        </w:rPr>
      </w:pPr>
    </w:p>
    <w:p w14:paraId="04F293AE" w14:textId="4C376649" w:rsidR="00AA5735" w:rsidRDefault="00AA5735" w:rsidP="00AA5735">
      <w:pPr>
        <w:ind w:firstLine="708"/>
        <w:jc w:val="both"/>
        <w:rPr>
          <w:rFonts w:ascii="Cambria" w:hAnsi="Cambria"/>
          <w:sz w:val="22"/>
          <w:szCs w:val="22"/>
          <w:lang w:val="sk-SK"/>
        </w:rPr>
      </w:pPr>
      <w:r w:rsidRPr="00AA5735">
        <w:rPr>
          <w:rFonts w:ascii="Cambria" w:hAnsi="Cambria"/>
          <w:sz w:val="22"/>
          <w:szCs w:val="22"/>
          <w:lang w:val="sk-SK"/>
        </w:rPr>
        <w:t xml:space="preserve">Druhá vlna bola síce z epidemiologického hľadiska </w:t>
      </w:r>
      <w:r>
        <w:rPr>
          <w:rFonts w:ascii="Cambria" w:hAnsi="Cambria"/>
          <w:sz w:val="22"/>
          <w:szCs w:val="22"/>
          <w:lang w:val="sk-SK"/>
        </w:rPr>
        <w:t xml:space="preserve">v porovnaní s prvou vlnou </w:t>
      </w:r>
      <w:r w:rsidRPr="00AA5735">
        <w:rPr>
          <w:rFonts w:ascii="Cambria" w:hAnsi="Cambria"/>
          <w:sz w:val="22"/>
          <w:szCs w:val="22"/>
          <w:lang w:val="sk-SK"/>
        </w:rPr>
        <w:t xml:space="preserve">omnoho masívnejšia, ale jej vplyv na ekonomický vývoj bol značne miernejší. Miernejší vplyv mala druhá vlna aj na finančný sektor, ktorý nielenže zostal stabilný, ale aj výrazným spôsobom pomohol financovať ekonomické oživenie. Banky, aj za pomoci štátnych garancií, prispeli k financovaniu výpadku tržieb podnikov, a to aj napriek výraznej neistote, ktorá naďalej pretrvávala. Tok úverov podnikom bol v druhej vlne mierne rýchlejší ako pred krízou. Ukázalo </w:t>
      </w:r>
      <w:r>
        <w:rPr>
          <w:rFonts w:ascii="Cambria" w:hAnsi="Cambria"/>
          <w:sz w:val="22"/>
          <w:szCs w:val="22"/>
          <w:lang w:val="sk-SK"/>
        </w:rPr>
        <w:t xml:space="preserve">sa, že </w:t>
      </w:r>
      <w:r w:rsidRPr="00AA5735">
        <w:rPr>
          <w:rFonts w:ascii="Cambria" w:hAnsi="Cambria"/>
          <w:sz w:val="22"/>
          <w:szCs w:val="22"/>
          <w:lang w:val="sk-SK"/>
        </w:rPr>
        <w:t xml:space="preserve">banky aj pri </w:t>
      </w:r>
      <w:r>
        <w:rPr>
          <w:rFonts w:ascii="Cambria" w:hAnsi="Cambria"/>
          <w:sz w:val="22"/>
          <w:szCs w:val="22"/>
          <w:lang w:val="sk-SK"/>
        </w:rPr>
        <w:t xml:space="preserve">poskytovaní garantovaných </w:t>
      </w:r>
      <w:r w:rsidRPr="00AA5735">
        <w:rPr>
          <w:rFonts w:ascii="Cambria" w:hAnsi="Cambria"/>
          <w:sz w:val="22"/>
          <w:szCs w:val="22"/>
          <w:lang w:val="sk-SK"/>
        </w:rPr>
        <w:t>úvero</w:t>
      </w:r>
      <w:r>
        <w:rPr>
          <w:rFonts w:ascii="Cambria" w:hAnsi="Cambria"/>
          <w:sz w:val="22"/>
          <w:szCs w:val="22"/>
          <w:lang w:val="sk-SK"/>
        </w:rPr>
        <w:t>v</w:t>
      </w:r>
      <w:r w:rsidRPr="00AA5735">
        <w:rPr>
          <w:rFonts w:ascii="Cambria" w:hAnsi="Cambria"/>
          <w:sz w:val="22"/>
          <w:szCs w:val="22"/>
          <w:lang w:val="sk-SK"/>
        </w:rPr>
        <w:t xml:space="preserve"> zachovali obozretnosť. Takmer predkrízovým tempom pokračoval aj rast </w:t>
      </w:r>
      <w:proofErr w:type="spellStart"/>
      <w:r w:rsidRPr="00AA5735">
        <w:rPr>
          <w:rFonts w:ascii="Cambria" w:hAnsi="Cambria"/>
          <w:sz w:val="22"/>
          <w:szCs w:val="22"/>
          <w:lang w:val="sk-SK"/>
        </w:rPr>
        <w:t>retailových</w:t>
      </w:r>
      <w:proofErr w:type="spellEnd"/>
      <w:r w:rsidRPr="00AA5735">
        <w:rPr>
          <w:rFonts w:ascii="Cambria" w:hAnsi="Cambria"/>
          <w:sz w:val="22"/>
          <w:szCs w:val="22"/>
          <w:lang w:val="sk-SK"/>
        </w:rPr>
        <w:t xml:space="preserve"> úverov na bývanie. Na druhej strane pokračoval pokles spotrebného financovania.</w:t>
      </w:r>
    </w:p>
    <w:p w14:paraId="38C672BB" w14:textId="77777777" w:rsidR="00AA5735" w:rsidRPr="00AA5735" w:rsidRDefault="00AA5735" w:rsidP="00AA5735">
      <w:pPr>
        <w:ind w:firstLine="708"/>
        <w:jc w:val="both"/>
        <w:rPr>
          <w:rFonts w:ascii="Cambria" w:hAnsi="Cambria"/>
          <w:sz w:val="22"/>
          <w:szCs w:val="22"/>
          <w:lang w:val="sk-SK"/>
        </w:rPr>
      </w:pPr>
    </w:p>
    <w:p w14:paraId="6918273E" w14:textId="4E93F7D3" w:rsidR="00AA5735" w:rsidRDefault="00AA5735" w:rsidP="00AA5735">
      <w:pPr>
        <w:ind w:firstLine="708"/>
        <w:jc w:val="both"/>
        <w:rPr>
          <w:rFonts w:ascii="Cambria" w:hAnsi="Cambria"/>
          <w:sz w:val="22"/>
          <w:szCs w:val="22"/>
          <w:lang w:val="sk-SK"/>
        </w:rPr>
      </w:pPr>
      <w:r w:rsidRPr="00AA5735">
        <w:rPr>
          <w:rFonts w:ascii="Cambria" w:hAnsi="Cambria"/>
          <w:sz w:val="22"/>
          <w:szCs w:val="22"/>
          <w:lang w:val="sk-SK"/>
        </w:rPr>
        <w:t xml:space="preserve">Pandémia sa zatiaľ premietla do </w:t>
      </w:r>
      <w:r>
        <w:rPr>
          <w:rFonts w:ascii="Cambria" w:hAnsi="Cambria"/>
          <w:sz w:val="22"/>
          <w:szCs w:val="22"/>
          <w:lang w:val="sk-SK"/>
        </w:rPr>
        <w:t xml:space="preserve">zhoršenia </w:t>
      </w:r>
      <w:r w:rsidRPr="00AA5735">
        <w:rPr>
          <w:rFonts w:ascii="Cambria" w:hAnsi="Cambria"/>
          <w:sz w:val="22"/>
          <w:szCs w:val="22"/>
          <w:lang w:val="sk-SK"/>
        </w:rPr>
        <w:t>schopnosti klientov splácať úvery len v</w:t>
      </w:r>
      <w:r w:rsidR="00D81BB7">
        <w:rPr>
          <w:rFonts w:ascii="Cambria" w:hAnsi="Cambria"/>
          <w:sz w:val="22"/>
          <w:szCs w:val="22"/>
          <w:lang w:val="sk-SK"/>
        </w:rPr>
        <w:t> </w:t>
      </w:r>
      <w:r w:rsidRPr="00AA5735">
        <w:rPr>
          <w:rFonts w:ascii="Cambria" w:hAnsi="Cambria"/>
          <w:sz w:val="22"/>
          <w:szCs w:val="22"/>
          <w:lang w:val="sk-SK"/>
        </w:rPr>
        <w:t xml:space="preserve"> obmedzenej miere. Ťažkosti so splácaním po ukončení odkladov sa môžu týkať 0,7 % portfólia </w:t>
      </w:r>
      <w:proofErr w:type="spellStart"/>
      <w:r w:rsidRPr="00AA5735">
        <w:rPr>
          <w:rFonts w:ascii="Cambria" w:hAnsi="Cambria"/>
          <w:sz w:val="22"/>
          <w:szCs w:val="22"/>
          <w:lang w:val="sk-SK"/>
        </w:rPr>
        <w:t>retailových</w:t>
      </w:r>
      <w:proofErr w:type="spellEnd"/>
      <w:r w:rsidRPr="00AA5735">
        <w:rPr>
          <w:rFonts w:ascii="Cambria" w:hAnsi="Cambria"/>
          <w:sz w:val="22"/>
          <w:szCs w:val="22"/>
          <w:lang w:val="sk-SK"/>
        </w:rPr>
        <w:t xml:space="preserve"> úverov a 0,9 % úverov podnikom. Tieto čísla však nemusia byť konečné, keďže kríza neskončila a vysoká miera neistoty ďalej pretrváva.</w:t>
      </w:r>
    </w:p>
    <w:p w14:paraId="2A73AC81" w14:textId="77777777" w:rsidR="00AA5735" w:rsidRPr="00AA5735" w:rsidRDefault="00AA5735" w:rsidP="00AA5735">
      <w:pPr>
        <w:ind w:firstLine="708"/>
        <w:jc w:val="both"/>
        <w:rPr>
          <w:rFonts w:ascii="Cambria" w:hAnsi="Cambria"/>
          <w:sz w:val="22"/>
          <w:szCs w:val="22"/>
          <w:lang w:val="sk-SK"/>
        </w:rPr>
      </w:pPr>
    </w:p>
    <w:p w14:paraId="5EA655BB" w14:textId="32ADA2C3" w:rsidR="00AA5735" w:rsidRDefault="00AA5735" w:rsidP="00AA5735">
      <w:pPr>
        <w:ind w:firstLine="708"/>
        <w:jc w:val="both"/>
        <w:rPr>
          <w:rFonts w:ascii="Cambria" w:hAnsi="Cambria"/>
          <w:sz w:val="22"/>
          <w:szCs w:val="22"/>
          <w:lang w:val="sk-SK"/>
        </w:rPr>
      </w:pPr>
      <w:proofErr w:type="spellStart"/>
      <w:r w:rsidRPr="00AA5735">
        <w:rPr>
          <w:rFonts w:ascii="Cambria" w:hAnsi="Cambria"/>
          <w:sz w:val="22"/>
          <w:szCs w:val="22"/>
          <w:lang w:val="sk-SK"/>
        </w:rPr>
        <w:t>Koronakríza</w:t>
      </w:r>
      <w:proofErr w:type="spellEnd"/>
      <w:r w:rsidRPr="00AA5735">
        <w:rPr>
          <w:rFonts w:ascii="Cambria" w:hAnsi="Cambria"/>
          <w:sz w:val="22"/>
          <w:szCs w:val="22"/>
          <w:lang w:val="sk-SK"/>
        </w:rPr>
        <w:t xml:space="preserve"> mala negatívny vplyv na zisk bankového sektora, ktorý sa v roku 2020 medziročne prepadol o štvrtinu. V prvom štvrťroku 2021 však medziročne vzrástol vďaka poklesu </w:t>
      </w:r>
      <w:proofErr w:type="spellStart"/>
      <w:r w:rsidRPr="00AA5735">
        <w:rPr>
          <w:rFonts w:ascii="Cambria" w:hAnsi="Cambria"/>
          <w:sz w:val="22"/>
          <w:szCs w:val="22"/>
          <w:lang w:val="sk-SK"/>
        </w:rPr>
        <w:t>regulatórnych</w:t>
      </w:r>
      <w:proofErr w:type="spellEnd"/>
      <w:r w:rsidRPr="00AA5735">
        <w:rPr>
          <w:rFonts w:ascii="Cambria" w:hAnsi="Cambria"/>
          <w:sz w:val="22"/>
          <w:szCs w:val="22"/>
          <w:lang w:val="sk-SK"/>
        </w:rPr>
        <w:t xml:space="preserve"> nákladov a nižšej intenzite tvorby opravných položiek. Predpokladáme pozitívny vývoj v ziskovosti v nasledujúcich rokoch. Dôležitým faktorom vplývajúcim na zisk bánk bude najmä vývoj kreditných nákladov.</w:t>
      </w:r>
    </w:p>
    <w:p w14:paraId="4A49DAC5" w14:textId="77777777" w:rsidR="00AA5735" w:rsidRPr="00AA5735" w:rsidRDefault="00AA5735" w:rsidP="00AA5735">
      <w:pPr>
        <w:ind w:firstLine="708"/>
        <w:jc w:val="both"/>
        <w:rPr>
          <w:rFonts w:ascii="Cambria" w:hAnsi="Cambria"/>
          <w:sz w:val="22"/>
          <w:szCs w:val="22"/>
          <w:lang w:val="sk-SK"/>
        </w:rPr>
      </w:pPr>
    </w:p>
    <w:p w14:paraId="2E33C977" w14:textId="2A8AEC89" w:rsidR="00AA5735" w:rsidRDefault="00AA5735" w:rsidP="00AA5735">
      <w:pPr>
        <w:ind w:firstLine="708"/>
        <w:jc w:val="both"/>
        <w:rPr>
          <w:rFonts w:ascii="Cambria" w:hAnsi="Cambria"/>
          <w:sz w:val="22"/>
          <w:szCs w:val="22"/>
          <w:lang w:val="sk-SK"/>
        </w:rPr>
      </w:pPr>
      <w:r w:rsidRPr="00AA5735">
        <w:rPr>
          <w:rFonts w:ascii="Cambria" w:hAnsi="Cambria"/>
          <w:sz w:val="22"/>
          <w:szCs w:val="22"/>
          <w:lang w:val="sk-SK"/>
        </w:rPr>
        <w:t>Napriek neistote ohľadom kreditnej kvality portfólií by mal zostať bankový sektor odolný, a to aj v prípade nepriaznivého vývoja. Zodpovedná dividendová politika bánk ale aj viaceré opatrenia zo strany regulačných autorít prispeli k nárastu kapitálovej primeranosti. Výsledky stresového testovania ukazujú, že hoci nepriaznivý scenár ešte môže priniesť výraznejší pokles ziskov, kapitálová primeranosť by nemala klesnúť pod predkrízovú úroveň. Stresové testovanie potvrdilo aj odolnosť poisťovní.</w:t>
      </w:r>
    </w:p>
    <w:p w14:paraId="45B0FB9F" w14:textId="77777777" w:rsidR="00AA5735" w:rsidRPr="00AA5735" w:rsidRDefault="00AA5735" w:rsidP="00AA5735">
      <w:pPr>
        <w:ind w:firstLine="708"/>
        <w:jc w:val="both"/>
        <w:rPr>
          <w:rFonts w:ascii="Cambria" w:hAnsi="Cambria"/>
          <w:sz w:val="22"/>
          <w:szCs w:val="22"/>
          <w:lang w:val="sk-SK"/>
        </w:rPr>
      </w:pPr>
    </w:p>
    <w:p w14:paraId="13C4AE9A" w14:textId="4D0F5567" w:rsidR="00AA5735" w:rsidRDefault="00AA5735" w:rsidP="00AA5735">
      <w:pPr>
        <w:ind w:firstLine="708"/>
        <w:jc w:val="both"/>
        <w:rPr>
          <w:rFonts w:ascii="Cambria" w:hAnsi="Cambria"/>
          <w:sz w:val="22"/>
          <w:szCs w:val="22"/>
          <w:lang w:val="sk-SK"/>
        </w:rPr>
      </w:pPr>
      <w:r w:rsidRPr="00AA5735">
        <w:rPr>
          <w:rFonts w:ascii="Cambria" w:hAnsi="Cambria"/>
          <w:sz w:val="22"/>
          <w:szCs w:val="22"/>
          <w:lang w:val="sk-SK"/>
        </w:rPr>
        <w:t>V sektore poisťovní došlo v priebehu pandémie k poklesu novej produkcie, a to primárne v životnom poistení. Na druhej strane však karanténne opatrenia pozitívne pôsobili na poistné plnenia v poistení áut. Riziko strát z poistenia úveru a poistenia cestovných kancelárií proti insolventnosti sa zatiaľ nematerializovalo a prenáša sa do roku 2021, a to najmä v prípade ukončovania vládnych opatrení na podporu zasiahnutých sektorov. Dôležitým štrukturálnym trendom na poistnom trhu, ktorý so sebou nesie isté riziká, je zlučovanie poisťovní a</w:t>
      </w:r>
      <w:r w:rsidR="00DB57EC">
        <w:rPr>
          <w:rFonts w:ascii="Cambria" w:hAnsi="Cambria"/>
          <w:sz w:val="22"/>
          <w:szCs w:val="22"/>
          <w:lang w:val="sk-SK"/>
        </w:rPr>
        <w:t> </w:t>
      </w:r>
      <w:r w:rsidRPr="00AA5735">
        <w:rPr>
          <w:rFonts w:ascii="Cambria" w:hAnsi="Cambria"/>
          <w:sz w:val="22"/>
          <w:szCs w:val="22"/>
          <w:lang w:val="sk-SK"/>
        </w:rPr>
        <w:t xml:space="preserve"> transformácia dcérskych spoločností na pobočky poisťovní z iného členského štátu.</w:t>
      </w:r>
    </w:p>
    <w:p w14:paraId="117F7991" w14:textId="77777777" w:rsidR="00AA5735" w:rsidRPr="00AA5735" w:rsidRDefault="00AA5735" w:rsidP="00AA5735">
      <w:pPr>
        <w:ind w:firstLine="708"/>
        <w:jc w:val="both"/>
        <w:rPr>
          <w:rFonts w:ascii="Cambria" w:hAnsi="Cambria"/>
          <w:sz w:val="22"/>
          <w:szCs w:val="22"/>
          <w:lang w:val="sk-SK"/>
        </w:rPr>
      </w:pPr>
    </w:p>
    <w:p w14:paraId="7B6B11A6" w14:textId="40EB6FBE" w:rsidR="00AA5735" w:rsidRPr="00AA5735" w:rsidRDefault="00AA5735" w:rsidP="00AA5735">
      <w:pPr>
        <w:ind w:firstLine="708"/>
        <w:jc w:val="both"/>
        <w:rPr>
          <w:rFonts w:ascii="Cambria" w:hAnsi="Cambria"/>
          <w:sz w:val="22"/>
          <w:szCs w:val="22"/>
          <w:lang w:val="sk-SK"/>
        </w:rPr>
      </w:pPr>
      <w:r w:rsidRPr="00AA5735">
        <w:rPr>
          <w:rFonts w:ascii="Cambria" w:hAnsi="Cambria"/>
          <w:sz w:val="22"/>
          <w:szCs w:val="22"/>
          <w:lang w:val="sk-SK"/>
        </w:rPr>
        <w:lastRenderedPageBreak/>
        <w:t xml:space="preserve">Sektory spravujúce aktíva neboli okrem prechodných turbulencií výraznejšie zasiahnuté </w:t>
      </w:r>
      <w:proofErr w:type="spellStart"/>
      <w:r w:rsidRPr="00AA5735">
        <w:rPr>
          <w:rFonts w:ascii="Cambria" w:hAnsi="Cambria"/>
          <w:sz w:val="22"/>
          <w:szCs w:val="22"/>
          <w:lang w:val="sk-SK"/>
        </w:rPr>
        <w:t>koronakrízou</w:t>
      </w:r>
      <w:proofErr w:type="spellEnd"/>
      <w:r w:rsidRPr="00AA5735">
        <w:rPr>
          <w:rFonts w:ascii="Cambria" w:hAnsi="Cambria"/>
          <w:sz w:val="22"/>
          <w:szCs w:val="22"/>
          <w:lang w:val="sk-SK"/>
        </w:rPr>
        <w:t xml:space="preserve">. Objem príspevkov sa po prepade v prvej polovici roka 2020 dostal na predkrízovú trajektóriu. Nárast čistej hodnoty majetku v týchto sektoroch podporilo aj zhodnotenie aktív. Na pozadí prostredia nízkych úrokových sadzieb </w:t>
      </w:r>
      <w:r w:rsidR="00DB57EC" w:rsidRPr="00AA5735">
        <w:rPr>
          <w:rFonts w:ascii="Cambria" w:hAnsi="Cambria"/>
          <w:sz w:val="22"/>
          <w:szCs w:val="22"/>
          <w:lang w:val="sk-SK"/>
        </w:rPr>
        <w:t xml:space="preserve">však </w:t>
      </w:r>
      <w:r w:rsidRPr="00AA5735">
        <w:rPr>
          <w:rFonts w:ascii="Cambria" w:hAnsi="Cambria"/>
          <w:sz w:val="22"/>
          <w:szCs w:val="22"/>
          <w:lang w:val="sk-SK"/>
        </w:rPr>
        <w:t>dochádzalo k preskupeniu portfólia v prospech potenciálne výnosnejších ale aj rizikovejších aktív.</w:t>
      </w:r>
    </w:p>
    <w:p w14:paraId="559106FD" w14:textId="77777777" w:rsidR="00AA5735" w:rsidRPr="00AA5735" w:rsidRDefault="00AA5735" w:rsidP="00AA5735">
      <w:pPr>
        <w:jc w:val="both"/>
        <w:rPr>
          <w:rFonts w:ascii="Cambria" w:hAnsi="Cambria"/>
          <w:sz w:val="22"/>
          <w:szCs w:val="22"/>
          <w:lang w:val="sk-SK"/>
        </w:rPr>
      </w:pPr>
    </w:p>
    <w:sectPr w:rsidR="00AA5735" w:rsidRPr="00AA57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DB24D" w14:textId="77777777" w:rsidR="00E94E3A" w:rsidRDefault="00E94E3A" w:rsidP="00E94E3A">
      <w:r>
        <w:separator/>
      </w:r>
    </w:p>
  </w:endnote>
  <w:endnote w:type="continuationSeparator" w:id="0">
    <w:p w14:paraId="73A05D16" w14:textId="77777777" w:rsidR="00E94E3A" w:rsidRDefault="00E94E3A" w:rsidP="00E9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085788"/>
      <w:docPartObj>
        <w:docPartGallery w:val="Page Numbers (Bottom of Page)"/>
        <w:docPartUnique/>
      </w:docPartObj>
    </w:sdtPr>
    <w:sdtEndPr>
      <w:rPr>
        <w:noProof/>
      </w:rPr>
    </w:sdtEndPr>
    <w:sdtContent>
      <w:p w14:paraId="5A289884" w14:textId="77ED6C34" w:rsidR="00E94E3A" w:rsidRDefault="00E94E3A">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w:t>
        </w:r>
      </w:p>
    </w:sdtContent>
  </w:sdt>
  <w:p w14:paraId="7A8E70CE" w14:textId="77777777" w:rsidR="00E94E3A" w:rsidRDefault="00E94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82EDB" w14:textId="77777777" w:rsidR="00E94E3A" w:rsidRDefault="00E94E3A" w:rsidP="00E94E3A">
      <w:r>
        <w:separator/>
      </w:r>
    </w:p>
  </w:footnote>
  <w:footnote w:type="continuationSeparator" w:id="0">
    <w:p w14:paraId="44C25F75" w14:textId="77777777" w:rsidR="00E94E3A" w:rsidRDefault="00E94E3A" w:rsidP="00E94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A6"/>
    <w:rsid w:val="00002F51"/>
    <w:rsid w:val="000371ED"/>
    <w:rsid w:val="0009486C"/>
    <w:rsid w:val="000E73BA"/>
    <w:rsid w:val="00135B99"/>
    <w:rsid w:val="00153B43"/>
    <w:rsid w:val="001D5BA2"/>
    <w:rsid w:val="001E7E28"/>
    <w:rsid w:val="00210C2D"/>
    <w:rsid w:val="00240614"/>
    <w:rsid w:val="002D11A6"/>
    <w:rsid w:val="00317B4F"/>
    <w:rsid w:val="00345B75"/>
    <w:rsid w:val="00345C57"/>
    <w:rsid w:val="00384192"/>
    <w:rsid w:val="003C2FDF"/>
    <w:rsid w:val="004833E3"/>
    <w:rsid w:val="00491E7C"/>
    <w:rsid w:val="004D5DDD"/>
    <w:rsid w:val="00516EEA"/>
    <w:rsid w:val="00522E3C"/>
    <w:rsid w:val="00533F97"/>
    <w:rsid w:val="00556429"/>
    <w:rsid w:val="00565426"/>
    <w:rsid w:val="00565520"/>
    <w:rsid w:val="00571795"/>
    <w:rsid w:val="005F6137"/>
    <w:rsid w:val="00604D7E"/>
    <w:rsid w:val="00634101"/>
    <w:rsid w:val="006527DB"/>
    <w:rsid w:val="006836C3"/>
    <w:rsid w:val="006D708B"/>
    <w:rsid w:val="008055B5"/>
    <w:rsid w:val="00836AC8"/>
    <w:rsid w:val="0084291B"/>
    <w:rsid w:val="008563A1"/>
    <w:rsid w:val="00866F7C"/>
    <w:rsid w:val="008B6111"/>
    <w:rsid w:val="00967AFB"/>
    <w:rsid w:val="009A69AE"/>
    <w:rsid w:val="009B4B0F"/>
    <w:rsid w:val="00A039DF"/>
    <w:rsid w:val="00A07260"/>
    <w:rsid w:val="00A42C91"/>
    <w:rsid w:val="00AA5735"/>
    <w:rsid w:val="00AB1659"/>
    <w:rsid w:val="00B41E97"/>
    <w:rsid w:val="00B50A7D"/>
    <w:rsid w:val="00B53766"/>
    <w:rsid w:val="00BF49B3"/>
    <w:rsid w:val="00BF7751"/>
    <w:rsid w:val="00C117E5"/>
    <w:rsid w:val="00C554B7"/>
    <w:rsid w:val="00C726C5"/>
    <w:rsid w:val="00C77CAA"/>
    <w:rsid w:val="00C833FC"/>
    <w:rsid w:val="00D12EEA"/>
    <w:rsid w:val="00D81BB7"/>
    <w:rsid w:val="00D8385B"/>
    <w:rsid w:val="00DB57EC"/>
    <w:rsid w:val="00DD4281"/>
    <w:rsid w:val="00DD7149"/>
    <w:rsid w:val="00E3200B"/>
    <w:rsid w:val="00E43567"/>
    <w:rsid w:val="00E94E3A"/>
    <w:rsid w:val="00ED79B4"/>
    <w:rsid w:val="00F065A1"/>
    <w:rsid w:val="00F53712"/>
    <w:rsid w:val="00F65282"/>
    <w:rsid w:val="00FF57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A2A6"/>
  <w15:chartTrackingRefBased/>
  <w15:docId w15:val="{E440C541-29D4-4708-BD58-B05978E5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43"/>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153B43"/>
    <w:pPr>
      <w:keepNext/>
      <w:jc w:val="center"/>
      <w:outlineLvl w:val="0"/>
    </w:pPr>
    <w:rPr>
      <w:b/>
      <w:bCs/>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3B43"/>
    <w:rPr>
      <w:rFonts w:ascii="Times New Roman" w:eastAsia="Times New Roman" w:hAnsi="Times New Roman" w:cs="Times New Roman"/>
      <w:b/>
      <w:bCs/>
      <w:sz w:val="24"/>
      <w:szCs w:val="24"/>
    </w:rPr>
  </w:style>
  <w:style w:type="paragraph" w:styleId="BodyText">
    <w:name w:val="Body Text"/>
    <w:basedOn w:val="Normal"/>
    <w:link w:val="BodyTextChar"/>
    <w:rsid w:val="00153B43"/>
    <w:pPr>
      <w:ind w:right="903"/>
    </w:pPr>
  </w:style>
  <w:style w:type="character" w:customStyle="1" w:styleId="BodyTextChar">
    <w:name w:val="Body Text Char"/>
    <w:link w:val="BodyText"/>
    <w:rsid w:val="00153B43"/>
    <w:rPr>
      <w:rFonts w:ascii="Times New Roman" w:eastAsia="Times New Roman" w:hAnsi="Times New Roman" w:cs="Times New Roman"/>
      <w:sz w:val="24"/>
      <w:szCs w:val="24"/>
      <w:lang w:val="en-US"/>
    </w:rPr>
  </w:style>
  <w:style w:type="paragraph" w:styleId="Title">
    <w:name w:val="Title"/>
    <w:basedOn w:val="Normal"/>
    <w:link w:val="TitleChar"/>
    <w:qFormat/>
    <w:rsid w:val="00153B43"/>
    <w:pPr>
      <w:jc w:val="center"/>
    </w:pPr>
    <w:rPr>
      <w:b/>
      <w:bCs/>
      <w:lang w:val="sk-SK" w:eastAsia="sk-SK"/>
    </w:rPr>
  </w:style>
  <w:style w:type="character" w:customStyle="1" w:styleId="TitleChar">
    <w:name w:val="Title Char"/>
    <w:link w:val="Title"/>
    <w:rsid w:val="00153B43"/>
    <w:rPr>
      <w:rFonts w:ascii="Times New Roman" w:eastAsia="Times New Roman" w:hAnsi="Times New Roman" w:cs="Times New Roman"/>
      <w:b/>
      <w:bCs/>
      <w:sz w:val="24"/>
      <w:szCs w:val="24"/>
      <w:lang w:eastAsia="sk-SK"/>
    </w:rPr>
  </w:style>
  <w:style w:type="paragraph" w:styleId="BalloonText">
    <w:name w:val="Balloon Text"/>
    <w:basedOn w:val="Normal"/>
    <w:link w:val="BalloonTextChar"/>
    <w:uiPriority w:val="99"/>
    <w:semiHidden/>
    <w:unhideWhenUsed/>
    <w:rsid w:val="00D12EEA"/>
    <w:rPr>
      <w:rFonts w:ascii="Segoe UI" w:hAnsi="Segoe UI" w:cs="Segoe UI"/>
      <w:sz w:val="18"/>
      <w:szCs w:val="18"/>
    </w:rPr>
  </w:style>
  <w:style w:type="character" w:customStyle="1" w:styleId="BalloonTextChar">
    <w:name w:val="Balloon Text Char"/>
    <w:link w:val="BalloonText"/>
    <w:uiPriority w:val="99"/>
    <w:semiHidden/>
    <w:rsid w:val="00D12EEA"/>
    <w:rPr>
      <w:rFonts w:ascii="Segoe UI" w:eastAsia="Times New Roman" w:hAnsi="Segoe UI" w:cs="Segoe UI"/>
      <w:sz w:val="18"/>
      <w:szCs w:val="18"/>
      <w:lang w:val="en-US" w:eastAsia="en-US"/>
    </w:rPr>
  </w:style>
  <w:style w:type="paragraph" w:styleId="Header">
    <w:name w:val="header"/>
    <w:basedOn w:val="Normal"/>
    <w:link w:val="HeaderChar"/>
    <w:uiPriority w:val="99"/>
    <w:unhideWhenUsed/>
    <w:rsid w:val="00E94E3A"/>
    <w:pPr>
      <w:tabs>
        <w:tab w:val="center" w:pos="4536"/>
        <w:tab w:val="right" w:pos="9072"/>
      </w:tabs>
    </w:pPr>
  </w:style>
  <w:style w:type="character" w:customStyle="1" w:styleId="HeaderChar">
    <w:name w:val="Header Char"/>
    <w:basedOn w:val="DefaultParagraphFont"/>
    <w:link w:val="Header"/>
    <w:uiPriority w:val="99"/>
    <w:rsid w:val="00E94E3A"/>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E94E3A"/>
    <w:pPr>
      <w:tabs>
        <w:tab w:val="center" w:pos="4536"/>
        <w:tab w:val="right" w:pos="9072"/>
      </w:tabs>
    </w:pPr>
  </w:style>
  <w:style w:type="character" w:customStyle="1" w:styleId="FooterChar">
    <w:name w:val="Footer Char"/>
    <w:basedOn w:val="DefaultParagraphFont"/>
    <w:link w:val="Footer"/>
    <w:uiPriority w:val="99"/>
    <w:rsid w:val="00E94E3A"/>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9F94-6693-4D84-BDA3-32BD3B18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Madelova</dc:creator>
  <cp:keywords/>
  <dc:description/>
  <cp:lastModifiedBy>Jurča</cp:lastModifiedBy>
  <cp:revision>31</cp:revision>
  <cp:lastPrinted>2018-09-21T12:01:00Z</cp:lastPrinted>
  <dcterms:created xsi:type="dcterms:W3CDTF">2018-09-21T12:07:00Z</dcterms:created>
  <dcterms:modified xsi:type="dcterms:W3CDTF">2021-06-18T11:15:00Z</dcterms:modified>
</cp:coreProperties>
</file>