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4F" w:rsidRDefault="00201C4F">
      <w:pPr>
        <w:pStyle w:val="Nzov"/>
      </w:pPr>
      <w:r>
        <w:t>Dôvodová správa</w:t>
      </w:r>
    </w:p>
    <w:p w:rsidR="00201C4F" w:rsidRDefault="00201C4F">
      <w:pPr>
        <w:jc w:val="center"/>
        <w:rPr>
          <w:b/>
          <w:bCs/>
        </w:rPr>
      </w:pPr>
    </w:p>
    <w:p w:rsidR="003E553C" w:rsidRDefault="003E553C">
      <w:pPr>
        <w:jc w:val="center"/>
        <w:rPr>
          <w:b/>
          <w:bCs/>
        </w:rPr>
      </w:pPr>
    </w:p>
    <w:p w:rsidR="00201C4F" w:rsidRDefault="00201C4F" w:rsidP="006F694F">
      <w:pPr>
        <w:pStyle w:val="Podtitul"/>
        <w:jc w:val="both"/>
      </w:pPr>
      <w:r>
        <w:t>Všeobecná časť</w:t>
      </w:r>
    </w:p>
    <w:p w:rsidR="00201C4F" w:rsidRDefault="00201C4F">
      <w:pPr>
        <w:ind w:left="360"/>
        <w:jc w:val="both"/>
      </w:pPr>
    </w:p>
    <w:p w:rsidR="005F5C0F" w:rsidRDefault="00201C4F" w:rsidP="0015594B">
      <w:pPr>
        <w:pStyle w:val="Zkladntext2"/>
      </w:pPr>
      <w:r>
        <w:tab/>
      </w:r>
      <w:r w:rsidR="005F5EA2" w:rsidRPr="0015594B">
        <w:t>C</w:t>
      </w:r>
      <w:r w:rsidR="007B48DA" w:rsidRPr="0015594B">
        <w:t xml:space="preserve">ieľom predloženého návrhu </w:t>
      </w:r>
      <w:r w:rsidR="004012D7">
        <w:t xml:space="preserve">zákona, ktorým sa </w:t>
      </w:r>
      <w:r w:rsidR="00EF71CE" w:rsidRPr="0015594B">
        <w:t>dopĺňa zákon</w:t>
      </w:r>
      <w:r w:rsidR="009D54BC" w:rsidRPr="0015594B">
        <w:t xml:space="preserve"> č. </w:t>
      </w:r>
      <w:r w:rsidR="009D54BC" w:rsidRPr="0015594B">
        <w:rPr>
          <w:color w:val="000000"/>
        </w:rPr>
        <w:t>67/2020 Z. z. o niektorých mimoriadnych opatreniach vo finančnej oblasti v súvislosti so šírením nebezpečnej nákazlivej ľudskej choroby COVID-19 v znení neskorších predpisov</w:t>
      </w:r>
      <w:r w:rsidR="004E5E91">
        <w:rPr>
          <w:color w:val="000000"/>
        </w:rPr>
        <w:t xml:space="preserve"> (ďalej </w:t>
      </w:r>
      <w:r w:rsidR="00E3779B">
        <w:rPr>
          <w:color w:val="000000"/>
        </w:rPr>
        <w:t xml:space="preserve">len </w:t>
      </w:r>
      <w:r w:rsidR="004E5E91">
        <w:rPr>
          <w:color w:val="000000"/>
        </w:rPr>
        <w:t>„zákon</w:t>
      </w:r>
      <w:r w:rsidR="00E3779B">
        <w:rPr>
          <w:color w:val="000000"/>
        </w:rPr>
        <w:t>“</w:t>
      </w:r>
      <w:r w:rsidR="004E5E91">
        <w:rPr>
          <w:color w:val="000000"/>
        </w:rPr>
        <w:t>)</w:t>
      </w:r>
      <w:r w:rsidR="001720AC" w:rsidRPr="0015594B">
        <w:rPr>
          <w:color w:val="000000"/>
        </w:rPr>
        <w:t xml:space="preserve">, </w:t>
      </w:r>
      <w:r w:rsidR="009D54BC" w:rsidRPr="0015594B">
        <w:t>je rozšíriť finančné opa</w:t>
      </w:r>
      <w:r w:rsidR="00D57463" w:rsidRPr="0015594B">
        <w:t>t</w:t>
      </w:r>
      <w:r w:rsidR="009D54BC" w:rsidRPr="0015594B">
        <w:t xml:space="preserve">renia na zmiernenie vplyvov </w:t>
      </w:r>
      <w:proofErr w:type="spellStart"/>
      <w:r w:rsidR="009D54BC" w:rsidRPr="0015594B">
        <w:t>koronakrízy</w:t>
      </w:r>
      <w:proofErr w:type="spellEnd"/>
      <w:r w:rsidR="009D54BC" w:rsidRPr="0015594B">
        <w:t xml:space="preserve"> o ďalšie opatreni</w:t>
      </w:r>
      <w:r w:rsidR="00C22568" w:rsidRPr="0015594B">
        <w:t>e</w:t>
      </w:r>
      <w:r w:rsidR="009D54BC" w:rsidRPr="0015594B">
        <w:t>, ktorým</w:t>
      </w:r>
      <w:r w:rsidR="005F5C0F" w:rsidRPr="0015594B">
        <w:t xml:space="preserve"> </w:t>
      </w:r>
      <w:r w:rsidR="00C22568" w:rsidRPr="0015594B">
        <w:t xml:space="preserve">je </w:t>
      </w:r>
      <w:r w:rsidR="00D3539A">
        <w:t xml:space="preserve">finančná pomoc na zabezpečenie likvidity cestovných kancelárií. </w:t>
      </w:r>
    </w:p>
    <w:p w:rsidR="00441177" w:rsidRDefault="00441177" w:rsidP="0015594B">
      <w:pPr>
        <w:pStyle w:val="Zkladntext2"/>
      </w:pPr>
    </w:p>
    <w:p w:rsidR="00441177" w:rsidRDefault="00441177" w:rsidP="00F0081E">
      <w:pPr>
        <w:pStyle w:val="Zkladntext2"/>
        <w:ind w:firstLine="709"/>
      </w:pPr>
      <w:r w:rsidRPr="00FC5DEC">
        <w:t>V marci</w:t>
      </w:r>
      <w:r w:rsidRPr="00A06D60">
        <w:t xml:space="preserve"> 2020 ochromila trh cestovného ruchu, a teda aj trh cestovných kancelárií, pandémia </w:t>
      </w:r>
      <w:proofErr w:type="spellStart"/>
      <w:r w:rsidRPr="00A06D60">
        <w:t>koronavírusu</w:t>
      </w:r>
      <w:proofErr w:type="spellEnd"/>
      <w:r w:rsidRPr="00A06D60">
        <w:t>. Cestovné kancelárie</w:t>
      </w:r>
      <w:r w:rsidRPr="00F0081E">
        <w:t xml:space="preserve"> do 11.</w:t>
      </w:r>
      <w:r w:rsidR="00B2452B">
        <w:t>0</w:t>
      </w:r>
      <w:r w:rsidRPr="00F0081E">
        <w:t xml:space="preserve">3.2020 štandardne ponúkali produkty v rámci </w:t>
      </w:r>
      <w:r>
        <w:t>svojich podnikateľských aktivít, pričom od klientov pri uzatváraní zmluvy inkasovali zálohy. Klienti v</w:t>
      </w:r>
      <w:r w:rsidR="001B1433">
        <w:t xml:space="preserve"> danom </w:t>
      </w:r>
      <w:r>
        <w:t>období re</w:t>
      </w:r>
      <w:r w:rsidR="00A06D60">
        <w:t>agovali na ponuky</w:t>
      </w:r>
      <w:r>
        <w:t xml:space="preserve"> zliav, ktoré im umožňovali čerpať rôzne benefity ponúkané dodávateľmi jednotlivých služieb. Podmienkou </w:t>
      </w:r>
      <w:r w:rsidR="00F0081E">
        <w:t>uplatnenia</w:t>
      </w:r>
      <w:r w:rsidR="00B2452B">
        <w:t xml:space="preserve"> zliav bolo uhradenie</w:t>
      </w:r>
      <w:r>
        <w:t xml:space="preserve"> zálohy. Aby mohli cestovné kancelárie zľavy poskytnúť, museli</w:t>
      </w:r>
      <w:r w:rsidR="00F0081E">
        <w:t xml:space="preserve"> ich získať od dodávateľov služieb, obvykle od zahraničných partnerov alebo priamo od zahraničných hotelov. Cestovné kancelárie si splnili svoju zmluvnú povinnosť a tak,</w:t>
      </w:r>
      <w:r w:rsidR="00B2452B">
        <w:t xml:space="preserve"> aby </w:t>
      </w:r>
      <w:r w:rsidR="00A06D60">
        <w:t>mohla byť</w:t>
      </w:r>
      <w:r w:rsidR="00F0081E">
        <w:t xml:space="preserve"> zľava zrealizovaná, cestovné kancelárie poslali zálohy svojich klientov na účty zahraničný</w:t>
      </w:r>
      <w:r w:rsidR="001B1433">
        <w:t>m</w:t>
      </w:r>
      <w:r w:rsidR="00F0081E">
        <w:t xml:space="preserve"> partnerom a hotelom.</w:t>
      </w:r>
      <w:r w:rsidR="00A06D60">
        <w:t xml:space="preserve"> </w:t>
      </w:r>
      <w:r w:rsidR="00F0081E">
        <w:t>Celosvetová pandémia vša</w:t>
      </w:r>
      <w:r w:rsidR="00A06D60">
        <w:t>k obvyklý tok peňazí za</w:t>
      </w:r>
      <w:r w:rsidR="001B1433">
        <w:t xml:space="preserve">stavila </w:t>
      </w:r>
      <w:r w:rsidR="00A06D60">
        <w:t xml:space="preserve">a cestovné kancelárie nedokážu klientom vrátiť zálohy na </w:t>
      </w:r>
      <w:r w:rsidR="001F060E">
        <w:t>nezrealizované</w:t>
      </w:r>
      <w:r w:rsidR="00A06D60">
        <w:t>, resp. stornované zájazdy.</w:t>
      </w:r>
    </w:p>
    <w:p w:rsidR="003749A2" w:rsidRDefault="003749A2" w:rsidP="00F0081E">
      <w:pPr>
        <w:pStyle w:val="Zkladntext2"/>
        <w:ind w:firstLine="709"/>
      </w:pPr>
    </w:p>
    <w:p w:rsidR="003749A2" w:rsidRDefault="00A06D60" w:rsidP="00B2452B">
      <w:pPr>
        <w:pStyle w:val="Zkladntext2"/>
        <w:ind w:firstLine="709"/>
      </w:pPr>
      <w:r w:rsidRPr="006F36CF">
        <w:t xml:space="preserve">Nakoľko </w:t>
      </w:r>
      <w:r>
        <w:t xml:space="preserve">pandémia tohto </w:t>
      </w:r>
      <w:r w:rsidRPr="006F36CF">
        <w:t>vírusu spôsob</w:t>
      </w:r>
      <w:r>
        <w:t xml:space="preserve">ila a ešte stále spôsobuje rozsiahle </w:t>
      </w:r>
      <w:r w:rsidRPr="006F36CF">
        <w:t xml:space="preserve">negatívne dopady na európsku aj domácu ekonomiku, je nevyhnutné </w:t>
      </w:r>
      <w:r>
        <w:t xml:space="preserve">ďalej </w:t>
      </w:r>
      <w:r w:rsidRPr="006F36CF">
        <w:t>prij</w:t>
      </w:r>
      <w:r>
        <w:t xml:space="preserve">ímať </w:t>
      </w:r>
      <w:r w:rsidRPr="006F36CF">
        <w:t xml:space="preserve">opatrenia na zmiernenie týchto dopadov </w:t>
      </w:r>
      <w:r>
        <w:t xml:space="preserve">na hospodárstvo SR a na podnikateľské prostredie. </w:t>
      </w:r>
      <w:r w:rsidR="003749A2">
        <w:t>N</w:t>
      </w:r>
      <w:r w:rsidR="00C73A48">
        <w:t xml:space="preserve">ovela </w:t>
      </w:r>
      <w:r w:rsidR="003749A2">
        <w:t>zákona č. 170/</w:t>
      </w:r>
      <w:r w:rsidR="00C73A48">
        <w:t xml:space="preserve">2018 Z. z. o zájazdoch priniesla </w:t>
      </w:r>
      <w:r w:rsidR="001B1433">
        <w:t xml:space="preserve">čiastočné </w:t>
      </w:r>
      <w:r w:rsidR="00C73A48">
        <w:t>riešenie vo forme ochrany práv spotrebiteľov, a to vrátením zálohových platieb</w:t>
      </w:r>
      <w:r w:rsidR="00531A39">
        <w:t xml:space="preserve"> vo forme</w:t>
      </w:r>
      <w:r>
        <w:t xml:space="preserve"> </w:t>
      </w:r>
      <w:r w:rsidR="00531A39">
        <w:t xml:space="preserve">vystavených oznámení o náhradnom zájazde v zmysle </w:t>
      </w:r>
      <w:r w:rsidR="00B2452B">
        <w:t xml:space="preserve"> § </w:t>
      </w:r>
      <w:r w:rsidR="00531A39">
        <w:t>33a</w:t>
      </w:r>
      <w:r w:rsidR="001B1433">
        <w:t xml:space="preserve"> zákona</w:t>
      </w:r>
      <w:r w:rsidR="00531A39">
        <w:t xml:space="preserve">. </w:t>
      </w:r>
      <w:r w:rsidR="00B2452B">
        <w:t>D</w:t>
      </w:r>
      <w:r w:rsidR="001F060E">
        <w:t>ohodnúť sa s klientom na náhradnom zájazde sú však cestovné ka</w:t>
      </w:r>
      <w:r w:rsidR="002E6698">
        <w:t>ncelárie povinné do 31.08.</w:t>
      </w:r>
      <w:r w:rsidR="001F060E">
        <w:t>2021. Ak k takejto dohod</w:t>
      </w:r>
      <w:r w:rsidR="00B2452B">
        <w:t>e v stanovenom termíne nedôjde</w:t>
      </w:r>
      <w:r w:rsidR="00EF387A">
        <w:t>,</w:t>
      </w:r>
      <w:r w:rsidR="00B2452B">
        <w:t xml:space="preserve"> </w:t>
      </w:r>
      <w:r w:rsidR="001F060E">
        <w:t xml:space="preserve">do nasledujúcich 14 dní sú cestovné kancelárie povinné vrátiť klientom plné zálohy. Celkový objem takýchto záloh predstavuje </w:t>
      </w:r>
      <w:r w:rsidR="00B2452B">
        <w:t>cca 60</w:t>
      </w:r>
      <w:r w:rsidR="00E33E76">
        <w:t xml:space="preserve"> mil. eur.</w:t>
      </w:r>
    </w:p>
    <w:p w:rsidR="0051577C" w:rsidRDefault="0051577C" w:rsidP="00F0081E">
      <w:pPr>
        <w:pStyle w:val="Zkladntext2"/>
        <w:ind w:firstLine="709"/>
      </w:pPr>
    </w:p>
    <w:p w:rsidR="0051577C" w:rsidRDefault="00B13F61" w:rsidP="0051577C">
      <w:pPr>
        <w:ind w:firstLine="709"/>
        <w:jc w:val="both"/>
      </w:pPr>
      <w:r>
        <w:t>N</w:t>
      </w:r>
      <w:r w:rsidR="0051577C">
        <w:t xml:space="preserve">ávrhom zákona sa preto rieši nové opatrenie finančnej pomoci pre cestovné kancelárie formou poskytnutia návratných finančných výpomocí, ktoré im umožnia preklenúť časové obdobie aktuálneho nedostatku likvidity potrebnej na vrátenie záloh klientom za stornované zájazdy, resp. na zaplatenie nových záloh na </w:t>
      </w:r>
      <w:proofErr w:type="spellStart"/>
      <w:r w:rsidR="0051577C">
        <w:t>novozazmluvn</w:t>
      </w:r>
      <w:r w:rsidR="00B2452B">
        <w:t>ené</w:t>
      </w:r>
      <w:proofErr w:type="spellEnd"/>
      <w:r w:rsidR="00B2452B">
        <w:t xml:space="preserve"> hotely v iných destináciách</w:t>
      </w:r>
      <w:r w:rsidR="0051577C">
        <w:t xml:space="preserve"> ako boli pôvodne </w:t>
      </w:r>
      <w:proofErr w:type="spellStart"/>
      <w:r w:rsidR="0051577C">
        <w:t>zazmluvnené</w:t>
      </w:r>
      <w:proofErr w:type="spellEnd"/>
      <w:r w:rsidR="0051577C">
        <w:t>, ak sa s klientmi dohodnú na náhradných zájazdoch do iných destinácií. Do uplynutia konečnej doby splatnosti návratných finančných výpomocí</w:t>
      </w:r>
      <w:r w:rsidR="00614515">
        <w:t xml:space="preserve"> sa cestovným kanceláriám podarí</w:t>
      </w:r>
      <w:r w:rsidR="0051577C">
        <w:t xml:space="preserve"> vysporiadať doterajšie zálohy so zahraničnými hotelmi, a to buď ich využitím v budúcom (náhradnom) ubytovacom termíne</w:t>
      </w:r>
      <w:r w:rsidR="00B2452B">
        <w:t>,</w:t>
      </w:r>
      <w:r w:rsidR="0051577C">
        <w:t xml:space="preserve"> alebo ich vrátením cestovnej kancelárií, ak sa so zahraničným hotelom nedohodne ubytovanie v náhradnom termíne. Na základe toho bude možné tieto návratné finančné výpomoci postupne, ale aj parciálne cez predčasné splátky reálne splácať. </w:t>
      </w:r>
    </w:p>
    <w:p w:rsidR="00A06D60" w:rsidRDefault="00A06D60" w:rsidP="0044240E">
      <w:pPr>
        <w:pStyle w:val="Zkladntext2"/>
      </w:pPr>
    </w:p>
    <w:p w:rsidR="00C73A48" w:rsidRDefault="00272E17" w:rsidP="00F0081E">
      <w:pPr>
        <w:pStyle w:val="Zkladntext2"/>
        <w:ind w:firstLine="709"/>
      </w:pPr>
      <w:r>
        <w:t>Je potr</w:t>
      </w:r>
      <w:r w:rsidR="00F66B96">
        <w:t xml:space="preserve">ebné zdôrazniť, že návrh opatrenia </w:t>
      </w:r>
      <w:r>
        <w:t xml:space="preserve">nerieši problematiku prevádzkových nákladov cestovných kancelárií, ale zabezpečuje </w:t>
      </w:r>
      <w:r w:rsidR="00F66B96">
        <w:t>likviditu cestovných kancelárií pre potreby vrátenia záloh spotrebiteľom, ak pre nich nebudú zrealizované náhradné zájazdy.</w:t>
      </w:r>
      <w:r>
        <w:t xml:space="preserve"> Cestovné kancelárie pomocou návratnej finančnej výpomoci vyplatia klientom všetky nevyčerpané zálohy za rok 2020 a návratnú finančnú výpomoc budú splácať postupným využitím kapacít</w:t>
      </w:r>
      <w:r w:rsidR="00FC5DEC">
        <w:t xml:space="preserve"> v</w:t>
      </w:r>
      <w:r>
        <w:t xml:space="preserve"> zahraničí, kde </w:t>
      </w:r>
      <w:r>
        <w:lastRenderedPageBreak/>
        <w:t xml:space="preserve">sú zrealizované </w:t>
      </w:r>
      <w:proofErr w:type="spellStart"/>
      <w:r>
        <w:t>predplatby</w:t>
      </w:r>
      <w:proofErr w:type="spellEnd"/>
      <w:r>
        <w:t xml:space="preserve"> z roku 2020.</w:t>
      </w:r>
      <w:r w:rsidR="0044240E">
        <w:t xml:space="preserve"> V</w:t>
      </w:r>
      <w:r>
        <w:t xml:space="preserve"> </w:t>
      </w:r>
      <w:r w:rsidR="0044240E">
        <w:t xml:space="preserve">súčasnej dobe sa odhaduje, že </w:t>
      </w:r>
      <w:r w:rsidR="00B2452B">
        <w:t>82 cestovných kancelárií</w:t>
      </w:r>
      <w:r w:rsidR="00E33E76">
        <w:t xml:space="preserve"> mus</w:t>
      </w:r>
      <w:r w:rsidR="00EF387A">
        <w:t xml:space="preserve">í </w:t>
      </w:r>
      <w:r w:rsidR="0044240E">
        <w:t xml:space="preserve">vyplatiť zálohové platby </w:t>
      </w:r>
      <w:r w:rsidR="00FD7E4E">
        <w:t xml:space="preserve">viac než </w:t>
      </w:r>
      <w:r w:rsidR="0044240E">
        <w:t>200 000 kliento</w:t>
      </w:r>
      <w:r w:rsidR="00EF387A">
        <w:t>m</w:t>
      </w:r>
      <w:r w:rsidR="0044240E">
        <w:t xml:space="preserve">. </w:t>
      </w:r>
    </w:p>
    <w:p w:rsidR="0044240E" w:rsidRDefault="0044240E" w:rsidP="00F0081E">
      <w:pPr>
        <w:pStyle w:val="Zkladntext2"/>
        <w:ind w:firstLine="709"/>
      </w:pPr>
    </w:p>
    <w:p w:rsidR="00B13F61" w:rsidRDefault="00B13F61" w:rsidP="00F0081E">
      <w:pPr>
        <w:pStyle w:val="Zkladntext2"/>
        <w:ind w:firstLine="709"/>
      </w:pPr>
      <w:r>
        <w:t xml:space="preserve">Návrhom zákona sa zároveň ako opatrenie na zmiernenie následkov núdzového stavu, ktorým sa obmedzili možnosti realizovania viacerých aktivít vrátane použitia podielu zaplatenej dane, rieši posun lehoty pre použitie prostriedkov z asignácie 2 % zo zaplatenej dane z príjmov za rok 2019 o jeden kalendárny rok, </w:t>
      </w:r>
      <w:r w:rsidR="00534CE1">
        <w:t xml:space="preserve">to znamená až </w:t>
      </w:r>
      <w:r>
        <w:t>do konca roka 2022.</w:t>
      </w:r>
    </w:p>
    <w:p w:rsidR="00B13F61" w:rsidRDefault="00B13F61" w:rsidP="00F0081E">
      <w:pPr>
        <w:pStyle w:val="Zkladntext2"/>
        <w:ind w:firstLine="709"/>
      </w:pPr>
    </w:p>
    <w:p w:rsidR="0044240E" w:rsidRDefault="00F66B96" w:rsidP="00F0081E">
      <w:pPr>
        <w:pStyle w:val="Zkladntext2"/>
        <w:ind w:firstLine="709"/>
      </w:pPr>
      <w:r>
        <w:t>P</w:t>
      </w:r>
      <w:r w:rsidR="0044240E">
        <w:t>oskytnutie návra</w:t>
      </w:r>
      <w:r w:rsidR="00B2452B">
        <w:t xml:space="preserve">tnej finančnej výpomoci </w:t>
      </w:r>
      <w:r w:rsidR="0044240E">
        <w:t>nebude mať v</w:t>
      </w:r>
      <w:r>
        <w:t>plyv na rozpočet verenej správy, pretože ide o návratnú pomoc, ktorá sa poskytuje zo štátnych finančných aktív.</w:t>
      </w:r>
      <w:r w:rsidR="002E6698">
        <w:t xml:space="preserve"> </w:t>
      </w:r>
      <w:r w:rsidR="00F819ED" w:rsidRPr="00F819ED">
        <w:t>Opatrenie bude mať pozitívny vplyv na podnikateľské prostredie, pretože umožní cestovným kanceláriám prekonať</w:t>
      </w:r>
      <w:r>
        <w:t xml:space="preserve"> aktuálny nedostatok likvidity.</w:t>
      </w:r>
      <w:r w:rsidR="00FC5DEC" w:rsidRPr="00FC5DEC">
        <w:t xml:space="preserve"> </w:t>
      </w:r>
      <w:r w:rsidR="00534CE1">
        <w:t xml:space="preserve">Posun lehoty pre použitie prostriedkov z asignácie 2 % zo zaplatenej dane z príjmov za rok 2019 nebude mať vplyv na rozpočet verenej správy ani iné vplyvy. </w:t>
      </w:r>
      <w:r w:rsidR="00FC5DEC" w:rsidRPr="00F44CAF">
        <w:t>Prijatie</w:t>
      </w:r>
      <w:r w:rsidR="00FC5DEC">
        <w:t xml:space="preserve"> zákona nebude mať vplyvy na manželstvo, rodičovstvo a rodinu, nebude mať sociálne vplyvy, vplyvy na životné prostredie, na informatizáciu spoločnosti ani na služby verejnej správy pre občana.</w:t>
      </w:r>
    </w:p>
    <w:p w:rsidR="00C73A48" w:rsidRDefault="00C73A48" w:rsidP="00F0081E">
      <w:pPr>
        <w:pStyle w:val="Zkladntext2"/>
        <w:ind w:firstLine="709"/>
      </w:pPr>
    </w:p>
    <w:p w:rsidR="00EC2FD8" w:rsidRPr="002B20DE" w:rsidRDefault="00EC2FD8" w:rsidP="00EC2FD8">
      <w:pPr>
        <w:pStyle w:val="Zarkazkladnhotextu"/>
        <w:spacing w:after="0"/>
        <w:ind w:left="0" w:firstLine="709"/>
        <w:jc w:val="both"/>
      </w:pPr>
      <w:r>
        <w:t xml:space="preserve">Návrh zákona je </w:t>
      </w:r>
      <w:r w:rsidRPr="00A86CEC">
        <w:t xml:space="preserve">v súlade s Ústavou Slovenskej republiky, ústavnými zákonmi </w:t>
      </w:r>
      <w:r>
        <w:t>a nálezmi Ústavného súdu Slovenskej republiky, s</w:t>
      </w:r>
      <w:r w:rsidRPr="00A86CEC">
        <w:t xml:space="preserve"> </w:t>
      </w:r>
      <w:r>
        <w:t>inými</w:t>
      </w:r>
      <w:r w:rsidRPr="00A86CEC">
        <w:t xml:space="preserve"> </w:t>
      </w:r>
      <w:r>
        <w:t>zákonmi a</w:t>
      </w:r>
      <w:r w:rsidRPr="00A86CEC">
        <w:t xml:space="preserve"> medzinárodnými zmluvami a inými medzinárodnými dokumentmi, ktorými je Slove</w:t>
      </w:r>
      <w:r>
        <w:t>nská republika viazaná, a s práv</w:t>
      </w:r>
      <w:r w:rsidRPr="00A86CEC">
        <w:t>om Európskej únie.</w:t>
      </w:r>
    </w:p>
    <w:p w:rsidR="00C73A48" w:rsidRDefault="00C73A48" w:rsidP="0044240E">
      <w:pPr>
        <w:pStyle w:val="Zkladntext2"/>
      </w:pPr>
    </w:p>
    <w:p w:rsidR="00F0081E" w:rsidRDefault="0068109C" w:rsidP="0015594B">
      <w:pPr>
        <w:pStyle w:val="Zkladntext2"/>
      </w:pPr>
      <w:r>
        <w:tab/>
      </w:r>
      <w:r>
        <w:rPr>
          <w:color w:val="000000"/>
        </w:rPr>
        <w:t>Účinnosť návrhu zákona sa navrhuje dňom vyhlásenia.</w:t>
      </w:r>
      <w:r w:rsidR="00F0081E">
        <w:tab/>
      </w:r>
    </w:p>
    <w:p w:rsidR="006107C1" w:rsidRPr="007F0AB4" w:rsidRDefault="00FD7E4E" w:rsidP="006107C1">
      <w:pPr>
        <w:rPr>
          <w:b/>
          <w:bCs/>
          <w:sz w:val="28"/>
          <w:szCs w:val="28"/>
        </w:rPr>
      </w:pPr>
      <w:r>
        <w:br w:type="page"/>
      </w:r>
      <w:r w:rsidR="006107C1" w:rsidRPr="007F0AB4">
        <w:rPr>
          <w:b/>
          <w:bCs/>
          <w:sz w:val="28"/>
          <w:szCs w:val="28"/>
        </w:rPr>
        <w:lastRenderedPageBreak/>
        <w:t>Doložka vybraných vplyvov</w:t>
      </w:r>
    </w:p>
    <w:p w:rsidR="006107C1" w:rsidRPr="0073005A" w:rsidRDefault="006107C1" w:rsidP="006107C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6107C1" w:rsidRPr="0073005A" w:rsidTr="00D21DAA">
        <w:tc>
          <w:tcPr>
            <w:tcW w:w="9180" w:type="dxa"/>
            <w:gridSpan w:val="10"/>
            <w:tcBorders>
              <w:bottom w:val="single" w:sz="4" w:space="0" w:color="FFFFFF" w:themeColor="background1"/>
            </w:tcBorders>
            <w:shd w:val="clear" w:color="auto" w:fill="E2E2E2"/>
          </w:tcPr>
          <w:p w:rsidR="006107C1" w:rsidRPr="0073005A" w:rsidRDefault="006107C1" w:rsidP="006107C1">
            <w:pPr>
              <w:pStyle w:val="Odsekzoznamu"/>
              <w:numPr>
                <w:ilvl w:val="0"/>
                <w:numId w:val="16"/>
              </w:numPr>
              <w:ind w:left="426"/>
              <w:rPr>
                <w:rFonts w:ascii="Times New Roman" w:hAnsi="Times New Roman"/>
                <w:b/>
              </w:rPr>
            </w:pPr>
            <w:r w:rsidRPr="0073005A">
              <w:rPr>
                <w:rFonts w:ascii="Times New Roman" w:hAnsi="Times New Roman"/>
                <w:b/>
              </w:rPr>
              <w:t>Základné údaje</w:t>
            </w:r>
          </w:p>
        </w:tc>
      </w:tr>
      <w:tr w:rsidR="006107C1" w:rsidRPr="0073005A" w:rsidTr="00D21DAA">
        <w:tc>
          <w:tcPr>
            <w:tcW w:w="9180" w:type="dxa"/>
            <w:gridSpan w:val="10"/>
            <w:tcBorders>
              <w:bottom w:val="single" w:sz="4" w:space="0" w:color="FFFFFF" w:themeColor="background1"/>
            </w:tcBorders>
            <w:shd w:val="clear" w:color="auto" w:fill="E2E2E2"/>
          </w:tcPr>
          <w:p w:rsidR="006107C1" w:rsidRPr="0073005A" w:rsidRDefault="006107C1" w:rsidP="00D21DAA">
            <w:pPr>
              <w:pStyle w:val="Odsekzoznamu"/>
              <w:ind w:left="142"/>
              <w:rPr>
                <w:rFonts w:ascii="Times New Roman" w:hAnsi="Times New Roman"/>
                <w:b/>
              </w:rPr>
            </w:pPr>
            <w:r w:rsidRPr="0073005A">
              <w:rPr>
                <w:rFonts w:ascii="Times New Roman" w:hAnsi="Times New Roman"/>
                <w:b/>
              </w:rPr>
              <w:t>Názov materiálu</w:t>
            </w:r>
          </w:p>
        </w:tc>
      </w:tr>
      <w:tr w:rsidR="006107C1" w:rsidRPr="0073005A" w:rsidTr="00D21DAA">
        <w:tc>
          <w:tcPr>
            <w:tcW w:w="9180" w:type="dxa"/>
            <w:gridSpan w:val="10"/>
            <w:tcBorders>
              <w:top w:val="single" w:sz="4" w:space="0" w:color="FFFFFF" w:themeColor="background1"/>
            </w:tcBorders>
          </w:tcPr>
          <w:p w:rsidR="006107C1" w:rsidRPr="00CA6952" w:rsidRDefault="006107C1" w:rsidP="00D21DAA">
            <w:r>
              <w:t xml:space="preserve">Návrh zákona, </w:t>
            </w:r>
            <w:r w:rsidRPr="00CA6952">
              <w:t>ktorým sa dopĺňa zákon č. 67/2020 Z. z. o niektorých mimoriadnych opatreniach vo finančnej oblasti v súvislosti so šírením nebezpečnej nákazlivej ľudskej choroby COVID-19 v znení neskorších predpisov</w:t>
            </w:r>
          </w:p>
          <w:p w:rsidR="006107C1" w:rsidRPr="0073005A" w:rsidRDefault="006107C1" w:rsidP="00D21DAA"/>
        </w:tc>
      </w:tr>
      <w:tr w:rsidR="006107C1" w:rsidRPr="0073005A" w:rsidTr="00D21DAA">
        <w:tc>
          <w:tcPr>
            <w:tcW w:w="9180" w:type="dxa"/>
            <w:gridSpan w:val="10"/>
            <w:tcBorders>
              <w:bottom w:val="single" w:sz="4" w:space="0" w:color="FFFFFF" w:themeColor="background1"/>
            </w:tcBorders>
            <w:shd w:val="clear" w:color="auto" w:fill="E2E2E2"/>
          </w:tcPr>
          <w:p w:rsidR="006107C1" w:rsidRPr="0073005A" w:rsidRDefault="006107C1" w:rsidP="00D21DAA">
            <w:pPr>
              <w:pStyle w:val="Odsekzoznamu"/>
              <w:ind w:left="142"/>
              <w:rPr>
                <w:rFonts w:ascii="Times New Roman" w:hAnsi="Times New Roman"/>
                <w:b/>
              </w:rPr>
            </w:pPr>
            <w:r w:rsidRPr="0073005A">
              <w:rPr>
                <w:rFonts w:ascii="Times New Roman" w:hAnsi="Times New Roman"/>
                <w:b/>
              </w:rPr>
              <w:t>Predkladateľ (a spolupredkladateľ)</w:t>
            </w:r>
          </w:p>
        </w:tc>
      </w:tr>
      <w:tr w:rsidR="006107C1" w:rsidRPr="0073005A" w:rsidTr="00D21DAA">
        <w:tc>
          <w:tcPr>
            <w:tcW w:w="9180" w:type="dxa"/>
            <w:gridSpan w:val="10"/>
            <w:tcBorders>
              <w:top w:val="single" w:sz="4" w:space="0" w:color="FFFFFF" w:themeColor="background1"/>
            </w:tcBorders>
            <w:shd w:val="clear" w:color="auto" w:fill="FFFFFF" w:themeFill="background1"/>
          </w:tcPr>
          <w:p w:rsidR="006107C1" w:rsidRPr="0073005A" w:rsidRDefault="006107C1" w:rsidP="00D21DAA">
            <w:r w:rsidRPr="0073005A">
              <w:t>Ministerstvo financií Slovenskej republiky</w:t>
            </w:r>
          </w:p>
          <w:p w:rsidR="006107C1" w:rsidRPr="0073005A" w:rsidRDefault="006107C1" w:rsidP="00D21DAA"/>
        </w:tc>
      </w:tr>
      <w:tr w:rsidR="006107C1" w:rsidRPr="0073005A" w:rsidTr="00D21DAA">
        <w:tc>
          <w:tcPr>
            <w:tcW w:w="4212" w:type="dxa"/>
            <w:gridSpan w:val="2"/>
            <w:vMerge w:val="restart"/>
            <w:tcBorders>
              <w:bottom w:val="single" w:sz="4" w:space="0" w:color="FFFFFF" w:themeColor="background1"/>
            </w:tcBorders>
            <w:shd w:val="clear" w:color="auto" w:fill="E2E2E2"/>
            <w:vAlign w:val="center"/>
          </w:tcPr>
          <w:p w:rsidR="006107C1" w:rsidRPr="0073005A" w:rsidRDefault="006107C1" w:rsidP="00D21DAA">
            <w:pPr>
              <w:pStyle w:val="Odsekzoznamu"/>
              <w:ind w:left="142"/>
              <w:rPr>
                <w:rFonts w:ascii="Times New Roman" w:hAnsi="Times New Roman"/>
                <w:b/>
              </w:rPr>
            </w:pPr>
            <w:r w:rsidRPr="0073005A">
              <w:rPr>
                <w:rFonts w:ascii="Times New Roman" w:hAnsi="Times New Roman"/>
                <w:b/>
              </w:rPr>
              <w:t>Charakter predkladaného materiálu</w:t>
            </w:r>
          </w:p>
        </w:tc>
        <w:tc>
          <w:tcPr>
            <w:tcW w:w="705" w:type="dxa"/>
            <w:gridSpan w:val="2"/>
            <w:tcBorders>
              <w:right w:val="nil"/>
            </w:tcBorders>
            <w:shd w:val="clear" w:color="auto" w:fill="FFFFFF" w:themeFill="background1"/>
          </w:tcPr>
          <w:p w:rsidR="006107C1" w:rsidRPr="0073005A" w:rsidRDefault="006107C1" w:rsidP="00D21DAA">
            <w:pPr>
              <w:jc w:val="center"/>
            </w:pPr>
            <w:r w:rsidRPr="0073005A">
              <w:rPr>
                <w:rFonts w:ascii="Segoe UI Symbol" w:eastAsia="MS Mincho" w:hAnsi="Segoe UI Symbol" w:cs="Segoe UI Symbol"/>
              </w:rPr>
              <w:t>☐</w:t>
            </w:r>
          </w:p>
        </w:tc>
        <w:tc>
          <w:tcPr>
            <w:tcW w:w="4263" w:type="dxa"/>
            <w:gridSpan w:val="6"/>
            <w:tcBorders>
              <w:left w:val="nil"/>
            </w:tcBorders>
            <w:shd w:val="clear" w:color="auto" w:fill="FFFFFF" w:themeFill="background1"/>
          </w:tcPr>
          <w:p w:rsidR="006107C1" w:rsidRPr="0073005A" w:rsidRDefault="006107C1" w:rsidP="00D21DAA">
            <w:r w:rsidRPr="0073005A">
              <w:t>Materiál nelegislatívnej povahy</w:t>
            </w:r>
          </w:p>
        </w:tc>
      </w:tr>
      <w:tr w:rsidR="006107C1" w:rsidRPr="0073005A" w:rsidTr="00D21DAA">
        <w:tc>
          <w:tcPr>
            <w:tcW w:w="4212" w:type="dxa"/>
            <w:gridSpan w:val="2"/>
            <w:vMerge/>
            <w:tcBorders>
              <w:top w:val="nil"/>
              <w:bottom w:val="single" w:sz="4" w:space="0" w:color="FFFFFF" w:themeColor="background1"/>
            </w:tcBorders>
            <w:shd w:val="clear" w:color="auto" w:fill="E2E2E2"/>
          </w:tcPr>
          <w:p w:rsidR="006107C1" w:rsidRPr="0073005A" w:rsidRDefault="006107C1" w:rsidP="00D21DAA"/>
        </w:tc>
        <w:tc>
          <w:tcPr>
            <w:tcW w:w="705" w:type="dxa"/>
            <w:gridSpan w:val="2"/>
            <w:tcBorders>
              <w:right w:val="nil"/>
            </w:tcBorders>
            <w:shd w:val="clear" w:color="auto" w:fill="FFFFFF" w:themeFill="background1"/>
          </w:tcPr>
          <w:p w:rsidR="006107C1" w:rsidRPr="0073005A" w:rsidRDefault="006107C1" w:rsidP="00D21DAA">
            <w:pPr>
              <w:jc w:val="center"/>
            </w:pPr>
            <w:r w:rsidRPr="0073005A">
              <w:rPr>
                <w:rFonts w:ascii="Segoe UI Symbol" w:eastAsia="MS Gothic" w:hAnsi="Segoe UI Symbol" w:cs="Segoe UI Symbol"/>
              </w:rPr>
              <w:t>☒</w:t>
            </w:r>
          </w:p>
        </w:tc>
        <w:tc>
          <w:tcPr>
            <w:tcW w:w="4263" w:type="dxa"/>
            <w:gridSpan w:val="6"/>
            <w:tcBorders>
              <w:left w:val="nil"/>
            </w:tcBorders>
            <w:shd w:val="clear" w:color="auto" w:fill="FFFFFF" w:themeFill="background1"/>
          </w:tcPr>
          <w:p w:rsidR="006107C1" w:rsidRPr="0073005A" w:rsidRDefault="006107C1" w:rsidP="00D21DAA">
            <w:pPr>
              <w:ind w:left="175" w:hanging="175"/>
            </w:pPr>
            <w:r w:rsidRPr="0073005A">
              <w:t>Materiál legislatívnej povahy</w:t>
            </w:r>
          </w:p>
        </w:tc>
      </w:tr>
      <w:tr w:rsidR="006107C1" w:rsidRPr="0073005A" w:rsidTr="00D21DAA">
        <w:tc>
          <w:tcPr>
            <w:tcW w:w="4212" w:type="dxa"/>
            <w:gridSpan w:val="2"/>
            <w:vMerge/>
            <w:tcBorders>
              <w:top w:val="nil"/>
            </w:tcBorders>
            <w:shd w:val="clear" w:color="auto" w:fill="E2E2E2"/>
          </w:tcPr>
          <w:p w:rsidR="006107C1" w:rsidRPr="0073005A" w:rsidRDefault="006107C1" w:rsidP="00D21DAA"/>
        </w:tc>
        <w:tc>
          <w:tcPr>
            <w:tcW w:w="705" w:type="dxa"/>
            <w:gridSpan w:val="2"/>
            <w:tcBorders>
              <w:right w:val="nil"/>
            </w:tcBorders>
            <w:shd w:val="clear" w:color="auto" w:fill="FFFFFF" w:themeFill="background1"/>
          </w:tcPr>
          <w:p w:rsidR="006107C1" w:rsidRPr="0073005A" w:rsidRDefault="006107C1" w:rsidP="00D21DAA">
            <w:pPr>
              <w:jc w:val="center"/>
            </w:pPr>
            <w:r w:rsidRPr="0073005A">
              <w:rPr>
                <w:rFonts w:ascii="Segoe UI Symbol" w:eastAsia="MS Mincho" w:hAnsi="Segoe UI Symbol" w:cs="Segoe UI Symbol"/>
              </w:rPr>
              <w:t>☐</w:t>
            </w:r>
          </w:p>
        </w:tc>
        <w:tc>
          <w:tcPr>
            <w:tcW w:w="4263" w:type="dxa"/>
            <w:gridSpan w:val="6"/>
            <w:tcBorders>
              <w:left w:val="nil"/>
            </w:tcBorders>
            <w:shd w:val="clear" w:color="auto" w:fill="FFFFFF" w:themeFill="background1"/>
          </w:tcPr>
          <w:p w:rsidR="006107C1" w:rsidRPr="0073005A" w:rsidRDefault="006107C1" w:rsidP="00D21DAA">
            <w:r w:rsidRPr="0073005A">
              <w:t>Transpozícia práva EÚ</w:t>
            </w:r>
          </w:p>
        </w:tc>
      </w:tr>
      <w:tr w:rsidR="006107C1" w:rsidRPr="0073005A" w:rsidTr="00D21DAA">
        <w:tc>
          <w:tcPr>
            <w:tcW w:w="9180" w:type="dxa"/>
            <w:gridSpan w:val="10"/>
            <w:tcBorders>
              <w:bottom w:val="single" w:sz="4" w:space="0" w:color="FFFFFF" w:themeColor="background1"/>
            </w:tcBorders>
            <w:shd w:val="clear" w:color="auto" w:fill="FFFFFF" w:themeFill="background1"/>
          </w:tcPr>
          <w:p w:rsidR="006107C1" w:rsidRPr="0073005A" w:rsidRDefault="006107C1" w:rsidP="00D21DAA">
            <w:pPr>
              <w:rPr>
                <w:i/>
              </w:rPr>
            </w:pPr>
            <w:r w:rsidRPr="0073005A">
              <w:rPr>
                <w:i/>
              </w:rPr>
              <w:t>V prípade transpozície uveďte zoznam transponovaných predpisov:</w:t>
            </w:r>
          </w:p>
          <w:p w:rsidR="006107C1" w:rsidRPr="0073005A" w:rsidRDefault="006107C1" w:rsidP="00D21DAA"/>
          <w:p w:rsidR="006107C1" w:rsidRPr="0073005A" w:rsidRDefault="006107C1" w:rsidP="00D21DAA"/>
        </w:tc>
      </w:tr>
      <w:tr w:rsidR="006107C1" w:rsidRPr="0073005A" w:rsidTr="00D21DAA">
        <w:tc>
          <w:tcPr>
            <w:tcW w:w="5634" w:type="dxa"/>
            <w:gridSpan w:val="5"/>
            <w:tcBorders>
              <w:top w:val="single" w:sz="4" w:space="0" w:color="000000" w:themeColor="text1"/>
              <w:bottom w:val="single" w:sz="4" w:space="0" w:color="FFFFFF" w:themeColor="background1"/>
            </w:tcBorders>
            <w:shd w:val="clear" w:color="auto" w:fill="E2E2E2"/>
          </w:tcPr>
          <w:p w:rsidR="006107C1" w:rsidRPr="0073005A" w:rsidRDefault="006107C1" w:rsidP="00D21DAA">
            <w:pPr>
              <w:pStyle w:val="Odsekzoznamu"/>
              <w:ind w:left="142"/>
              <w:rPr>
                <w:rFonts w:ascii="Times New Roman" w:hAnsi="Times New Roman"/>
                <w:b/>
              </w:rPr>
            </w:pPr>
            <w:r w:rsidRPr="0073005A">
              <w:rPr>
                <w:rFonts w:ascii="Times New Roman" w:hAnsi="Times New Roman"/>
                <w:b/>
              </w:rPr>
              <w:t>Termín začiatku a ukončenia PPK</w:t>
            </w:r>
          </w:p>
        </w:tc>
        <w:tc>
          <w:tcPr>
            <w:tcW w:w="3546" w:type="dxa"/>
            <w:gridSpan w:val="5"/>
            <w:tcBorders>
              <w:top w:val="single" w:sz="4" w:space="0" w:color="000000" w:themeColor="text1"/>
            </w:tcBorders>
          </w:tcPr>
          <w:p w:rsidR="006107C1" w:rsidRPr="0073005A" w:rsidRDefault="006107C1" w:rsidP="00D21DAA">
            <w:pPr>
              <w:rPr>
                <w:i/>
              </w:rPr>
            </w:pPr>
          </w:p>
        </w:tc>
      </w:tr>
      <w:tr w:rsidR="006107C1" w:rsidRPr="0073005A" w:rsidTr="00D21DAA">
        <w:tc>
          <w:tcPr>
            <w:tcW w:w="5634" w:type="dxa"/>
            <w:gridSpan w:val="5"/>
            <w:tcBorders>
              <w:bottom w:val="single" w:sz="4" w:space="0" w:color="FFFFFF" w:themeColor="background1"/>
            </w:tcBorders>
            <w:shd w:val="clear" w:color="auto" w:fill="E2E2E2"/>
          </w:tcPr>
          <w:p w:rsidR="006107C1" w:rsidRPr="0073005A" w:rsidRDefault="006107C1" w:rsidP="00D21DAA">
            <w:pPr>
              <w:pStyle w:val="Odsekzoznamu"/>
              <w:ind w:left="142"/>
              <w:rPr>
                <w:rFonts w:ascii="Times New Roman" w:hAnsi="Times New Roman"/>
                <w:b/>
              </w:rPr>
            </w:pPr>
            <w:r w:rsidRPr="0073005A">
              <w:rPr>
                <w:rFonts w:ascii="Times New Roman" w:hAnsi="Times New Roman"/>
                <w:b/>
              </w:rPr>
              <w:t>Predpokladaný termín predloženia na MPK*</w:t>
            </w:r>
          </w:p>
        </w:tc>
        <w:tc>
          <w:tcPr>
            <w:tcW w:w="3546" w:type="dxa"/>
            <w:gridSpan w:val="5"/>
          </w:tcPr>
          <w:p w:rsidR="006107C1" w:rsidRPr="0073005A" w:rsidRDefault="006107C1" w:rsidP="00D21DAA">
            <w:pPr>
              <w:rPr>
                <w:i/>
              </w:rPr>
            </w:pPr>
          </w:p>
        </w:tc>
      </w:tr>
      <w:tr w:rsidR="006107C1" w:rsidRPr="0073005A" w:rsidTr="00D21DAA">
        <w:tc>
          <w:tcPr>
            <w:tcW w:w="5634" w:type="dxa"/>
            <w:gridSpan w:val="5"/>
            <w:tcBorders>
              <w:bottom w:val="single" w:sz="4" w:space="0" w:color="FFFFFF" w:themeColor="background1"/>
            </w:tcBorders>
            <w:shd w:val="clear" w:color="auto" w:fill="E2E2E2"/>
          </w:tcPr>
          <w:p w:rsidR="006107C1" w:rsidRPr="0073005A" w:rsidRDefault="006107C1" w:rsidP="00D21DAA">
            <w:pPr>
              <w:pStyle w:val="Odsekzoznamu"/>
              <w:ind w:left="142"/>
              <w:rPr>
                <w:rFonts w:ascii="Times New Roman" w:hAnsi="Times New Roman"/>
                <w:b/>
              </w:rPr>
            </w:pPr>
            <w:r w:rsidRPr="0073005A">
              <w:rPr>
                <w:rFonts w:ascii="Times New Roman" w:hAnsi="Times New Roman"/>
                <w:b/>
              </w:rPr>
              <w:t>Predpokladaný termín predloženia na Rokovanie vlády SR*</w:t>
            </w:r>
          </w:p>
        </w:tc>
        <w:tc>
          <w:tcPr>
            <w:tcW w:w="3546" w:type="dxa"/>
            <w:gridSpan w:val="5"/>
          </w:tcPr>
          <w:p w:rsidR="006107C1" w:rsidRPr="0073005A" w:rsidRDefault="006107C1" w:rsidP="00D21DAA">
            <w:pPr>
              <w:rPr>
                <w:i/>
              </w:rPr>
            </w:pPr>
          </w:p>
        </w:tc>
      </w:tr>
      <w:tr w:rsidR="006107C1" w:rsidRPr="0073005A" w:rsidTr="00D21DAA">
        <w:tc>
          <w:tcPr>
            <w:tcW w:w="9180" w:type="dxa"/>
            <w:gridSpan w:val="10"/>
            <w:tcBorders>
              <w:left w:val="nil"/>
              <w:right w:val="nil"/>
            </w:tcBorders>
            <w:shd w:val="clear" w:color="auto" w:fill="FFFFFF" w:themeFill="background1"/>
          </w:tcPr>
          <w:p w:rsidR="006107C1" w:rsidRPr="0073005A" w:rsidRDefault="006107C1" w:rsidP="00D21DAA"/>
        </w:tc>
      </w:tr>
      <w:tr w:rsidR="006107C1" w:rsidRPr="0073005A" w:rsidTr="00D21DAA">
        <w:tc>
          <w:tcPr>
            <w:tcW w:w="9180" w:type="dxa"/>
            <w:gridSpan w:val="10"/>
            <w:tcBorders>
              <w:bottom w:val="single" w:sz="4" w:space="0" w:color="FFFFFF" w:themeColor="background1"/>
            </w:tcBorders>
            <w:shd w:val="clear" w:color="auto" w:fill="E2E2E2"/>
          </w:tcPr>
          <w:p w:rsidR="006107C1" w:rsidRPr="0073005A" w:rsidRDefault="006107C1" w:rsidP="006107C1">
            <w:pPr>
              <w:pStyle w:val="Odsekzoznamu"/>
              <w:numPr>
                <w:ilvl w:val="0"/>
                <w:numId w:val="16"/>
              </w:numPr>
              <w:ind w:left="426"/>
              <w:rPr>
                <w:rFonts w:ascii="Times New Roman" w:hAnsi="Times New Roman"/>
                <w:b/>
              </w:rPr>
            </w:pPr>
            <w:r w:rsidRPr="0073005A">
              <w:rPr>
                <w:rFonts w:ascii="Times New Roman" w:hAnsi="Times New Roman"/>
                <w:b/>
              </w:rPr>
              <w:t>Definovanie problému</w:t>
            </w:r>
          </w:p>
        </w:tc>
      </w:tr>
      <w:tr w:rsidR="006107C1" w:rsidRPr="0073005A" w:rsidTr="00D21DAA">
        <w:trPr>
          <w:trHeight w:val="718"/>
        </w:trPr>
        <w:tc>
          <w:tcPr>
            <w:tcW w:w="9180" w:type="dxa"/>
            <w:gridSpan w:val="10"/>
            <w:tcBorders>
              <w:top w:val="single" w:sz="4" w:space="0" w:color="FFFFFF" w:themeColor="background1"/>
            </w:tcBorders>
            <w:shd w:val="clear" w:color="auto" w:fill="FFFFFF" w:themeFill="background1"/>
          </w:tcPr>
          <w:p w:rsidR="006107C1" w:rsidRPr="00065A44" w:rsidRDefault="006107C1" w:rsidP="00D21DAA">
            <w:pPr>
              <w:jc w:val="both"/>
              <w:rPr>
                <w:i/>
              </w:rPr>
            </w:pPr>
            <w:r>
              <w:rPr>
                <w:i/>
              </w:rPr>
              <w:t xml:space="preserve">Nutnosť riešenia ochrany </w:t>
            </w:r>
            <w:r w:rsidRPr="0069398A">
              <w:rPr>
                <w:i/>
              </w:rPr>
              <w:t>práv spotrebiteľov</w:t>
            </w:r>
            <w:r>
              <w:rPr>
                <w:i/>
              </w:rPr>
              <w:t>, a to klientov cestovných kancelárii spôsobenej</w:t>
            </w:r>
            <w:r w:rsidRPr="00CF74D4">
              <w:rPr>
                <w:i/>
              </w:rPr>
              <w:t xml:space="preserve"> problém</w:t>
            </w:r>
            <w:r>
              <w:rPr>
                <w:i/>
              </w:rPr>
              <w:t>om</w:t>
            </w:r>
            <w:r w:rsidRPr="00CF74D4">
              <w:rPr>
                <w:i/>
              </w:rPr>
              <w:t xml:space="preserve"> s nedostatkom likvidity cestovných kancelárií</w:t>
            </w:r>
            <w:r>
              <w:rPr>
                <w:i/>
              </w:rPr>
              <w:t xml:space="preserve"> v súvislosti s</w:t>
            </w:r>
            <w:r w:rsidRPr="00CF74D4">
              <w:rPr>
                <w:i/>
              </w:rPr>
              <w:t xml:space="preserve"> vrát</w:t>
            </w:r>
            <w:r>
              <w:rPr>
                <w:i/>
              </w:rPr>
              <w:t>ením</w:t>
            </w:r>
            <w:r w:rsidRPr="00CF74D4">
              <w:rPr>
                <w:i/>
              </w:rPr>
              <w:t xml:space="preserve"> zálohov</w:t>
            </w:r>
            <w:r>
              <w:rPr>
                <w:i/>
              </w:rPr>
              <w:t>ých</w:t>
            </w:r>
            <w:r w:rsidRPr="00CF74D4">
              <w:rPr>
                <w:i/>
              </w:rPr>
              <w:t xml:space="preserve"> plat</w:t>
            </w:r>
            <w:r>
              <w:rPr>
                <w:i/>
              </w:rPr>
              <w:t>ieb vo forme vystavených o</w:t>
            </w:r>
            <w:r w:rsidRPr="00153E20">
              <w:rPr>
                <w:i/>
              </w:rPr>
              <w:t>známen</w:t>
            </w:r>
            <w:r>
              <w:rPr>
                <w:i/>
              </w:rPr>
              <w:t>í</w:t>
            </w:r>
            <w:r w:rsidRPr="00153E20">
              <w:rPr>
                <w:i/>
              </w:rPr>
              <w:t xml:space="preserve"> o náhradnom zájazde</w:t>
            </w:r>
            <w:r>
              <w:rPr>
                <w:i/>
              </w:rPr>
              <w:t xml:space="preserve"> v zmysle § 33a zákona č. 170/2018 Z. z.</w:t>
            </w:r>
            <w:r w:rsidRPr="00065A44">
              <w:rPr>
                <w:i/>
              </w:rPr>
              <w:t>.</w:t>
            </w:r>
            <w:r>
              <w:rPr>
                <w:i/>
              </w:rPr>
              <w:t xml:space="preserve"> </w:t>
            </w:r>
            <w:r w:rsidRPr="00065A44">
              <w:rPr>
                <w:i/>
              </w:rPr>
              <w:t>Navrhovaným opatren</w:t>
            </w:r>
            <w:r>
              <w:rPr>
                <w:i/>
              </w:rPr>
              <w:t>ím</w:t>
            </w:r>
            <w:r w:rsidRPr="00065A44">
              <w:rPr>
                <w:i/>
              </w:rPr>
              <w:t> sa zabezpečí nezhoršovanie podmienok ekonomického postavenia subjektov pôsobiacich v</w:t>
            </w:r>
            <w:r>
              <w:rPr>
                <w:i/>
              </w:rPr>
              <w:t> </w:t>
            </w:r>
            <w:r w:rsidRPr="00065A44">
              <w:rPr>
                <w:i/>
              </w:rPr>
              <w:t>se</w:t>
            </w:r>
            <w:r>
              <w:rPr>
                <w:i/>
              </w:rPr>
              <w:t>ktore cestovného ruchu</w:t>
            </w:r>
            <w:r w:rsidRPr="00065A44">
              <w:rPr>
                <w:i/>
              </w:rPr>
              <w:t>.</w:t>
            </w:r>
          </w:p>
          <w:p w:rsidR="006107C1" w:rsidRPr="00CA6952" w:rsidRDefault="006107C1" w:rsidP="00D21DAA">
            <w:pPr>
              <w:pStyle w:val="Nzov"/>
              <w:ind w:left="644"/>
              <w:jc w:val="both"/>
              <w:rPr>
                <w:rFonts w:ascii="Times New Roman" w:hAnsi="Times New Roman"/>
                <w:b w:val="0"/>
                <w:i/>
              </w:rPr>
            </w:pPr>
          </w:p>
        </w:tc>
      </w:tr>
      <w:tr w:rsidR="006107C1" w:rsidRPr="0073005A" w:rsidTr="00D21DAA">
        <w:tc>
          <w:tcPr>
            <w:tcW w:w="9180" w:type="dxa"/>
            <w:gridSpan w:val="10"/>
            <w:tcBorders>
              <w:bottom w:val="nil"/>
            </w:tcBorders>
            <w:shd w:val="clear" w:color="auto" w:fill="E2E2E2"/>
          </w:tcPr>
          <w:p w:rsidR="006107C1" w:rsidRPr="0073005A" w:rsidRDefault="006107C1" w:rsidP="006107C1">
            <w:pPr>
              <w:pStyle w:val="Odsekzoznamu"/>
              <w:numPr>
                <w:ilvl w:val="0"/>
                <w:numId w:val="16"/>
              </w:numPr>
              <w:ind w:left="426"/>
              <w:rPr>
                <w:rFonts w:ascii="Times New Roman" w:hAnsi="Times New Roman"/>
                <w:b/>
              </w:rPr>
            </w:pPr>
            <w:r w:rsidRPr="0073005A">
              <w:rPr>
                <w:rFonts w:ascii="Times New Roman" w:hAnsi="Times New Roman"/>
                <w:b/>
              </w:rPr>
              <w:t>Ciele a výsledný stav</w:t>
            </w:r>
          </w:p>
        </w:tc>
      </w:tr>
      <w:tr w:rsidR="006107C1" w:rsidRPr="0073005A" w:rsidTr="00D21DAA">
        <w:trPr>
          <w:trHeight w:val="582"/>
        </w:trPr>
        <w:tc>
          <w:tcPr>
            <w:tcW w:w="9180" w:type="dxa"/>
            <w:gridSpan w:val="10"/>
            <w:tcBorders>
              <w:top w:val="nil"/>
            </w:tcBorders>
            <w:shd w:val="clear" w:color="auto" w:fill="FFFFFF" w:themeFill="background1"/>
          </w:tcPr>
          <w:p w:rsidR="006107C1" w:rsidRPr="0073005A" w:rsidRDefault="006107C1" w:rsidP="00D21DAA">
            <w:pPr>
              <w:jc w:val="both"/>
            </w:pPr>
            <w:r>
              <w:rPr>
                <w:i/>
              </w:rPr>
              <w:t xml:space="preserve">Zmiernenie negatívnych následkov spôsobených vyhlásením mimoriadnej situácie </w:t>
            </w:r>
            <w:r w:rsidRPr="002033E2">
              <w:rPr>
                <w:i/>
              </w:rPr>
              <w:t>v súvislosti so šírením nebezpečnej nákazlivej ľudskej choroby COVID-19</w:t>
            </w:r>
            <w:r w:rsidRPr="00CA6952">
              <w:t xml:space="preserve"> </w:t>
            </w:r>
            <w:r>
              <w:rPr>
                <w:i/>
              </w:rPr>
              <w:t xml:space="preserve">v segmente cestovného ruchu poskytnutím návratných finančných výpomocí na účel vrátenia </w:t>
            </w:r>
            <w:r w:rsidRPr="00CF74D4">
              <w:rPr>
                <w:i/>
              </w:rPr>
              <w:t>zálohov</w:t>
            </w:r>
            <w:r>
              <w:rPr>
                <w:i/>
              </w:rPr>
              <w:t>ých</w:t>
            </w:r>
            <w:r w:rsidRPr="00CF74D4">
              <w:rPr>
                <w:i/>
              </w:rPr>
              <w:t xml:space="preserve"> plat</w:t>
            </w:r>
            <w:r>
              <w:rPr>
                <w:i/>
              </w:rPr>
              <w:t xml:space="preserve">ieb klientom cestovných kancelárií, pre ktorých neboli zrealizované </w:t>
            </w:r>
            <w:r w:rsidRPr="00153E20">
              <w:rPr>
                <w:i/>
              </w:rPr>
              <w:t>náhradn</w:t>
            </w:r>
            <w:r>
              <w:rPr>
                <w:i/>
              </w:rPr>
              <w:t>é</w:t>
            </w:r>
            <w:r w:rsidRPr="00153E20">
              <w:rPr>
                <w:i/>
              </w:rPr>
              <w:t xml:space="preserve"> zájazd</w:t>
            </w:r>
            <w:r>
              <w:rPr>
                <w:i/>
              </w:rPr>
              <w:t>y.</w:t>
            </w:r>
          </w:p>
        </w:tc>
      </w:tr>
      <w:tr w:rsidR="006107C1" w:rsidRPr="0073005A" w:rsidTr="00D21DAA">
        <w:tc>
          <w:tcPr>
            <w:tcW w:w="9180" w:type="dxa"/>
            <w:gridSpan w:val="10"/>
            <w:tcBorders>
              <w:bottom w:val="nil"/>
            </w:tcBorders>
            <w:shd w:val="clear" w:color="auto" w:fill="E2E2E2"/>
          </w:tcPr>
          <w:p w:rsidR="006107C1" w:rsidRPr="0073005A" w:rsidRDefault="006107C1" w:rsidP="006107C1">
            <w:pPr>
              <w:pStyle w:val="Odsekzoznamu"/>
              <w:numPr>
                <w:ilvl w:val="0"/>
                <w:numId w:val="16"/>
              </w:numPr>
              <w:ind w:left="426"/>
              <w:rPr>
                <w:rFonts w:ascii="Times New Roman" w:hAnsi="Times New Roman"/>
                <w:b/>
              </w:rPr>
            </w:pPr>
            <w:r w:rsidRPr="0073005A">
              <w:rPr>
                <w:rFonts w:ascii="Times New Roman" w:hAnsi="Times New Roman"/>
                <w:b/>
              </w:rPr>
              <w:t>Dotknuté subjekty</w:t>
            </w:r>
          </w:p>
        </w:tc>
      </w:tr>
      <w:tr w:rsidR="006107C1" w:rsidRPr="0073005A" w:rsidTr="00D21DAA">
        <w:tc>
          <w:tcPr>
            <w:tcW w:w="9180" w:type="dxa"/>
            <w:gridSpan w:val="10"/>
            <w:tcBorders>
              <w:top w:val="nil"/>
            </w:tcBorders>
            <w:shd w:val="clear" w:color="auto" w:fill="FFFFFF" w:themeFill="background1"/>
          </w:tcPr>
          <w:p w:rsidR="006107C1" w:rsidRPr="0073005A" w:rsidRDefault="006107C1" w:rsidP="00D21DAA">
            <w:pPr>
              <w:ind w:left="360"/>
              <w:jc w:val="both"/>
              <w:rPr>
                <w:i/>
              </w:rPr>
            </w:pPr>
            <w:r>
              <w:rPr>
                <w:i/>
              </w:rPr>
              <w:t>- cestovné kancelárie</w:t>
            </w:r>
            <w:r w:rsidRPr="0073005A">
              <w:rPr>
                <w:i/>
              </w:rPr>
              <w:t>.</w:t>
            </w:r>
          </w:p>
          <w:p w:rsidR="006107C1" w:rsidRPr="0073005A" w:rsidRDefault="006107C1" w:rsidP="00D21DAA">
            <w:pPr>
              <w:rPr>
                <w:i/>
              </w:rPr>
            </w:pPr>
          </w:p>
        </w:tc>
      </w:tr>
      <w:tr w:rsidR="006107C1" w:rsidRPr="0073005A" w:rsidTr="00D21DAA">
        <w:tc>
          <w:tcPr>
            <w:tcW w:w="9180" w:type="dxa"/>
            <w:gridSpan w:val="10"/>
            <w:tcBorders>
              <w:bottom w:val="nil"/>
            </w:tcBorders>
            <w:shd w:val="clear" w:color="auto" w:fill="E2E2E2"/>
          </w:tcPr>
          <w:p w:rsidR="006107C1" w:rsidRPr="0073005A" w:rsidRDefault="006107C1" w:rsidP="006107C1">
            <w:pPr>
              <w:pStyle w:val="Odsekzoznamu"/>
              <w:numPr>
                <w:ilvl w:val="0"/>
                <w:numId w:val="16"/>
              </w:numPr>
              <w:ind w:left="426"/>
              <w:rPr>
                <w:rFonts w:ascii="Times New Roman" w:hAnsi="Times New Roman"/>
                <w:b/>
              </w:rPr>
            </w:pPr>
            <w:r w:rsidRPr="0073005A">
              <w:rPr>
                <w:rFonts w:ascii="Times New Roman" w:hAnsi="Times New Roman"/>
                <w:b/>
              </w:rPr>
              <w:t>Alternatívne riešenia</w:t>
            </w:r>
          </w:p>
        </w:tc>
      </w:tr>
      <w:tr w:rsidR="006107C1" w:rsidRPr="0073005A" w:rsidTr="00D21DAA">
        <w:trPr>
          <w:trHeight w:val="709"/>
        </w:trPr>
        <w:tc>
          <w:tcPr>
            <w:tcW w:w="9180" w:type="dxa"/>
            <w:gridSpan w:val="10"/>
            <w:tcBorders>
              <w:top w:val="nil"/>
            </w:tcBorders>
            <w:shd w:val="clear" w:color="auto" w:fill="FFFFFF" w:themeFill="background1"/>
          </w:tcPr>
          <w:p w:rsidR="006107C1" w:rsidRPr="0073005A" w:rsidRDefault="006107C1" w:rsidP="00D21DAA">
            <w:pPr>
              <w:jc w:val="both"/>
              <w:rPr>
                <w:i/>
              </w:rPr>
            </w:pPr>
            <w:r w:rsidRPr="004D7001">
              <w:rPr>
                <w:i/>
              </w:rPr>
              <w:t>Alternatíva č. 0 - zachovanie doterajšej právnej úpravy:</w:t>
            </w:r>
            <w:r>
              <w:t xml:space="preserve"> </w:t>
            </w:r>
            <w:r w:rsidRPr="004D7001">
              <w:rPr>
                <w:i/>
              </w:rPr>
              <w:t xml:space="preserve">V prípade, že by vláda SR neposkytla pomoc formou tohto </w:t>
            </w:r>
            <w:r>
              <w:rPr>
                <w:i/>
              </w:rPr>
              <w:t>opatrenia</w:t>
            </w:r>
            <w:r w:rsidRPr="004D7001">
              <w:rPr>
                <w:i/>
              </w:rPr>
              <w:t>, nebudú mať cestovné</w:t>
            </w:r>
            <w:r>
              <w:rPr>
                <w:i/>
              </w:rPr>
              <w:t xml:space="preserve"> </w:t>
            </w:r>
            <w:r w:rsidRPr="004D7001">
              <w:rPr>
                <w:i/>
              </w:rPr>
              <w:t>kancelárie možnosť vrátiť klientom zálohové platby</w:t>
            </w:r>
            <w:r>
              <w:rPr>
                <w:i/>
              </w:rPr>
              <w:t>, čím by sa</w:t>
            </w:r>
            <w:r w:rsidRPr="004D7001">
              <w:rPr>
                <w:i/>
              </w:rPr>
              <w:t xml:space="preserve"> dostali do platobnej neschopnosti</w:t>
            </w:r>
            <w:r>
              <w:rPr>
                <w:i/>
              </w:rPr>
              <w:t>, čo by vyvolalo vlnu konkurzných konaní a následne zvýšenie nezamestnanosti v segmente cestovného ruchu</w:t>
            </w:r>
            <w:r w:rsidRPr="004D7001">
              <w:rPr>
                <w:i/>
              </w:rPr>
              <w:t>.</w:t>
            </w:r>
          </w:p>
        </w:tc>
      </w:tr>
      <w:tr w:rsidR="006107C1" w:rsidRPr="0073005A" w:rsidTr="00D21DAA">
        <w:tc>
          <w:tcPr>
            <w:tcW w:w="9180" w:type="dxa"/>
            <w:gridSpan w:val="10"/>
            <w:tcBorders>
              <w:bottom w:val="single" w:sz="4" w:space="0" w:color="FFFFFF" w:themeColor="background1"/>
            </w:tcBorders>
            <w:shd w:val="clear" w:color="auto" w:fill="E2E2E2"/>
          </w:tcPr>
          <w:p w:rsidR="006107C1" w:rsidRPr="0073005A" w:rsidRDefault="006107C1" w:rsidP="006107C1">
            <w:pPr>
              <w:pStyle w:val="Odsekzoznamu"/>
              <w:numPr>
                <w:ilvl w:val="0"/>
                <w:numId w:val="16"/>
              </w:numPr>
              <w:ind w:left="426"/>
              <w:rPr>
                <w:rFonts w:ascii="Times New Roman" w:hAnsi="Times New Roman"/>
                <w:b/>
              </w:rPr>
            </w:pPr>
            <w:r w:rsidRPr="0073005A">
              <w:rPr>
                <w:rFonts w:ascii="Times New Roman" w:hAnsi="Times New Roman"/>
                <w:b/>
              </w:rPr>
              <w:t>Vykonávacie predpisy</w:t>
            </w:r>
          </w:p>
        </w:tc>
      </w:tr>
      <w:tr w:rsidR="006107C1" w:rsidRPr="0073005A" w:rsidTr="00D21DAA">
        <w:tc>
          <w:tcPr>
            <w:tcW w:w="6203" w:type="dxa"/>
            <w:gridSpan w:val="6"/>
            <w:tcBorders>
              <w:top w:val="single" w:sz="4" w:space="0" w:color="FFFFFF" w:themeColor="background1"/>
              <w:bottom w:val="nil"/>
              <w:right w:val="nil"/>
            </w:tcBorders>
            <w:shd w:val="clear" w:color="auto" w:fill="FFFFFF" w:themeFill="background1"/>
          </w:tcPr>
          <w:p w:rsidR="006107C1" w:rsidRPr="0073005A" w:rsidRDefault="006107C1" w:rsidP="00D21DAA">
            <w:pPr>
              <w:ind w:left="360"/>
              <w:jc w:val="both"/>
              <w:rPr>
                <w:i/>
              </w:rPr>
            </w:pPr>
            <w:r w:rsidRPr="0073005A">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6107C1" w:rsidRPr="0073005A" w:rsidRDefault="006107C1" w:rsidP="00D21DAA">
            <w:pPr>
              <w:ind w:left="360"/>
              <w:jc w:val="both"/>
              <w:rPr>
                <w:i/>
              </w:rPr>
            </w:pPr>
            <w:r w:rsidRPr="0073005A">
              <w:rPr>
                <w:rFonts w:ascii="Segoe UI Symbol" w:hAnsi="Segoe UI Symbol" w:cs="Segoe UI Symbol"/>
                <w:i/>
              </w:rPr>
              <w:t>☐</w:t>
            </w:r>
            <w:r w:rsidRPr="0073005A">
              <w:rPr>
                <w:i/>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6107C1" w:rsidRPr="0073005A" w:rsidRDefault="006107C1" w:rsidP="00D21DAA">
            <w:pPr>
              <w:ind w:left="360"/>
              <w:jc w:val="both"/>
              <w:rPr>
                <w:i/>
              </w:rPr>
            </w:pPr>
            <w:r w:rsidRPr="0073005A">
              <w:rPr>
                <w:rFonts w:ascii="Segoe UI Symbol" w:hAnsi="Segoe UI Symbol" w:cs="Segoe UI Symbol"/>
                <w:i/>
              </w:rPr>
              <w:t>☒</w:t>
            </w:r>
            <w:r w:rsidRPr="0073005A">
              <w:rPr>
                <w:i/>
              </w:rPr>
              <w:t xml:space="preserve">  Nie</w:t>
            </w:r>
          </w:p>
        </w:tc>
      </w:tr>
      <w:tr w:rsidR="006107C1" w:rsidRPr="0073005A" w:rsidTr="00D21DAA">
        <w:tc>
          <w:tcPr>
            <w:tcW w:w="9180" w:type="dxa"/>
            <w:gridSpan w:val="10"/>
            <w:tcBorders>
              <w:top w:val="nil"/>
            </w:tcBorders>
            <w:shd w:val="clear" w:color="auto" w:fill="FFFFFF" w:themeFill="background1"/>
          </w:tcPr>
          <w:p w:rsidR="006107C1" w:rsidRPr="0073005A" w:rsidRDefault="006107C1" w:rsidP="00D21DAA">
            <w:pPr>
              <w:ind w:left="360"/>
              <w:jc w:val="both"/>
              <w:rPr>
                <w:i/>
              </w:rPr>
            </w:pPr>
            <w:r w:rsidRPr="0073005A">
              <w:rPr>
                <w:i/>
              </w:rPr>
              <w:t>Ak áno, uveďte ktoré oblasti budú nimi upravené, resp. ktorých vykonávacích predpisov sa zmena dotkne:</w:t>
            </w:r>
          </w:p>
          <w:p w:rsidR="006107C1" w:rsidRPr="0073005A" w:rsidRDefault="006107C1" w:rsidP="00D21DAA">
            <w:pPr>
              <w:ind w:left="360"/>
              <w:jc w:val="both"/>
              <w:rPr>
                <w:i/>
              </w:rPr>
            </w:pPr>
          </w:p>
        </w:tc>
      </w:tr>
      <w:tr w:rsidR="006107C1" w:rsidRPr="0073005A" w:rsidTr="00D21DAA">
        <w:tc>
          <w:tcPr>
            <w:tcW w:w="9180" w:type="dxa"/>
            <w:gridSpan w:val="10"/>
            <w:tcBorders>
              <w:bottom w:val="single" w:sz="4" w:space="0" w:color="FFFFFF" w:themeColor="background1"/>
            </w:tcBorders>
            <w:shd w:val="clear" w:color="auto" w:fill="E2E2E2"/>
          </w:tcPr>
          <w:p w:rsidR="006107C1" w:rsidRPr="0073005A" w:rsidRDefault="006107C1" w:rsidP="006107C1">
            <w:pPr>
              <w:pStyle w:val="Odsekzoznamu"/>
              <w:numPr>
                <w:ilvl w:val="0"/>
                <w:numId w:val="16"/>
              </w:numPr>
              <w:ind w:left="426"/>
              <w:rPr>
                <w:rFonts w:ascii="Times New Roman" w:hAnsi="Times New Roman"/>
                <w:b/>
              </w:rPr>
            </w:pPr>
            <w:r w:rsidRPr="0073005A">
              <w:rPr>
                <w:rFonts w:ascii="Times New Roman" w:hAnsi="Times New Roman"/>
                <w:b/>
              </w:rPr>
              <w:lastRenderedPageBreak/>
              <w:t xml:space="preserve">Transpozícia práva EÚ </w:t>
            </w:r>
          </w:p>
        </w:tc>
      </w:tr>
      <w:tr w:rsidR="006107C1" w:rsidRPr="0073005A" w:rsidTr="00D21DAA">
        <w:trPr>
          <w:trHeight w:val="157"/>
        </w:trPr>
        <w:tc>
          <w:tcPr>
            <w:tcW w:w="9180" w:type="dxa"/>
            <w:gridSpan w:val="10"/>
            <w:tcBorders>
              <w:top w:val="nil"/>
              <w:left w:val="single" w:sz="4" w:space="0" w:color="000000" w:themeColor="text1"/>
              <w:bottom w:val="nil"/>
            </w:tcBorders>
            <w:shd w:val="clear" w:color="auto" w:fill="FFFFFF" w:themeFill="background1"/>
          </w:tcPr>
          <w:p w:rsidR="006107C1" w:rsidRPr="0073005A" w:rsidRDefault="006107C1" w:rsidP="00D21DAA">
            <w:pPr>
              <w:ind w:left="360"/>
              <w:jc w:val="both"/>
              <w:rPr>
                <w:i/>
              </w:rPr>
            </w:pPr>
            <w:r w:rsidRPr="0073005A">
              <w:rPr>
                <w:i/>
              </w:rPr>
              <w:t>Nie je.</w:t>
            </w:r>
          </w:p>
        </w:tc>
      </w:tr>
      <w:tr w:rsidR="006107C1" w:rsidRPr="0073005A" w:rsidTr="00D21DAA">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6107C1" w:rsidRPr="0073005A" w:rsidRDefault="006107C1" w:rsidP="00D21DAA">
            <w:pPr>
              <w:jc w:val="center"/>
            </w:pPr>
          </w:p>
        </w:tc>
      </w:tr>
      <w:tr w:rsidR="006107C1" w:rsidRPr="0073005A" w:rsidTr="00D21DAA">
        <w:tc>
          <w:tcPr>
            <w:tcW w:w="9180" w:type="dxa"/>
            <w:gridSpan w:val="10"/>
            <w:tcBorders>
              <w:bottom w:val="single" w:sz="4" w:space="0" w:color="FFFFFF" w:themeColor="background1"/>
            </w:tcBorders>
            <w:shd w:val="clear" w:color="auto" w:fill="E2E2E2"/>
          </w:tcPr>
          <w:p w:rsidR="006107C1" w:rsidRPr="0073005A" w:rsidRDefault="006107C1" w:rsidP="006107C1">
            <w:pPr>
              <w:pStyle w:val="Odsekzoznamu"/>
              <w:numPr>
                <w:ilvl w:val="0"/>
                <w:numId w:val="16"/>
              </w:numPr>
              <w:ind w:left="426"/>
              <w:rPr>
                <w:rFonts w:ascii="Times New Roman" w:hAnsi="Times New Roman"/>
                <w:b/>
              </w:rPr>
            </w:pPr>
            <w:r w:rsidRPr="0073005A">
              <w:rPr>
                <w:rFonts w:ascii="Times New Roman" w:hAnsi="Times New Roman"/>
                <w:b/>
              </w:rPr>
              <w:t>Preskúmanie účelnosti**</w:t>
            </w:r>
          </w:p>
        </w:tc>
      </w:tr>
      <w:tr w:rsidR="006107C1" w:rsidRPr="0073005A" w:rsidTr="00D21DAA">
        <w:tc>
          <w:tcPr>
            <w:tcW w:w="9180" w:type="dxa"/>
            <w:gridSpan w:val="10"/>
            <w:tcBorders>
              <w:top w:val="single" w:sz="4" w:space="0" w:color="FFFFFF" w:themeColor="background1"/>
            </w:tcBorders>
            <w:shd w:val="clear" w:color="auto" w:fill="FFFFFF" w:themeFill="background1"/>
          </w:tcPr>
          <w:p w:rsidR="006107C1" w:rsidRPr="0073005A" w:rsidRDefault="006107C1" w:rsidP="00D21DAA">
            <w:pPr>
              <w:ind w:left="360"/>
              <w:jc w:val="both"/>
              <w:rPr>
                <w:i/>
              </w:rPr>
            </w:pPr>
            <w:r w:rsidRPr="0073005A">
              <w:rPr>
                <w:i/>
              </w:rPr>
              <w:t>Nie je.</w:t>
            </w:r>
          </w:p>
          <w:p w:rsidR="006107C1" w:rsidRPr="0073005A" w:rsidRDefault="006107C1" w:rsidP="00D21DAA">
            <w:pPr>
              <w:rPr>
                <w:i/>
              </w:rPr>
            </w:pPr>
          </w:p>
        </w:tc>
      </w:tr>
      <w:tr w:rsidR="006107C1" w:rsidRPr="00585E82" w:rsidTr="00D21DAA">
        <w:trPr>
          <w:trHeight w:val="68"/>
        </w:trPr>
        <w:tc>
          <w:tcPr>
            <w:tcW w:w="9180" w:type="dxa"/>
            <w:gridSpan w:val="10"/>
            <w:tcBorders>
              <w:top w:val="nil"/>
              <w:left w:val="nil"/>
              <w:right w:val="nil"/>
            </w:tcBorders>
            <w:shd w:val="clear" w:color="auto" w:fill="FFFFFF" w:themeFill="background1"/>
          </w:tcPr>
          <w:p w:rsidR="006107C1" w:rsidRDefault="006107C1" w:rsidP="00D21DAA"/>
          <w:p w:rsidR="006107C1" w:rsidRPr="00585E82" w:rsidRDefault="006107C1" w:rsidP="00D21DAA">
            <w:r w:rsidRPr="00585E82">
              <w:t xml:space="preserve">* vyplniť iba v prípade, ak materiál nie je zahrnutý do Plánu práce vlády Slovenskej republiky alebo Plánu legislatívnych úloh vlády Slovenskej republiky. </w:t>
            </w:r>
          </w:p>
          <w:p w:rsidR="006107C1" w:rsidRPr="00585E82" w:rsidRDefault="006107C1" w:rsidP="00D21DAA">
            <w:r w:rsidRPr="00585E82">
              <w:t>** nepovinné</w:t>
            </w:r>
          </w:p>
        </w:tc>
      </w:tr>
      <w:tr w:rsidR="006107C1" w:rsidRPr="0073005A" w:rsidTr="00D21DAA">
        <w:trPr>
          <w:trHeight w:val="577"/>
        </w:trPr>
        <w:tc>
          <w:tcPr>
            <w:tcW w:w="9180" w:type="dxa"/>
            <w:gridSpan w:val="10"/>
            <w:tcBorders>
              <w:bottom w:val="single" w:sz="4" w:space="0" w:color="FFFFFF" w:themeColor="background1"/>
            </w:tcBorders>
            <w:shd w:val="clear" w:color="auto" w:fill="E2E2E2"/>
            <w:vAlign w:val="center"/>
          </w:tcPr>
          <w:p w:rsidR="006107C1" w:rsidRPr="0073005A" w:rsidRDefault="006107C1" w:rsidP="006107C1">
            <w:pPr>
              <w:pStyle w:val="Odsekzoznamu"/>
              <w:numPr>
                <w:ilvl w:val="0"/>
                <w:numId w:val="16"/>
              </w:numPr>
              <w:ind w:left="426"/>
              <w:rPr>
                <w:rFonts w:ascii="Times New Roman" w:hAnsi="Times New Roman"/>
                <w:b/>
              </w:rPr>
            </w:pPr>
            <w:r w:rsidRPr="0073005A">
              <w:rPr>
                <w:rFonts w:ascii="Times New Roman" w:hAnsi="Times New Roman"/>
                <w:b/>
              </w:rPr>
              <w:t>Vplyvy navrhovaného materiálu</w:t>
            </w:r>
          </w:p>
        </w:tc>
      </w:tr>
      <w:tr w:rsidR="006107C1" w:rsidRPr="0073005A" w:rsidTr="00D21DAA">
        <w:tc>
          <w:tcPr>
            <w:tcW w:w="3812" w:type="dxa"/>
            <w:tcBorders>
              <w:bottom w:val="nil"/>
            </w:tcBorders>
            <w:shd w:val="clear" w:color="auto" w:fill="E2E2E2"/>
          </w:tcPr>
          <w:p w:rsidR="006107C1" w:rsidRPr="0073005A" w:rsidRDefault="006107C1" w:rsidP="00D21DAA">
            <w:pPr>
              <w:rPr>
                <w:b/>
              </w:rPr>
            </w:pPr>
            <w:r w:rsidRPr="0073005A">
              <w:rPr>
                <w:b/>
              </w:rPr>
              <w:t>Vplyvy na rozpočet verejnej správy</w:t>
            </w:r>
          </w:p>
        </w:tc>
        <w:tc>
          <w:tcPr>
            <w:tcW w:w="541" w:type="dxa"/>
            <w:gridSpan w:val="2"/>
            <w:tcBorders>
              <w:right w:val="nil"/>
            </w:tcBorders>
          </w:tcPr>
          <w:p w:rsidR="006107C1" w:rsidRPr="0073005A" w:rsidRDefault="006107C1" w:rsidP="00D21DAA">
            <w:pPr>
              <w:jc w:val="center"/>
              <w:rPr>
                <w:b/>
              </w:rPr>
            </w:pPr>
            <w:r w:rsidRPr="0073005A">
              <w:rPr>
                <w:rFonts w:ascii="Segoe UI Symbol" w:eastAsia="MS Mincho" w:hAnsi="Segoe UI Symbol" w:cs="Segoe UI Symbol"/>
                <w:b/>
              </w:rPr>
              <w:t>☐</w:t>
            </w:r>
          </w:p>
        </w:tc>
        <w:tc>
          <w:tcPr>
            <w:tcW w:w="1281" w:type="dxa"/>
            <w:gridSpan w:val="2"/>
            <w:tcBorders>
              <w:left w:val="nil"/>
              <w:right w:val="nil"/>
            </w:tcBorders>
          </w:tcPr>
          <w:p w:rsidR="006107C1" w:rsidRPr="0073005A" w:rsidRDefault="006107C1" w:rsidP="00D21DAA">
            <w:pPr>
              <w:rPr>
                <w:b/>
              </w:rPr>
            </w:pPr>
            <w:r w:rsidRPr="0073005A">
              <w:rPr>
                <w:b/>
              </w:rPr>
              <w:t>Pozitívne</w:t>
            </w:r>
          </w:p>
        </w:tc>
        <w:tc>
          <w:tcPr>
            <w:tcW w:w="569" w:type="dxa"/>
            <w:tcBorders>
              <w:left w:val="nil"/>
              <w:right w:val="nil"/>
            </w:tcBorders>
          </w:tcPr>
          <w:p w:rsidR="006107C1" w:rsidRPr="0073005A" w:rsidRDefault="006107C1" w:rsidP="00D21DAA">
            <w:pPr>
              <w:jc w:val="center"/>
              <w:rPr>
                <w:b/>
              </w:rPr>
            </w:pPr>
            <w:r w:rsidRPr="0073005A">
              <w:rPr>
                <w:rFonts w:ascii="Segoe UI Symbol" w:eastAsia="MS Gothic" w:hAnsi="Segoe UI Symbol" w:cs="Segoe UI Symbol"/>
                <w:b/>
              </w:rPr>
              <w:t>☒</w:t>
            </w:r>
          </w:p>
        </w:tc>
        <w:tc>
          <w:tcPr>
            <w:tcW w:w="1133" w:type="dxa"/>
            <w:tcBorders>
              <w:left w:val="nil"/>
              <w:right w:val="nil"/>
            </w:tcBorders>
          </w:tcPr>
          <w:p w:rsidR="006107C1" w:rsidRPr="0073005A" w:rsidRDefault="006107C1" w:rsidP="00D21DAA">
            <w:pPr>
              <w:rPr>
                <w:b/>
              </w:rPr>
            </w:pPr>
            <w:r w:rsidRPr="0073005A">
              <w:rPr>
                <w:b/>
              </w:rPr>
              <w:t>Žiadne</w:t>
            </w:r>
          </w:p>
        </w:tc>
        <w:tc>
          <w:tcPr>
            <w:tcW w:w="547" w:type="dxa"/>
            <w:gridSpan w:val="2"/>
            <w:tcBorders>
              <w:left w:val="nil"/>
              <w:right w:val="nil"/>
            </w:tcBorders>
          </w:tcPr>
          <w:p w:rsidR="006107C1" w:rsidRPr="0073005A" w:rsidRDefault="006107C1" w:rsidP="00D21DAA">
            <w:pPr>
              <w:ind w:left="-107" w:right="-108"/>
              <w:jc w:val="center"/>
              <w:rPr>
                <w:b/>
              </w:rPr>
            </w:pPr>
            <w:r w:rsidRPr="0073005A">
              <w:rPr>
                <w:rFonts w:ascii="Segoe UI Symbol" w:eastAsia="MS Mincho" w:hAnsi="Segoe UI Symbol" w:cs="Segoe UI Symbol"/>
                <w:b/>
              </w:rPr>
              <w:t>☐</w:t>
            </w:r>
          </w:p>
        </w:tc>
        <w:tc>
          <w:tcPr>
            <w:tcW w:w="1297" w:type="dxa"/>
            <w:tcBorders>
              <w:left w:val="nil"/>
            </w:tcBorders>
          </w:tcPr>
          <w:p w:rsidR="006107C1" w:rsidRPr="0073005A" w:rsidRDefault="006107C1" w:rsidP="00D21DAA">
            <w:pPr>
              <w:ind w:left="34"/>
              <w:rPr>
                <w:b/>
              </w:rPr>
            </w:pPr>
            <w:r w:rsidRPr="0073005A">
              <w:rPr>
                <w:b/>
              </w:rPr>
              <w:t>Negatívne</w:t>
            </w:r>
          </w:p>
        </w:tc>
      </w:tr>
      <w:tr w:rsidR="006107C1" w:rsidRPr="0073005A" w:rsidTr="00D21DAA">
        <w:tc>
          <w:tcPr>
            <w:tcW w:w="3812" w:type="dxa"/>
            <w:tcBorders>
              <w:top w:val="nil"/>
              <w:bottom w:val="single" w:sz="4" w:space="0" w:color="000000" w:themeColor="text1"/>
            </w:tcBorders>
            <w:shd w:val="clear" w:color="auto" w:fill="E2E2E2"/>
          </w:tcPr>
          <w:p w:rsidR="006107C1" w:rsidRPr="0073005A" w:rsidRDefault="006107C1" w:rsidP="00D21DAA">
            <w:r w:rsidRPr="0073005A">
              <w:t xml:space="preserve">    z toho rozpočtovo zabezpečené vplyvy</w:t>
            </w:r>
          </w:p>
        </w:tc>
        <w:tc>
          <w:tcPr>
            <w:tcW w:w="541" w:type="dxa"/>
            <w:gridSpan w:val="2"/>
            <w:tcBorders>
              <w:right w:val="nil"/>
            </w:tcBorders>
          </w:tcPr>
          <w:p w:rsidR="006107C1" w:rsidRPr="0073005A" w:rsidRDefault="006107C1" w:rsidP="00D21DAA">
            <w:pPr>
              <w:jc w:val="center"/>
            </w:pPr>
            <w:r w:rsidRPr="0073005A">
              <w:rPr>
                <w:rFonts w:ascii="Segoe UI Symbol" w:eastAsia="MS Mincho" w:hAnsi="Segoe UI Symbol" w:cs="Segoe UI Symbol"/>
              </w:rPr>
              <w:t>☐</w:t>
            </w:r>
          </w:p>
        </w:tc>
        <w:tc>
          <w:tcPr>
            <w:tcW w:w="1281" w:type="dxa"/>
            <w:gridSpan w:val="2"/>
            <w:tcBorders>
              <w:left w:val="nil"/>
              <w:right w:val="nil"/>
            </w:tcBorders>
          </w:tcPr>
          <w:p w:rsidR="006107C1" w:rsidRPr="0073005A" w:rsidRDefault="006107C1" w:rsidP="00D21DAA">
            <w:r w:rsidRPr="0073005A">
              <w:t>Áno</w:t>
            </w:r>
          </w:p>
        </w:tc>
        <w:tc>
          <w:tcPr>
            <w:tcW w:w="569" w:type="dxa"/>
            <w:tcBorders>
              <w:left w:val="nil"/>
              <w:right w:val="nil"/>
            </w:tcBorders>
          </w:tcPr>
          <w:p w:rsidR="006107C1" w:rsidRPr="0073005A" w:rsidRDefault="006107C1" w:rsidP="00D21DAA">
            <w:pPr>
              <w:jc w:val="center"/>
            </w:pPr>
            <w:r w:rsidRPr="0073005A">
              <w:rPr>
                <w:rFonts w:ascii="Segoe UI Symbol" w:eastAsia="MS Mincho" w:hAnsi="Segoe UI Symbol" w:cs="Segoe UI Symbol"/>
              </w:rPr>
              <w:t>☐</w:t>
            </w:r>
          </w:p>
        </w:tc>
        <w:tc>
          <w:tcPr>
            <w:tcW w:w="1133" w:type="dxa"/>
            <w:tcBorders>
              <w:left w:val="nil"/>
              <w:right w:val="nil"/>
            </w:tcBorders>
          </w:tcPr>
          <w:p w:rsidR="006107C1" w:rsidRPr="0073005A" w:rsidRDefault="006107C1" w:rsidP="00D21DAA">
            <w:r w:rsidRPr="0073005A">
              <w:t>Nie</w:t>
            </w:r>
          </w:p>
        </w:tc>
        <w:tc>
          <w:tcPr>
            <w:tcW w:w="547" w:type="dxa"/>
            <w:gridSpan w:val="2"/>
            <w:tcBorders>
              <w:left w:val="nil"/>
              <w:right w:val="nil"/>
            </w:tcBorders>
          </w:tcPr>
          <w:p w:rsidR="006107C1" w:rsidRPr="0073005A" w:rsidRDefault="006107C1" w:rsidP="00D21DAA">
            <w:pPr>
              <w:ind w:left="-107" w:right="-108"/>
              <w:jc w:val="center"/>
            </w:pPr>
            <w:r w:rsidRPr="0073005A">
              <w:rPr>
                <w:rFonts w:ascii="Segoe UI Symbol" w:eastAsia="MS Mincho" w:hAnsi="Segoe UI Symbol" w:cs="Segoe UI Symbol"/>
              </w:rPr>
              <w:t>☐</w:t>
            </w:r>
          </w:p>
        </w:tc>
        <w:tc>
          <w:tcPr>
            <w:tcW w:w="1297" w:type="dxa"/>
            <w:tcBorders>
              <w:left w:val="nil"/>
            </w:tcBorders>
          </w:tcPr>
          <w:p w:rsidR="006107C1" w:rsidRPr="0073005A" w:rsidRDefault="006107C1" w:rsidP="00D21DAA">
            <w:pPr>
              <w:ind w:left="34"/>
            </w:pPr>
            <w:r w:rsidRPr="0073005A">
              <w:t>Čiastočne</w:t>
            </w:r>
          </w:p>
        </w:tc>
      </w:tr>
      <w:tr w:rsidR="006107C1" w:rsidRPr="0073005A" w:rsidTr="00D21DAA">
        <w:tc>
          <w:tcPr>
            <w:tcW w:w="3812" w:type="dxa"/>
            <w:tcBorders>
              <w:top w:val="single" w:sz="4" w:space="0" w:color="000000" w:themeColor="text1"/>
              <w:bottom w:val="nil"/>
            </w:tcBorders>
            <w:shd w:val="clear" w:color="auto" w:fill="E2E2E2"/>
          </w:tcPr>
          <w:p w:rsidR="006107C1" w:rsidRPr="0073005A" w:rsidRDefault="006107C1" w:rsidP="00D21DAA">
            <w:pPr>
              <w:rPr>
                <w:b/>
              </w:rPr>
            </w:pPr>
            <w:r w:rsidRPr="0073005A">
              <w:rPr>
                <w:b/>
              </w:rPr>
              <w:t>Vplyvy na podnikateľské prostredie</w:t>
            </w:r>
          </w:p>
        </w:tc>
        <w:tc>
          <w:tcPr>
            <w:tcW w:w="541" w:type="dxa"/>
            <w:gridSpan w:val="2"/>
            <w:tcBorders>
              <w:right w:val="nil"/>
            </w:tcBorders>
          </w:tcPr>
          <w:p w:rsidR="006107C1" w:rsidRPr="0073005A" w:rsidRDefault="006107C1" w:rsidP="00D21DAA">
            <w:pPr>
              <w:jc w:val="center"/>
              <w:rPr>
                <w:b/>
              </w:rPr>
            </w:pPr>
            <w:r w:rsidRPr="0073005A">
              <w:rPr>
                <w:rFonts w:ascii="Segoe UI Symbol" w:eastAsia="MS Gothic" w:hAnsi="Segoe UI Symbol" w:cs="Segoe UI Symbol"/>
                <w:b/>
              </w:rPr>
              <w:t>☒</w:t>
            </w:r>
          </w:p>
        </w:tc>
        <w:tc>
          <w:tcPr>
            <w:tcW w:w="1281" w:type="dxa"/>
            <w:gridSpan w:val="2"/>
            <w:tcBorders>
              <w:left w:val="nil"/>
              <w:right w:val="nil"/>
            </w:tcBorders>
          </w:tcPr>
          <w:p w:rsidR="006107C1" w:rsidRPr="0073005A" w:rsidRDefault="006107C1" w:rsidP="00D21DAA">
            <w:pPr>
              <w:ind w:right="-108"/>
              <w:rPr>
                <w:b/>
              </w:rPr>
            </w:pPr>
            <w:r w:rsidRPr="0073005A">
              <w:rPr>
                <w:b/>
              </w:rPr>
              <w:t>Pozitívne</w:t>
            </w:r>
          </w:p>
        </w:tc>
        <w:tc>
          <w:tcPr>
            <w:tcW w:w="569" w:type="dxa"/>
            <w:tcBorders>
              <w:left w:val="nil"/>
              <w:right w:val="nil"/>
            </w:tcBorders>
          </w:tcPr>
          <w:p w:rsidR="006107C1" w:rsidRPr="0073005A" w:rsidRDefault="006107C1" w:rsidP="00D21DAA">
            <w:pPr>
              <w:jc w:val="center"/>
              <w:rPr>
                <w:b/>
              </w:rPr>
            </w:pPr>
            <w:r w:rsidRPr="0073005A">
              <w:rPr>
                <w:rFonts w:ascii="Segoe UI Symbol" w:eastAsia="MS Gothic" w:hAnsi="Segoe UI Symbol" w:cs="Segoe UI Symbol"/>
                <w:b/>
              </w:rPr>
              <w:t>☐</w:t>
            </w:r>
          </w:p>
        </w:tc>
        <w:tc>
          <w:tcPr>
            <w:tcW w:w="1133" w:type="dxa"/>
            <w:tcBorders>
              <w:left w:val="nil"/>
              <w:right w:val="nil"/>
            </w:tcBorders>
          </w:tcPr>
          <w:p w:rsidR="006107C1" w:rsidRPr="0073005A" w:rsidRDefault="006107C1" w:rsidP="00D21DAA">
            <w:pPr>
              <w:rPr>
                <w:b/>
              </w:rPr>
            </w:pPr>
            <w:r w:rsidRPr="0073005A">
              <w:rPr>
                <w:b/>
              </w:rPr>
              <w:t>Žiadne</w:t>
            </w:r>
          </w:p>
        </w:tc>
        <w:tc>
          <w:tcPr>
            <w:tcW w:w="547" w:type="dxa"/>
            <w:gridSpan w:val="2"/>
            <w:tcBorders>
              <w:left w:val="nil"/>
              <w:right w:val="nil"/>
            </w:tcBorders>
          </w:tcPr>
          <w:p w:rsidR="006107C1" w:rsidRPr="0073005A" w:rsidRDefault="006107C1" w:rsidP="00D21DAA">
            <w:pPr>
              <w:jc w:val="center"/>
              <w:rPr>
                <w:b/>
              </w:rPr>
            </w:pPr>
            <w:r w:rsidRPr="0073005A">
              <w:rPr>
                <w:rFonts w:ascii="Segoe UI Symbol" w:eastAsia="MS Gothic" w:hAnsi="Segoe UI Symbol" w:cs="Segoe UI Symbol"/>
                <w:b/>
              </w:rPr>
              <w:t>☐</w:t>
            </w:r>
          </w:p>
        </w:tc>
        <w:tc>
          <w:tcPr>
            <w:tcW w:w="1297" w:type="dxa"/>
            <w:tcBorders>
              <w:left w:val="nil"/>
            </w:tcBorders>
          </w:tcPr>
          <w:p w:rsidR="006107C1" w:rsidRPr="0073005A" w:rsidRDefault="006107C1" w:rsidP="00D21DAA">
            <w:pPr>
              <w:ind w:left="54"/>
              <w:rPr>
                <w:b/>
              </w:rPr>
            </w:pPr>
            <w:r w:rsidRPr="0073005A">
              <w:rPr>
                <w:b/>
              </w:rPr>
              <w:t>Negatívne</w:t>
            </w:r>
          </w:p>
        </w:tc>
      </w:tr>
      <w:tr w:rsidR="006107C1" w:rsidRPr="0073005A" w:rsidTr="00D21DAA">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6107C1" w:rsidRPr="0073005A" w:rsidRDefault="006107C1" w:rsidP="00D21DAA">
            <w:r w:rsidRPr="0073005A">
              <w:t xml:space="preserve">    z toho vplyvy na MSP</w:t>
            </w:r>
          </w:p>
        </w:tc>
        <w:tc>
          <w:tcPr>
            <w:tcW w:w="541" w:type="dxa"/>
            <w:gridSpan w:val="2"/>
            <w:tcBorders>
              <w:left w:val="single" w:sz="4" w:space="0" w:color="000000" w:themeColor="text1"/>
              <w:right w:val="nil"/>
            </w:tcBorders>
          </w:tcPr>
          <w:p w:rsidR="006107C1" w:rsidRPr="0073005A" w:rsidRDefault="006107C1" w:rsidP="00D21DAA">
            <w:pPr>
              <w:jc w:val="center"/>
            </w:pPr>
            <w:r w:rsidRPr="0073005A">
              <w:rPr>
                <w:rFonts w:ascii="Segoe UI Symbol" w:eastAsia="MS Gothic" w:hAnsi="Segoe UI Symbol" w:cs="Segoe UI Symbol"/>
                <w:b/>
              </w:rPr>
              <w:t>☒</w:t>
            </w:r>
          </w:p>
        </w:tc>
        <w:tc>
          <w:tcPr>
            <w:tcW w:w="1281" w:type="dxa"/>
            <w:gridSpan w:val="2"/>
            <w:tcBorders>
              <w:left w:val="nil"/>
              <w:right w:val="nil"/>
            </w:tcBorders>
          </w:tcPr>
          <w:p w:rsidR="006107C1" w:rsidRPr="0073005A" w:rsidRDefault="006107C1" w:rsidP="00D21DAA">
            <w:pPr>
              <w:ind w:right="-108"/>
            </w:pPr>
            <w:r w:rsidRPr="0073005A">
              <w:t>Pozitívne</w:t>
            </w:r>
          </w:p>
        </w:tc>
        <w:tc>
          <w:tcPr>
            <w:tcW w:w="569" w:type="dxa"/>
            <w:tcBorders>
              <w:left w:val="nil"/>
              <w:right w:val="nil"/>
            </w:tcBorders>
          </w:tcPr>
          <w:p w:rsidR="006107C1" w:rsidRPr="0073005A" w:rsidRDefault="006107C1" w:rsidP="00D21DAA">
            <w:pPr>
              <w:jc w:val="center"/>
            </w:pPr>
            <w:r w:rsidRPr="0073005A">
              <w:rPr>
                <w:rFonts w:ascii="Segoe UI Symbol" w:eastAsia="MS Gothic" w:hAnsi="Segoe UI Symbol" w:cs="Segoe UI Symbol"/>
                <w:b/>
              </w:rPr>
              <w:t>☐</w:t>
            </w:r>
          </w:p>
        </w:tc>
        <w:tc>
          <w:tcPr>
            <w:tcW w:w="1133" w:type="dxa"/>
            <w:tcBorders>
              <w:left w:val="nil"/>
              <w:right w:val="nil"/>
            </w:tcBorders>
          </w:tcPr>
          <w:p w:rsidR="006107C1" w:rsidRPr="0073005A" w:rsidRDefault="006107C1" w:rsidP="00D21DAA">
            <w:r w:rsidRPr="0073005A">
              <w:t>Žiadne</w:t>
            </w:r>
          </w:p>
        </w:tc>
        <w:tc>
          <w:tcPr>
            <w:tcW w:w="547" w:type="dxa"/>
            <w:gridSpan w:val="2"/>
            <w:tcBorders>
              <w:left w:val="nil"/>
              <w:right w:val="nil"/>
            </w:tcBorders>
          </w:tcPr>
          <w:p w:rsidR="006107C1" w:rsidRPr="0073005A" w:rsidRDefault="006107C1" w:rsidP="00D21DAA">
            <w:pPr>
              <w:jc w:val="center"/>
            </w:pPr>
            <w:r w:rsidRPr="0073005A">
              <w:rPr>
                <w:rFonts w:ascii="Segoe UI Symbol" w:eastAsia="MS Mincho" w:hAnsi="Segoe UI Symbol" w:cs="Segoe UI Symbol"/>
              </w:rPr>
              <w:t>☐</w:t>
            </w:r>
          </w:p>
        </w:tc>
        <w:tc>
          <w:tcPr>
            <w:tcW w:w="1297" w:type="dxa"/>
            <w:tcBorders>
              <w:left w:val="nil"/>
            </w:tcBorders>
          </w:tcPr>
          <w:p w:rsidR="006107C1" w:rsidRPr="0073005A" w:rsidRDefault="006107C1" w:rsidP="00D21DAA">
            <w:pPr>
              <w:ind w:left="54"/>
            </w:pPr>
            <w:r w:rsidRPr="0073005A">
              <w:t>Negatívne</w:t>
            </w:r>
          </w:p>
        </w:tc>
      </w:tr>
      <w:tr w:rsidR="006107C1" w:rsidRPr="0073005A" w:rsidTr="00D21DAA">
        <w:tc>
          <w:tcPr>
            <w:tcW w:w="3812" w:type="dxa"/>
            <w:tcBorders>
              <w:top w:val="single" w:sz="4" w:space="0" w:color="000000" w:themeColor="text1"/>
            </w:tcBorders>
            <w:shd w:val="clear" w:color="auto" w:fill="E2E2E2"/>
          </w:tcPr>
          <w:p w:rsidR="006107C1" w:rsidRPr="0073005A" w:rsidRDefault="006107C1" w:rsidP="00D21DAA">
            <w:pPr>
              <w:rPr>
                <w:b/>
              </w:rPr>
            </w:pPr>
            <w:r w:rsidRPr="0073005A">
              <w:rPr>
                <w:b/>
              </w:rPr>
              <w:t>Sociálne vplyvy</w:t>
            </w:r>
          </w:p>
        </w:tc>
        <w:tc>
          <w:tcPr>
            <w:tcW w:w="541" w:type="dxa"/>
            <w:gridSpan w:val="2"/>
            <w:tcBorders>
              <w:right w:val="nil"/>
            </w:tcBorders>
          </w:tcPr>
          <w:p w:rsidR="006107C1" w:rsidRPr="0073005A" w:rsidRDefault="006107C1" w:rsidP="00D21DAA">
            <w:pPr>
              <w:jc w:val="center"/>
              <w:rPr>
                <w:b/>
              </w:rPr>
            </w:pPr>
            <w:r w:rsidRPr="0073005A">
              <w:rPr>
                <w:rFonts w:ascii="Segoe UI Symbol" w:eastAsia="MS Mincho" w:hAnsi="Segoe UI Symbol" w:cs="Segoe UI Symbol"/>
              </w:rPr>
              <w:t>☐</w:t>
            </w:r>
          </w:p>
        </w:tc>
        <w:tc>
          <w:tcPr>
            <w:tcW w:w="1281" w:type="dxa"/>
            <w:gridSpan w:val="2"/>
            <w:tcBorders>
              <w:left w:val="nil"/>
              <w:right w:val="nil"/>
            </w:tcBorders>
          </w:tcPr>
          <w:p w:rsidR="006107C1" w:rsidRPr="0073005A" w:rsidRDefault="006107C1" w:rsidP="00D21DAA">
            <w:pPr>
              <w:ind w:right="-108"/>
              <w:rPr>
                <w:b/>
              </w:rPr>
            </w:pPr>
            <w:r w:rsidRPr="0073005A">
              <w:rPr>
                <w:b/>
              </w:rPr>
              <w:t>Pozitívne</w:t>
            </w:r>
          </w:p>
        </w:tc>
        <w:tc>
          <w:tcPr>
            <w:tcW w:w="569" w:type="dxa"/>
            <w:tcBorders>
              <w:left w:val="nil"/>
              <w:right w:val="nil"/>
            </w:tcBorders>
          </w:tcPr>
          <w:p w:rsidR="006107C1" w:rsidRPr="0073005A" w:rsidRDefault="006107C1" w:rsidP="00D21DAA">
            <w:pPr>
              <w:jc w:val="center"/>
              <w:rPr>
                <w:b/>
              </w:rPr>
            </w:pPr>
            <w:r w:rsidRPr="0073005A">
              <w:rPr>
                <w:rFonts w:ascii="Segoe UI Symbol" w:eastAsia="MS Gothic" w:hAnsi="Segoe UI Symbol" w:cs="Segoe UI Symbol"/>
                <w:b/>
              </w:rPr>
              <w:t>☒</w:t>
            </w:r>
          </w:p>
        </w:tc>
        <w:tc>
          <w:tcPr>
            <w:tcW w:w="1133" w:type="dxa"/>
            <w:tcBorders>
              <w:left w:val="nil"/>
              <w:right w:val="nil"/>
            </w:tcBorders>
          </w:tcPr>
          <w:p w:rsidR="006107C1" w:rsidRPr="0073005A" w:rsidRDefault="006107C1" w:rsidP="00D21DAA">
            <w:pPr>
              <w:rPr>
                <w:b/>
              </w:rPr>
            </w:pPr>
            <w:r w:rsidRPr="0073005A">
              <w:rPr>
                <w:b/>
              </w:rPr>
              <w:t>Žiadne</w:t>
            </w:r>
          </w:p>
        </w:tc>
        <w:tc>
          <w:tcPr>
            <w:tcW w:w="547" w:type="dxa"/>
            <w:gridSpan w:val="2"/>
            <w:tcBorders>
              <w:left w:val="nil"/>
              <w:right w:val="nil"/>
            </w:tcBorders>
          </w:tcPr>
          <w:p w:rsidR="006107C1" w:rsidRPr="0073005A" w:rsidRDefault="006107C1" w:rsidP="00D21DAA">
            <w:pPr>
              <w:jc w:val="center"/>
              <w:rPr>
                <w:b/>
              </w:rPr>
            </w:pPr>
            <w:r w:rsidRPr="0073005A">
              <w:rPr>
                <w:rFonts w:ascii="Segoe UI Symbol" w:eastAsia="MS Mincho" w:hAnsi="Segoe UI Symbol" w:cs="Segoe UI Symbol"/>
              </w:rPr>
              <w:t>☐</w:t>
            </w:r>
          </w:p>
        </w:tc>
        <w:tc>
          <w:tcPr>
            <w:tcW w:w="1297" w:type="dxa"/>
            <w:tcBorders>
              <w:left w:val="nil"/>
            </w:tcBorders>
          </w:tcPr>
          <w:p w:rsidR="006107C1" w:rsidRPr="0073005A" w:rsidRDefault="006107C1" w:rsidP="00D21DAA">
            <w:pPr>
              <w:ind w:left="54"/>
              <w:rPr>
                <w:b/>
              </w:rPr>
            </w:pPr>
            <w:r w:rsidRPr="0073005A">
              <w:rPr>
                <w:b/>
              </w:rPr>
              <w:t>Negatívne</w:t>
            </w:r>
          </w:p>
        </w:tc>
      </w:tr>
      <w:tr w:rsidR="006107C1" w:rsidRPr="0073005A" w:rsidTr="00D21DAA">
        <w:tc>
          <w:tcPr>
            <w:tcW w:w="3812" w:type="dxa"/>
            <w:shd w:val="clear" w:color="auto" w:fill="E2E2E2"/>
          </w:tcPr>
          <w:p w:rsidR="006107C1" w:rsidRPr="0073005A" w:rsidRDefault="006107C1" w:rsidP="00D21DAA">
            <w:pPr>
              <w:rPr>
                <w:b/>
              </w:rPr>
            </w:pPr>
            <w:r w:rsidRPr="0073005A">
              <w:rPr>
                <w:b/>
              </w:rPr>
              <w:t>Vplyvy na životné prostredie</w:t>
            </w:r>
          </w:p>
        </w:tc>
        <w:tc>
          <w:tcPr>
            <w:tcW w:w="541" w:type="dxa"/>
            <w:gridSpan w:val="2"/>
            <w:tcBorders>
              <w:right w:val="nil"/>
            </w:tcBorders>
          </w:tcPr>
          <w:p w:rsidR="006107C1" w:rsidRPr="0073005A" w:rsidRDefault="006107C1" w:rsidP="00D21DAA">
            <w:pPr>
              <w:jc w:val="center"/>
              <w:rPr>
                <w:b/>
              </w:rPr>
            </w:pPr>
            <w:r w:rsidRPr="0073005A">
              <w:rPr>
                <w:rFonts w:ascii="Segoe UI Symbol" w:eastAsia="MS Mincho" w:hAnsi="Segoe UI Symbol" w:cs="Segoe UI Symbol"/>
                <w:b/>
              </w:rPr>
              <w:t>☐</w:t>
            </w:r>
          </w:p>
        </w:tc>
        <w:tc>
          <w:tcPr>
            <w:tcW w:w="1281" w:type="dxa"/>
            <w:gridSpan w:val="2"/>
            <w:tcBorders>
              <w:left w:val="nil"/>
              <w:right w:val="nil"/>
            </w:tcBorders>
          </w:tcPr>
          <w:p w:rsidR="006107C1" w:rsidRPr="0073005A" w:rsidRDefault="006107C1" w:rsidP="00D21DAA">
            <w:pPr>
              <w:ind w:right="-108"/>
              <w:rPr>
                <w:b/>
              </w:rPr>
            </w:pPr>
            <w:r w:rsidRPr="0073005A">
              <w:rPr>
                <w:b/>
              </w:rPr>
              <w:t>Pozitívne</w:t>
            </w:r>
          </w:p>
        </w:tc>
        <w:tc>
          <w:tcPr>
            <w:tcW w:w="569" w:type="dxa"/>
            <w:tcBorders>
              <w:left w:val="nil"/>
              <w:right w:val="nil"/>
            </w:tcBorders>
          </w:tcPr>
          <w:p w:rsidR="006107C1" w:rsidRPr="0073005A" w:rsidRDefault="006107C1" w:rsidP="00D21DAA">
            <w:pPr>
              <w:jc w:val="center"/>
              <w:rPr>
                <w:b/>
              </w:rPr>
            </w:pPr>
            <w:r w:rsidRPr="0073005A">
              <w:rPr>
                <w:rFonts w:ascii="Segoe UI Symbol" w:eastAsia="MS Gothic" w:hAnsi="Segoe UI Symbol" w:cs="Segoe UI Symbol"/>
                <w:b/>
              </w:rPr>
              <w:t>☒</w:t>
            </w:r>
          </w:p>
        </w:tc>
        <w:tc>
          <w:tcPr>
            <w:tcW w:w="1133" w:type="dxa"/>
            <w:tcBorders>
              <w:left w:val="nil"/>
              <w:right w:val="nil"/>
            </w:tcBorders>
          </w:tcPr>
          <w:p w:rsidR="006107C1" w:rsidRPr="0073005A" w:rsidRDefault="006107C1" w:rsidP="00D21DAA">
            <w:pPr>
              <w:rPr>
                <w:b/>
              </w:rPr>
            </w:pPr>
            <w:r w:rsidRPr="0073005A">
              <w:rPr>
                <w:b/>
              </w:rPr>
              <w:t>Žiadne</w:t>
            </w:r>
          </w:p>
        </w:tc>
        <w:tc>
          <w:tcPr>
            <w:tcW w:w="547" w:type="dxa"/>
            <w:gridSpan w:val="2"/>
            <w:tcBorders>
              <w:left w:val="nil"/>
              <w:right w:val="nil"/>
            </w:tcBorders>
          </w:tcPr>
          <w:p w:rsidR="006107C1" w:rsidRPr="0073005A" w:rsidRDefault="006107C1" w:rsidP="00D21DAA">
            <w:pPr>
              <w:jc w:val="center"/>
              <w:rPr>
                <w:b/>
              </w:rPr>
            </w:pPr>
            <w:r w:rsidRPr="0073005A">
              <w:rPr>
                <w:rFonts w:ascii="Segoe UI Symbol" w:eastAsia="MS Gothic" w:hAnsi="Segoe UI Symbol" w:cs="Segoe UI Symbol"/>
                <w:b/>
              </w:rPr>
              <w:t>☐</w:t>
            </w:r>
          </w:p>
        </w:tc>
        <w:tc>
          <w:tcPr>
            <w:tcW w:w="1297" w:type="dxa"/>
            <w:tcBorders>
              <w:left w:val="nil"/>
            </w:tcBorders>
          </w:tcPr>
          <w:p w:rsidR="006107C1" w:rsidRPr="0073005A" w:rsidRDefault="006107C1" w:rsidP="00D21DAA">
            <w:pPr>
              <w:ind w:left="54"/>
              <w:rPr>
                <w:b/>
              </w:rPr>
            </w:pPr>
            <w:r w:rsidRPr="0073005A">
              <w:rPr>
                <w:b/>
              </w:rPr>
              <w:t>Negatívne</w:t>
            </w:r>
          </w:p>
        </w:tc>
      </w:tr>
      <w:tr w:rsidR="006107C1" w:rsidRPr="0073005A" w:rsidTr="00D21DAA">
        <w:tc>
          <w:tcPr>
            <w:tcW w:w="3812" w:type="dxa"/>
            <w:shd w:val="clear" w:color="auto" w:fill="E2E2E2"/>
          </w:tcPr>
          <w:p w:rsidR="006107C1" w:rsidRPr="0073005A" w:rsidRDefault="006107C1" w:rsidP="00D21DAA">
            <w:pPr>
              <w:rPr>
                <w:b/>
              </w:rPr>
            </w:pPr>
            <w:r w:rsidRPr="0073005A">
              <w:rPr>
                <w:b/>
              </w:rPr>
              <w:t>Vplyvy na informatizáciu</w:t>
            </w:r>
          </w:p>
        </w:tc>
        <w:tc>
          <w:tcPr>
            <w:tcW w:w="541" w:type="dxa"/>
            <w:gridSpan w:val="2"/>
            <w:tcBorders>
              <w:right w:val="nil"/>
            </w:tcBorders>
          </w:tcPr>
          <w:p w:rsidR="006107C1" w:rsidRPr="0073005A" w:rsidRDefault="006107C1" w:rsidP="00D21DAA">
            <w:pPr>
              <w:jc w:val="center"/>
              <w:rPr>
                <w:b/>
              </w:rPr>
            </w:pPr>
            <w:r w:rsidRPr="0073005A">
              <w:rPr>
                <w:rFonts w:ascii="Segoe UI Symbol" w:eastAsia="MS Mincho" w:hAnsi="Segoe UI Symbol" w:cs="Segoe UI Symbol"/>
                <w:b/>
              </w:rPr>
              <w:t>☐</w:t>
            </w:r>
          </w:p>
        </w:tc>
        <w:tc>
          <w:tcPr>
            <w:tcW w:w="1281" w:type="dxa"/>
            <w:gridSpan w:val="2"/>
            <w:tcBorders>
              <w:left w:val="nil"/>
              <w:right w:val="nil"/>
            </w:tcBorders>
          </w:tcPr>
          <w:p w:rsidR="006107C1" w:rsidRPr="0073005A" w:rsidRDefault="006107C1" w:rsidP="00D21DAA">
            <w:pPr>
              <w:ind w:right="-108"/>
              <w:rPr>
                <w:b/>
              </w:rPr>
            </w:pPr>
            <w:r w:rsidRPr="0073005A">
              <w:rPr>
                <w:b/>
              </w:rPr>
              <w:t>Pozitívne</w:t>
            </w:r>
          </w:p>
        </w:tc>
        <w:tc>
          <w:tcPr>
            <w:tcW w:w="569" w:type="dxa"/>
            <w:tcBorders>
              <w:left w:val="nil"/>
              <w:right w:val="nil"/>
            </w:tcBorders>
          </w:tcPr>
          <w:p w:rsidR="006107C1" w:rsidRPr="0073005A" w:rsidRDefault="006107C1" w:rsidP="00D21DAA">
            <w:pPr>
              <w:jc w:val="center"/>
              <w:rPr>
                <w:b/>
              </w:rPr>
            </w:pPr>
            <w:r w:rsidRPr="0073005A">
              <w:rPr>
                <w:rFonts w:ascii="Segoe UI Symbol" w:eastAsia="MS Gothic" w:hAnsi="Segoe UI Symbol" w:cs="Segoe UI Symbol"/>
                <w:b/>
              </w:rPr>
              <w:t>☒</w:t>
            </w:r>
          </w:p>
        </w:tc>
        <w:tc>
          <w:tcPr>
            <w:tcW w:w="1133" w:type="dxa"/>
            <w:tcBorders>
              <w:left w:val="nil"/>
              <w:right w:val="nil"/>
            </w:tcBorders>
          </w:tcPr>
          <w:p w:rsidR="006107C1" w:rsidRPr="0073005A" w:rsidRDefault="006107C1" w:rsidP="00D21DAA">
            <w:pPr>
              <w:rPr>
                <w:b/>
              </w:rPr>
            </w:pPr>
            <w:r w:rsidRPr="0073005A">
              <w:rPr>
                <w:b/>
              </w:rPr>
              <w:t>Žiadne</w:t>
            </w:r>
          </w:p>
        </w:tc>
        <w:tc>
          <w:tcPr>
            <w:tcW w:w="547" w:type="dxa"/>
            <w:gridSpan w:val="2"/>
            <w:tcBorders>
              <w:left w:val="nil"/>
              <w:right w:val="nil"/>
            </w:tcBorders>
          </w:tcPr>
          <w:p w:rsidR="006107C1" w:rsidRPr="0073005A" w:rsidRDefault="006107C1" w:rsidP="00D21DAA">
            <w:pPr>
              <w:jc w:val="center"/>
              <w:rPr>
                <w:b/>
              </w:rPr>
            </w:pPr>
            <w:r w:rsidRPr="0073005A">
              <w:rPr>
                <w:rFonts w:ascii="Segoe UI Symbol" w:eastAsia="MS Mincho" w:hAnsi="Segoe UI Symbol" w:cs="Segoe UI Symbol"/>
                <w:b/>
              </w:rPr>
              <w:t>☐</w:t>
            </w:r>
          </w:p>
        </w:tc>
        <w:tc>
          <w:tcPr>
            <w:tcW w:w="1297" w:type="dxa"/>
            <w:tcBorders>
              <w:left w:val="nil"/>
            </w:tcBorders>
          </w:tcPr>
          <w:p w:rsidR="006107C1" w:rsidRPr="0073005A" w:rsidRDefault="006107C1" w:rsidP="00D21DAA">
            <w:pPr>
              <w:ind w:left="54"/>
              <w:rPr>
                <w:b/>
              </w:rPr>
            </w:pPr>
            <w:r w:rsidRPr="0073005A">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6107C1" w:rsidRPr="0073005A" w:rsidTr="00D21DAA">
        <w:tc>
          <w:tcPr>
            <w:tcW w:w="3812" w:type="dxa"/>
            <w:tcBorders>
              <w:bottom w:val="nil"/>
            </w:tcBorders>
            <w:shd w:val="clear" w:color="auto" w:fill="E2E2E2"/>
          </w:tcPr>
          <w:p w:rsidR="006107C1" w:rsidRPr="0073005A" w:rsidRDefault="006107C1" w:rsidP="00D21DAA">
            <w:pPr>
              <w:rPr>
                <w:b/>
              </w:rPr>
            </w:pPr>
            <w:r w:rsidRPr="0073005A">
              <w:rPr>
                <w:b/>
                <w:lang w:eastAsia="en-US"/>
              </w:rPr>
              <w:t>Vplyvy na služby verejnej správy pre občana, z toho</w:t>
            </w:r>
          </w:p>
        </w:tc>
        <w:tc>
          <w:tcPr>
            <w:tcW w:w="541" w:type="dxa"/>
            <w:tcBorders>
              <w:bottom w:val="nil"/>
              <w:right w:val="nil"/>
            </w:tcBorders>
          </w:tcPr>
          <w:p w:rsidR="006107C1" w:rsidRPr="0073005A" w:rsidRDefault="006107C1" w:rsidP="00D21DAA">
            <w:pPr>
              <w:jc w:val="center"/>
              <w:rPr>
                <w:rFonts w:eastAsia="MS Mincho"/>
                <w:b/>
              </w:rPr>
            </w:pPr>
          </w:p>
        </w:tc>
        <w:tc>
          <w:tcPr>
            <w:tcW w:w="1281" w:type="dxa"/>
            <w:tcBorders>
              <w:left w:val="nil"/>
              <w:bottom w:val="nil"/>
              <w:right w:val="nil"/>
            </w:tcBorders>
          </w:tcPr>
          <w:p w:rsidR="006107C1" w:rsidRPr="0073005A" w:rsidRDefault="006107C1" w:rsidP="00D21DAA">
            <w:pPr>
              <w:ind w:right="-108"/>
              <w:rPr>
                <w:b/>
              </w:rPr>
            </w:pPr>
          </w:p>
        </w:tc>
        <w:tc>
          <w:tcPr>
            <w:tcW w:w="569" w:type="dxa"/>
            <w:tcBorders>
              <w:left w:val="nil"/>
              <w:bottom w:val="nil"/>
              <w:right w:val="nil"/>
            </w:tcBorders>
          </w:tcPr>
          <w:p w:rsidR="006107C1" w:rsidRPr="0073005A" w:rsidRDefault="006107C1" w:rsidP="00D21DAA">
            <w:pPr>
              <w:jc w:val="center"/>
              <w:rPr>
                <w:rFonts w:eastAsia="MS Mincho"/>
                <w:b/>
              </w:rPr>
            </w:pPr>
          </w:p>
        </w:tc>
        <w:tc>
          <w:tcPr>
            <w:tcW w:w="1133" w:type="dxa"/>
            <w:tcBorders>
              <w:left w:val="nil"/>
              <w:bottom w:val="nil"/>
              <w:right w:val="nil"/>
            </w:tcBorders>
          </w:tcPr>
          <w:p w:rsidR="006107C1" w:rsidRPr="0073005A" w:rsidRDefault="006107C1" w:rsidP="00D21DAA">
            <w:pPr>
              <w:rPr>
                <w:b/>
              </w:rPr>
            </w:pPr>
          </w:p>
        </w:tc>
        <w:tc>
          <w:tcPr>
            <w:tcW w:w="547" w:type="dxa"/>
            <w:tcBorders>
              <w:left w:val="nil"/>
              <w:bottom w:val="nil"/>
              <w:right w:val="nil"/>
            </w:tcBorders>
          </w:tcPr>
          <w:p w:rsidR="006107C1" w:rsidRPr="0073005A" w:rsidRDefault="006107C1" w:rsidP="00D21DAA">
            <w:pPr>
              <w:jc w:val="center"/>
              <w:rPr>
                <w:rFonts w:eastAsia="MS Mincho"/>
                <w:b/>
              </w:rPr>
            </w:pPr>
          </w:p>
        </w:tc>
        <w:tc>
          <w:tcPr>
            <w:tcW w:w="1297" w:type="dxa"/>
            <w:tcBorders>
              <w:left w:val="nil"/>
              <w:bottom w:val="nil"/>
            </w:tcBorders>
          </w:tcPr>
          <w:p w:rsidR="006107C1" w:rsidRPr="0073005A" w:rsidRDefault="006107C1" w:rsidP="00D21DAA">
            <w:pPr>
              <w:ind w:left="54"/>
              <w:rPr>
                <w:b/>
              </w:rPr>
            </w:pPr>
          </w:p>
        </w:tc>
      </w:tr>
      <w:tr w:rsidR="006107C1" w:rsidRPr="0073005A" w:rsidTr="00D21DAA">
        <w:tc>
          <w:tcPr>
            <w:tcW w:w="3812" w:type="dxa"/>
            <w:tcBorders>
              <w:top w:val="nil"/>
              <w:bottom w:val="nil"/>
            </w:tcBorders>
            <w:shd w:val="clear" w:color="auto" w:fill="E2E2E2"/>
          </w:tcPr>
          <w:p w:rsidR="006107C1" w:rsidRPr="0073005A" w:rsidRDefault="006107C1" w:rsidP="00D21DAA">
            <w:pPr>
              <w:ind w:left="196" w:hanging="196"/>
              <w:rPr>
                <w:b/>
                <w:lang w:eastAsia="en-US"/>
              </w:rPr>
            </w:pPr>
            <w:r w:rsidRPr="0073005A">
              <w:rPr>
                <w:b/>
                <w:lang w:eastAsia="en-US"/>
              </w:rPr>
              <w:t xml:space="preserve">    vplyvy služieb verejnej správy na občana</w:t>
            </w:r>
          </w:p>
        </w:tc>
        <w:tc>
          <w:tcPr>
            <w:tcW w:w="541" w:type="dxa"/>
            <w:tcBorders>
              <w:top w:val="nil"/>
              <w:bottom w:val="nil"/>
              <w:right w:val="nil"/>
            </w:tcBorders>
          </w:tcPr>
          <w:p w:rsidR="006107C1" w:rsidRPr="0073005A" w:rsidRDefault="006107C1" w:rsidP="00D21DAA">
            <w:pPr>
              <w:jc w:val="center"/>
              <w:rPr>
                <w:rFonts w:eastAsia="MS Mincho"/>
                <w:b/>
                <w:lang w:eastAsia="en-US"/>
              </w:rPr>
            </w:pPr>
            <w:r w:rsidRPr="0073005A">
              <w:rPr>
                <w:rFonts w:ascii="Segoe UI Symbol" w:eastAsia="MS Mincho" w:hAnsi="Segoe UI Symbol" w:cs="Segoe UI Symbol"/>
                <w:b/>
                <w:lang w:eastAsia="en-US"/>
              </w:rPr>
              <w:t>☐</w:t>
            </w:r>
          </w:p>
        </w:tc>
        <w:tc>
          <w:tcPr>
            <w:tcW w:w="1281" w:type="dxa"/>
            <w:tcBorders>
              <w:top w:val="nil"/>
              <w:left w:val="nil"/>
              <w:bottom w:val="nil"/>
              <w:right w:val="nil"/>
            </w:tcBorders>
          </w:tcPr>
          <w:p w:rsidR="006107C1" w:rsidRPr="0073005A" w:rsidRDefault="006107C1" w:rsidP="00D21DAA">
            <w:pPr>
              <w:ind w:right="-108"/>
              <w:rPr>
                <w:b/>
                <w:lang w:eastAsia="en-US"/>
              </w:rPr>
            </w:pPr>
            <w:r w:rsidRPr="0073005A">
              <w:rPr>
                <w:b/>
                <w:lang w:eastAsia="en-US"/>
              </w:rPr>
              <w:t>Pozitívne</w:t>
            </w:r>
          </w:p>
        </w:tc>
        <w:tc>
          <w:tcPr>
            <w:tcW w:w="569" w:type="dxa"/>
            <w:tcBorders>
              <w:top w:val="nil"/>
              <w:left w:val="nil"/>
              <w:bottom w:val="nil"/>
              <w:right w:val="nil"/>
            </w:tcBorders>
          </w:tcPr>
          <w:p w:rsidR="006107C1" w:rsidRPr="0073005A" w:rsidRDefault="006107C1" w:rsidP="00D21DAA">
            <w:pPr>
              <w:jc w:val="center"/>
              <w:rPr>
                <w:rFonts w:eastAsia="MS Mincho"/>
                <w:b/>
                <w:lang w:eastAsia="en-US"/>
              </w:rPr>
            </w:pPr>
            <w:r w:rsidRPr="0073005A">
              <w:rPr>
                <w:rFonts w:ascii="Segoe UI Symbol" w:eastAsia="MS Gothic" w:hAnsi="Segoe UI Symbol" w:cs="Segoe UI Symbol"/>
                <w:b/>
              </w:rPr>
              <w:t>☒</w:t>
            </w:r>
          </w:p>
        </w:tc>
        <w:tc>
          <w:tcPr>
            <w:tcW w:w="1133" w:type="dxa"/>
            <w:tcBorders>
              <w:top w:val="nil"/>
              <w:left w:val="nil"/>
              <w:bottom w:val="nil"/>
              <w:right w:val="nil"/>
            </w:tcBorders>
          </w:tcPr>
          <w:p w:rsidR="006107C1" w:rsidRPr="0073005A" w:rsidRDefault="006107C1" w:rsidP="00D21DAA">
            <w:pPr>
              <w:rPr>
                <w:b/>
                <w:lang w:eastAsia="en-US"/>
              </w:rPr>
            </w:pPr>
            <w:r w:rsidRPr="0073005A">
              <w:rPr>
                <w:b/>
                <w:lang w:eastAsia="en-US"/>
              </w:rPr>
              <w:t>Žiadne</w:t>
            </w:r>
          </w:p>
        </w:tc>
        <w:tc>
          <w:tcPr>
            <w:tcW w:w="547" w:type="dxa"/>
            <w:tcBorders>
              <w:top w:val="nil"/>
              <w:left w:val="nil"/>
              <w:bottom w:val="nil"/>
              <w:right w:val="nil"/>
            </w:tcBorders>
          </w:tcPr>
          <w:p w:rsidR="006107C1" w:rsidRPr="0073005A" w:rsidRDefault="006107C1" w:rsidP="00D21DAA">
            <w:pPr>
              <w:jc w:val="center"/>
              <w:rPr>
                <w:rFonts w:eastAsia="MS Mincho"/>
                <w:b/>
                <w:lang w:eastAsia="en-US"/>
              </w:rPr>
            </w:pPr>
            <w:r w:rsidRPr="0073005A">
              <w:rPr>
                <w:rFonts w:ascii="Segoe UI Symbol" w:eastAsia="MS Mincho" w:hAnsi="Segoe UI Symbol" w:cs="Segoe UI Symbol"/>
                <w:b/>
                <w:lang w:eastAsia="en-US"/>
              </w:rPr>
              <w:t>☐</w:t>
            </w:r>
          </w:p>
        </w:tc>
        <w:tc>
          <w:tcPr>
            <w:tcW w:w="1297" w:type="dxa"/>
            <w:tcBorders>
              <w:top w:val="nil"/>
              <w:left w:val="nil"/>
              <w:bottom w:val="nil"/>
            </w:tcBorders>
          </w:tcPr>
          <w:p w:rsidR="006107C1" w:rsidRPr="0073005A" w:rsidRDefault="006107C1" w:rsidP="00D21DAA">
            <w:pPr>
              <w:ind w:left="54"/>
              <w:rPr>
                <w:b/>
                <w:lang w:eastAsia="en-US"/>
              </w:rPr>
            </w:pPr>
            <w:r w:rsidRPr="0073005A">
              <w:rPr>
                <w:b/>
                <w:lang w:eastAsia="en-US"/>
              </w:rPr>
              <w:t>Negatívne</w:t>
            </w:r>
          </w:p>
        </w:tc>
      </w:tr>
      <w:tr w:rsidR="006107C1" w:rsidRPr="0073005A" w:rsidTr="00D21DAA">
        <w:tc>
          <w:tcPr>
            <w:tcW w:w="3812" w:type="dxa"/>
            <w:tcBorders>
              <w:top w:val="nil"/>
            </w:tcBorders>
            <w:shd w:val="clear" w:color="auto" w:fill="E2E2E2"/>
          </w:tcPr>
          <w:p w:rsidR="006107C1" w:rsidRPr="0073005A" w:rsidRDefault="006107C1" w:rsidP="00D21DAA">
            <w:pPr>
              <w:ind w:left="168" w:hanging="168"/>
              <w:rPr>
                <w:b/>
                <w:lang w:eastAsia="en-US"/>
              </w:rPr>
            </w:pPr>
            <w:r w:rsidRPr="0073005A">
              <w:rPr>
                <w:b/>
                <w:lang w:eastAsia="en-US"/>
              </w:rPr>
              <w:t xml:space="preserve">    vplyvy na procesy služieb vo verejnej správe</w:t>
            </w:r>
          </w:p>
        </w:tc>
        <w:tc>
          <w:tcPr>
            <w:tcW w:w="541" w:type="dxa"/>
            <w:tcBorders>
              <w:top w:val="nil"/>
              <w:right w:val="nil"/>
            </w:tcBorders>
          </w:tcPr>
          <w:p w:rsidR="006107C1" w:rsidRPr="0073005A" w:rsidRDefault="006107C1" w:rsidP="00D21DAA">
            <w:pPr>
              <w:jc w:val="center"/>
              <w:rPr>
                <w:rFonts w:eastAsia="MS Mincho"/>
                <w:b/>
                <w:lang w:eastAsia="en-US"/>
              </w:rPr>
            </w:pPr>
            <w:r w:rsidRPr="0073005A">
              <w:rPr>
                <w:rFonts w:ascii="Segoe UI Symbol" w:eastAsia="MS Mincho" w:hAnsi="Segoe UI Symbol" w:cs="Segoe UI Symbol"/>
                <w:b/>
                <w:lang w:eastAsia="en-US"/>
              </w:rPr>
              <w:t>☐</w:t>
            </w:r>
          </w:p>
        </w:tc>
        <w:tc>
          <w:tcPr>
            <w:tcW w:w="1281" w:type="dxa"/>
            <w:tcBorders>
              <w:top w:val="nil"/>
              <w:left w:val="nil"/>
              <w:right w:val="nil"/>
            </w:tcBorders>
          </w:tcPr>
          <w:p w:rsidR="006107C1" w:rsidRPr="0073005A" w:rsidRDefault="006107C1" w:rsidP="00D21DAA">
            <w:pPr>
              <w:ind w:right="-108"/>
              <w:rPr>
                <w:b/>
                <w:lang w:eastAsia="en-US"/>
              </w:rPr>
            </w:pPr>
            <w:r w:rsidRPr="0073005A">
              <w:rPr>
                <w:b/>
                <w:lang w:eastAsia="en-US"/>
              </w:rPr>
              <w:t>Pozitívne</w:t>
            </w:r>
          </w:p>
        </w:tc>
        <w:tc>
          <w:tcPr>
            <w:tcW w:w="569" w:type="dxa"/>
            <w:tcBorders>
              <w:top w:val="nil"/>
              <w:left w:val="nil"/>
              <w:right w:val="nil"/>
            </w:tcBorders>
          </w:tcPr>
          <w:p w:rsidR="006107C1" w:rsidRPr="0073005A" w:rsidRDefault="006107C1" w:rsidP="00D21DAA">
            <w:pPr>
              <w:jc w:val="center"/>
              <w:rPr>
                <w:rFonts w:eastAsia="MS Mincho"/>
                <w:b/>
                <w:lang w:eastAsia="en-US"/>
              </w:rPr>
            </w:pPr>
            <w:r w:rsidRPr="0073005A">
              <w:rPr>
                <w:rFonts w:ascii="Segoe UI Symbol" w:eastAsia="MS Gothic" w:hAnsi="Segoe UI Symbol" w:cs="Segoe UI Symbol"/>
                <w:b/>
              </w:rPr>
              <w:t>☒</w:t>
            </w:r>
          </w:p>
        </w:tc>
        <w:tc>
          <w:tcPr>
            <w:tcW w:w="1133" w:type="dxa"/>
            <w:tcBorders>
              <w:top w:val="nil"/>
              <w:left w:val="nil"/>
              <w:right w:val="nil"/>
            </w:tcBorders>
          </w:tcPr>
          <w:p w:rsidR="006107C1" w:rsidRPr="0073005A" w:rsidRDefault="006107C1" w:rsidP="00D21DAA">
            <w:pPr>
              <w:rPr>
                <w:b/>
                <w:lang w:eastAsia="en-US"/>
              </w:rPr>
            </w:pPr>
            <w:r w:rsidRPr="0073005A">
              <w:rPr>
                <w:b/>
                <w:lang w:eastAsia="en-US"/>
              </w:rPr>
              <w:t>Žiadne</w:t>
            </w:r>
          </w:p>
        </w:tc>
        <w:tc>
          <w:tcPr>
            <w:tcW w:w="547" w:type="dxa"/>
            <w:tcBorders>
              <w:top w:val="nil"/>
              <w:left w:val="nil"/>
              <w:right w:val="nil"/>
            </w:tcBorders>
          </w:tcPr>
          <w:p w:rsidR="006107C1" w:rsidRPr="0073005A" w:rsidRDefault="006107C1" w:rsidP="00D21DAA">
            <w:pPr>
              <w:jc w:val="center"/>
              <w:rPr>
                <w:rFonts w:eastAsia="MS Mincho"/>
                <w:b/>
                <w:lang w:eastAsia="en-US"/>
              </w:rPr>
            </w:pPr>
            <w:r w:rsidRPr="0073005A">
              <w:rPr>
                <w:rFonts w:ascii="Segoe UI Symbol" w:eastAsia="MS Mincho" w:hAnsi="Segoe UI Symbol" w:cs="Segoe UI Symbol"/>
                <w:b/>
                <w:lang w:eastAsia="en-US"/>
              </w:rPr>
              <w:t>☐</w:t>
            </w:r>
          </w:p>
        </w:tc>
        <w:tc>
          <w:tcPr>
            <w:tcW w:w="1297" w:type="dxa"/>
            <w:tcBorders>
              <w:top w:val="nil"/>
              <w:left w:val="nil"/>
            </w:tcBorders>
          </w:tcPr>
          <w:p w:rsidR="006107C1" w:rsidRPr="0073005A" w:rsidRDefault="006107C1" w:rsidP="00D21DAA">
            <w:pPr>
              <w:ind w:left="54"/>
              <w:rPr>
                <w:b/>
                <w:lang w:eastAsia="en-US"/>
              </w:rPr>
            </w:pPr>
            <w:r w:rsidRPr="0073005A">
              <w:rPr>
                <w:b/>
                <w:lang w:eastAsia="en-US"/>
              </w:rPr>
              <w:t>Negatívne</w:t>
            </w:r>
          </w:p>
        </w:tc>
      </w:tr>
    </w:tbl>
    <w:p w:rsidR="006107C1" w:rsidRPr="0073005A" w:rsidRDefault="006107C1" w:rsidP="006107C1">
      <w:pPr>
        <w:ind w:right="141"/>
        <w:rPr>
          <w:b/>
        </w:rPr>
      </w:pPr>
    </w:p>
    <w:tbl>
      <w:tblPr>
        <w:tblStyle w:val="Mriekatabuky"/>
        <w:tblW w:w="9199" w:type="dxa"/>
        <w:tblLayout w:type="fixed"/>
        <w:tblLook w:val="04A0" w:firstRow="1" w:lastRow="0" w:firstColumn="1" w:lastColumn="0" w:noHBand="0" w:noVBand="1"/>
      </w:tblPr>
      <w:tblGrid>
        <w:gridCol w:w="9199"/>
      </w:tblGrid>
      <w:tr w:rsidR="006107C1" w:rsidRPr="0073005A" w:rsidTr="00D21DAA">
        <w:trPr>
          <w:trHeight w:val="229"/>
        </w:trPr>
        <w:tc>
          <w:tcPr>
            <w:tcW w:w="9199" w:type="dxa"/>
            <w:tcBorders>
              <w:bottom w:val="nil"/>
            </w:tcBorders>
            <w:shd w:val="clear" w:color="auto" w:fill="E2E2E2"/>
          </w:tcPr>
          <w:p w:rsidR="006107C1" w:rsidRPr="0073005A" w:rsidRDefault="006107C1" w:rsidP="006107C1">
            <w:pPr>
              <w:pStyle w:val="Odsekzoznamu"/>
              <w:numPr>
                <w:ilvl w:val="0"/>
                <w:numId w:val="16"/>
              </w:numPr>
              <w:ind w:left="426"/>
              <w:rPr>
                <w:rFonts w:ascii="Times New Roman" w:hAnsi="Times New Roman"/>
                <w:b/>
              </w:rPr>
            </w:pPr>
            <w:r w:rsidRPr="0073005A">
              <w:rPr>
                <w:rFonts w:ascii="Times New Roman" w:hAnsi="Times New Roman"/>
                <w:b/>
              </w:rPr>
              <w:t>Poznámky</w:t>
            </w:r>
          </w:p>
        </w:tc>
      </w:tr>
      <w:tr w:rsidR="006107C1" w:rsidRPr="0073005A" w:rsidTr="00D21DAA">
        <w:trPr>
          <w:trHeight w:val="592"/>
        </w:trPr>
        <w:tc>
          <w:tcPr>
            <w:tcW w:w="9199" w:type="dxa"/>
            <w:tcBorders>
              <w:top w:val="nil"/>
              <w:bottom w:val="single" w:sz="4" w:space="0" w:color="FFFFFF" w:themeColor="background1"/>
            </w:tcBorders>
          </w:tcPr>
          <w:p w:rsidR="006107C1" w:rsidRPr="002033E2" w:rsidRDefault="006107C1" w:rsidP="00D21DAA">
            <w:pPr>
              <w:jc w:val="both"/>
              <w:rPr>
                <w:i/>
              </w:rPr>
            </w:pPr>
            <w:r>
              <w:rPr>
                <w:i/>
              </w:rPr>
              <w:t xml:space="preserve">Poskytnutie návratnej finančnej výpomoci </w:t>
            </w:r>
            <w:r w:rsidRPr="00C86D50">
              <w:rPr>
                <w:i/>
              </w:rPr>
              <w:t xml:space="preserve">nebude mať vplyv na rozpočet verejnej správy </w:t>
            </w:r>
            <w:r>
              <w:rPr>
                <w:i/>
              </w:rPr>
              <w:t>vzhľadom k tomu, že pôjde o návratnú pomoc zo štátnych finančných aktív.</w:t>
            </w:r>
            <w:r w:rsidRPr="00C86D50">
              <w:rPr>
                <w:i/>
              </w:rPr>
              <w:t xml:space="preserve"> Opatrenie bude mať pozitívny vplyv na podnikateľské prostredie, pretože umožní </w:t>
            </w:r>
            <w:r>
              <w:rPr>
                <w:i/>
              </w:rPr>
              <w:t>cestovným kanceláriám</w:t>
            </w:r>
            <w:r w:rsidRPr="00C86D50">
              <w:rPr>
                <w:i/>
              </w:rPr>
              <w:t xml:space="preserve"> prekonať </w:t>
            </w:r>
            <w:r>
              <w:rPr>
                <w:i/>
              </w:rPr>
              <w:t>aktuálny nedostatok likvidity</w:t>
            </w:r>
            <w:r w:rsidRPr="00C86D50">
              <w:rPr>
                <w:i/>
              </w:rPr>
              <w:t>. </w:t>
            </w:r>
          </w:p>
        </w:tc>
      </w:tr>
      <w:tr w:rsidR="006107C1" w:rsidRPr="0073005A" w:rsidTr="00D21DAA">
        <w:trPr>
          <w:trHeight w:val="229"/>
        </w:trPr>
        <w:tc>
          <w:tcPr>
            <w:tcW w:w="9199" w:type="dxa"/>
            <w:tcBorders>
              <w:bottom w:val="single" w:sz="4" w:space="0" w:color="FFFFFF" w:themeColor="background1"/>
            </w:tcBorders>
            <w:shd w:val="clear" w:color="auto" w:fill="E2E2E2"/>
          </w:tcPr>
          <w:p w:rsidR="006107C1" w:rsidRPr="0073005A" w:rsidRDefault="006107C1" w:rsidP="006107C1">
            <w:pPr>
              <w:pStyle w:val="Odsekzoznamu"/>
              <w:numPr>
                <w:ilvl w:val="0"/>
                <w:numId w:val="16"/>
              </w:numPr>
              <w:ind w:left="426"/>
              <w:rPr>
                <w:rFonts w:ascii="Times New Roman" w:hAnsi="Times New Roman"/>
                <w:b/>
              </w:rPr>
            </w:pPr>
            <w:r w:rsidRPr="0073005A">
              <w:rPr>
                <w:rFonts w:ascii="Times New Roman" w:hAnsi="Times New Roman"/>
                <w:b/>
              </w:rPr>
              <w:t>Kontakt na spracovateľa</w:t>
            </w:r>
          </w:p>
        </w:tc>
      </w:tr>
      <w:tr w:rsidR="006107C1" w:rsidRPr="0073005A" w:rsidTr="00D21DAA">
        <w:trPr>
          <w:trHeight w:val="302"/>
        </w:trPr>
        <w:tc>
          <w:tcPr>
            <w:tcW w:w="9199" w:type="dxa"/>
            <w:tcBorders>
              <w:top w:val="single" w:sz="4" w:space="0" w:color="FFFFFF" w:themeColor="background1"/>
            </w:tcBorders>
            <w:shd w:val="clear" w:color="auto" w:fill="FFFFFF" w:themeFill="background1"/>
          </w:tcPr>
          <w:p w:rsidR="006107C1" w:rsidRPr="004D7001" w:rsidRDefault="006107C1" w:rsidP="00D21DAA">
            <w:pPr>
              <w:rPr>
                <w:i/>
              </w:rPr>
            </w:pPr>
            <w:r w:rsidRPr="004D7001">
              <w:rPr>
                <w:i/>
              </w:rPr>
              <w:t xml:space="preserve">Ing. </w:t>
            </w:r>
            <w:r>
              <w:rPr>
                <w:i/>
              </w:rPr>
              <w:t xml:space="preserve">Marián </w:t>
            </w:r>
            <w:proofErr w:type="spellStart"/>
            <w:r>
              <w:rPr>
                <w:i/>
              </w:rPr>
              <w:t>Podolák</w:t>
            </w:r>
            <w:proofErr w:type="spellEnd"/>
            <w:r w:rsidRPr="004D7001">
              <w:rPr>
                <w:i/>
              </w:rPr>
              <w:t>, odbor bankovníctva, MF SR</w:t>
            </w:r>
          </w:p>
          <w:p w:rsidR="006107C1" w:rsidRPr="004D7001" w:rsidRDefault="006107C1" w:rsidP="00D21DAA">
            <w:pPr>
              <w:rPr>
                <w:i/>
              </w:rPr>
            </w:pPr>
            <w:r w:rsidRPr="004D7001">
              <w:rPr>
                <w:i/>
              </w:rPr>
              <w:t>tel. č. 02/5958 25</w:t>
            </w:r>
            <w:r>
              <w:rPr>
                <w:i/>
              </w:rPr>
              <w:t>2</w:t>
            </w:r>
            <w:r w:rsidRPr="004D7001">
              <w:rPr>
                <w:i/>
              </w:rPr>
              <w:t>7</w:t>
            </w:r>
          </w:p>
          <w:p w:rsidR="006107C1" w:rsidRPr="0073005A" w:rsidRDefault="006107C1" w:rsidP="00D21DAA">
            <w:pPr>
              <w:rPr>
                <w:i/>
              </w:rPr>
            </w:pPr>
            <w:r w:rsidRPr="004D7001">
              <w:rPr>
                <w:i/>
              </w:rPr>
              <w:t xml:space="preserve">e-mail: </w:t>
            </w:r>
            <w:r>
              <w:rPr>
                <w:i/>
              </w:rPr>
              <w:t>marian</w:t>
            </w:r>
            <w:r w:rsidRPr="004D7001">
              <w:rPr>
                <w:i/>
              </w:rPr>
              <w:t>.</w:t>
            </w:r>
            <w:r>
              <w:rPr>
                <w:i/>
              </w:rPr>
              <w:t>podolak</w:t>
            </w:r>
            <w:r w:rsidRPr="004D7001">
              <w:rPr>
                <w:i/>
              </w:rPr>
              <w:t>@mfsr.sk</w:t>
            </w:r>
          </w:p>
        </w:tc>
      </w:tr>
      <w:tr w:rsidR="006107C1" w:rsidRPr="0073005A" w:rsidTr="00D21DAA">
        <w:trPr>
          <w:trHeight w:val="229"/>
        </w:trPr>
        <w:tc>
          <w:tcPr>
            <w:tcW w:w="9199" w:type="dxa"/>
            <w:tcBorders>
              <w:bottom w:val="single" w:sz="4" w:space="0" w:color="FFFFFF" w:themeColor="background1"/>
            </w:tcBorders>
            <w:shd w:val="clear" w:color="auto" w:fill="E2E2E2"/>
          </w:tcPr>
          <w:p w:rsidR="006107C1" w:rsidRPr="0073005A" w:rsidRDefault="006107C1" w:rsidP="006107C1">
            <w:pPr>
              <w:pStyle w:val="Odsekzoznamu"/>
              <w:numPr>
                <w:ilvl w:val="0"/>
                <w:numId w:val="16"/>
              </w:numPr>
              <w:ind w:left="426"/>
              <w:rPr>
                <w:rFonts w:ascii="Times New Roman" w:hAnsi="Times New Roman"/>
                <w:b/>
              </w:rPr>
            </w:pPr>
            <w:r w:rsidRPr="0073005A">
              <w:rPr>
                <w:rFonts w:ascii="Times New Roman" w:hAnsi="Times New Roman"/>
                <w:b/>
              </w:rPr>
              <w:t>Zdroje</w:t>
            </w:r>
          </w:p>
        </w:tc>
      </w:tr>
      <w:tr w:rsidR="006107C1" w:rsidRPr="0073005A" w:rsidTr="00D21DAA">
        <w:trPr>
          <w:trHeight w:val="172"/>
        </w:trPr>
        <w:tc>
          <w:tcPr>
            <w:tcW w:w="9199" w:type="dxa"/>
            <w:tcBorders>
              <w:top w:val="single" w:sz="4" w:space="0" w:color="FFFFFF" w:themeColor="background1"/>
            </w:tcBorders>
            <w:shd w:val="clear" w:color="auto" w:fill="FFFFFF" w:themeFill="background1"/>
          </w:tcPr>
          <w:p w:rsidR="006107C1" w:rsidRPr="0073005A" w:rsidRDefault="006107C1" w:rsidP="00D21DAA">
            <w:pPr>
              <w:rPr>
                <w:b/>
              </w:rPr>
            </w:pPr>
          </w:p>
        </w:tc>
      </w:tr>
      <w:tr w:rsidR="006107C1" w:rsidRPr="0073005A" w:rsidTr="00D21DAA">
        <w:trPr>
          <w:trHeight w:val="229"/>
        </w:trPr>
        <w:tc>
          <w:tcPr>
            <w:tcW w:w="9199" w:type="dxa"/>
            <w:tcBorders>
              <w:bottom w:val="single" w:sz="4" w:space="0" w:color="FFFFFF" w:themeColor="background1"/>
            </w:tcBorders>
            <w:shd w:val="clear" w:color="auto" w:fill="E2E2E2"/>
          </w:tcPr>
          <w:p w:rsidR="006107C1" w:rsidRPr="0073005A" w:rsidRDefault="006107C1" w:rsidP="006107C1">
            <w:pPr>
              <w:pStyle w:val="Odsekzoznamu"/>
              <w:numPr>
                <w:ilvl w:val="0"/>
                <w:numId w:val="16"/>
              </w:numPr>
              <w:ind w:left="426"/>
              <w:rPr>
                <w:rFonts w:ascii="Times New Roman" w:hAnsi="Times New Roman"/>
                <w:b/>
              </w:rPr>
            </w:pPr>
            <w:r w:rsidRPr="0073005A">
              <w:rPr>
                <w:rFonts w:ascii="Times New Roman" w:hAnsi="Times New Roman"/>
                <w:b/>
              </w:rPr>
              <w:t>Stanovisko Komisie pre posudzovanie vybraných vplyvov z PPK</w:t>
            </w:r>
          </w:p>
        </w:tc>
      </w:tr>
      <w:tr w:rsidR="006107C1" w:rsidRPr="0073005A" w:rsidTr="00D21DAA">
        <w:trPr>
          <w:trHeight w:val="166"/>
        </w:trPr>
        <w:tc>
          <w:tcPr>
            <w:tcW w:w="9199" w:type="dxa"/>
            <w:tcBorders>
              <w:top w:val="single" w:sz="4" w:space="0" w:color="FFFFFF" w:themeColor="background1"/>
            </w:tcBorders>
            <w:shd w:val="clear" w:color="auto" w:fill="FFFFFF" w:themeFill="background1"/>
          </w:tcPr>
          <w:p w:rsidR="006107C1" w:rsidRPr="00815217" w:rsidRDefault="006107C1" w:rsidP="00D21DAA">
            <w:pPr>
              <w:jc w:val="both"/>
            </w:pPr>
          </w:p>
        </w:tc>
      </w:tr>
    </w:tbl>
    <w:p w:rsidR="006107C1" w:rsidRDefault="006107C1" w:rsidP="006107C1">
      <w:pPr>
        <w:rPr>
          <w:b/>
        </w:rPr>
      </w:pPr>
    </w:p>
    <w:p w:rsidR="002D276D" w:rsidRPr="0073005A" w:rsidRDefault="002D276D" w:rsidP="006107C1">
      <w:pPr>
        <w:rPr>
          <w:b/>
        </w:rPr>
      </w:pPr>
    </w:p>
    <w:tbl>
      <w:tblPr>
        <w:tblStyle w:val="Mriekatabuky"/>
        <w:tblW w:w="0" w:type="auto"/>
        <w:tblLook w:val="04A0" w:firstRow="1" w:lastRow="0" w:firstColumn="1" w:lastColumn="0" w:noHBand="0" w:noVBand="1"/>
      </w:tblPr>
      <w:tblGrid>
        <w:gridCol w:w="9062"/>
      </w:tblGrid>
      <w:tr w:rsidR="002D276D" w:rsidRPr="00F04CCD" w:rsidTr="00C70D00">
        <w:trPr>
          <w:trHeight w:val="567"/>
        </w:trPr>
        <w:tc>
          <w:tcPr>
            <w:tcW w:w="9212" w:type="dxa"/>
            <w:shd w:val="clear" w:color="auto" w:fill="D9D9D9" w:themeFill="background1" w:themeFillShade="D9"/>
          </w:tcPr>
          <w:p w:rsidR="002D276D" w:rsidRPr="000442C3" w:rsidRDefault="002D276D" w:rsidP="00C70D00">
            <w:pPr>
              <w:jc w:val="center"/>
              <w:rPr>
                <w:b/>
              </w:rPr>
            </w:pPr>
            <w:r>
              <w:rPr>
                <w:b/>
              </w:rPr>
              <w:t>82</w:t>
            </w:r>
            <w:r w:rsidRPr="000442C3">
              <w:rPr>
                <w:b/>
              </w:rPr>
              <w:t xml:space="preserve">Analýza vplyvov na podnikateľské prostredie </w:t>
            </w:r>
          </w:p>
          <w:p w:rsidR="002D276D" w:rsidRPr="00F04CCD" w:rsidRDefault="002D276D" w:rsidP="00C70D00">
            <w:pPr>
              <w:jc w:val="center"/>
              <w:rPr>
                <w:b/>
              </w:rPr>
            </w:pPr>
            <w:r w:rsidRPr="000442C3">
              <w:rPr>
                <w:b/>
              </w:rPr>
              <w:t>(vrátane testu MSP)</w:t>
            </w:r>
          </w:p>
        </w:tc>
      </w:tr>
      <w:tr w:rsidR="002D276D" w:rsidRPr="00F04CCD" w:rsidTr="00C70D00">
        <w:trPr>
          <w:trHeight w:val="567"/>
        </w:trPr>
        <w:tc>
          <w:tcPr>
            <w:tcW w:w="9212" w:type="dxa"/>
            <w:shd w:val="clear" w:color="auto" w:fill="D9D9D9" w:themeFill="background1" w:themeFillShade="D9"/>
          </w:tcPr>
          <w:p w:rsidR="002D276D" w:rsidRPr="000442C3" w:rsidRDefault="002D276D" w:rsidP="00C70D00">
            <w:pPr>
              <w:rPr>
                <w:b/>
              </w:rPr>
            </w:pPr>
            <w:r w:rsidRPr="000442C3">
              <w:rPr>
                <w:b/>
              </w:rPr>
              <w:t>Materiál bude mať vplyv s ohľadom na veľkostnú kategóriu podnikov:</w:t>
            </w:r>
          </w:p>
        </w:tc>
      </w:tr>
      <w:tr w:rsidR="002D276D" w:rsidRPr="00F04CCD" w:rsidTr="00C70D00">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2D276D" w:rsidRPr="000442C3" w:rsidTr="00C70D00">
              <w:tc>
                <w:tcPr>
                  <w:tcW w:w="436" w:type="dxa"/>
                  <w:tcBorders>
                    <w:top w:val="nil"/>
                    <w:left w:val="nil"/>
                    <w:bottom w:val="nil"/>
                    <w:right w:val="nil"/>
                  </w:tcBorders>
                </w:tcPr>
                <w:p w:rsidR="002D276D" w:rsidRPr="000442C3" w:rsidRDefault="002D276D" w:rsidP="00C70D00">
                  <w:pPr>
                    <w:jc w:val="center"/>
                  </w:pPr>
                  <w:r w:rsidRPr="000442C3">
                    <w:rPr>
                      <w:rFonts w:ascii="Segoe UI Symbol" w:eastAsia="MS Gothic" w:hAnsi="Segoe UI Symbol" w:cs="Segoe UI Symbol"/>
                    </w:rPr>
                    <w:lastRenderedPageBreak/>
                    <w:t>☒</w:t>
                  </w:r>
                </w:p>
              </w:tc>
              <w:tc>
                <w:tcPr>
                  <w:tcW w:w="8545" w:type="dxa"/>
                  <w:tcBorders>
                    <w:top w:val="nil"/>
                    <w:left w:val="nil"/>
                    <w:bottom w:val="nil"/>
                    <w:right w:val="nil"/>
                  </w:tcBorders>
                </w:tcPr>
                <w:p w:rsidR="002D276D" w:rsidRPr="000442C3" w:rsidRDefault="002D276D" w:rsidP="00C70D00">
                  <w:pPr>
                    <w:rPr>
                      <w:b/>
                    </w:rPr>
                  </w:pPr>
                  <w:r w:rsidRPr="000442C3">
                    <w:rPr>
                      <w:b/>
                    </w:rPr>
                    <w:t xml:space="preserve">iba na MSP (0 - 249 zamestnancov) </w:t>
                  </w:r>
                </w:p>
              </w:tc>
            </w:tr>
            <w:tr w:rsidR="002D276D" w:rsidRPr="000442C3" w:rsidTr="00C70D00">
              <w:tc>
                <w:tcPr>
                  <w:tcW w:w="436" w:type="dxa"/>
                  <w:tcBorders>
                    <w:top w:val="nil"/>
                    <w:left w:val="nil"/>
                    <w:bottom w:val="nil"/>
                    <w:right w:val="nil"/>
                  </w:tcBorders>
                </w:tcPr>
                <w:p w:rsidR="002D276D" w:rsidRPr="000442C3" w:rsidRDefault="002D276D" w:rsidP="00C70D00">
                  <w:pPr>
                    <w:jc w:val="center"/>
                  </w:pPr>
                  <w:r w:rsidRPr="000442C3">
                    <w:rPr>
                      <w:rFonts w:ascii="Segoe UI Symbol" w:eastAsia="MS Mincho" w:hAnsi="Segoe UI Symbol" w:cs="Segoe UI Symbol"/>
                    </w:rPr>
                    <w:t>☐</w:t>
                  </w:r>
                </w:p>
              </w:tc>
              <w:tc>
                <w:tcPr>
                  <w:tcW w:w="8545" w:type="dxa"/>
                  <w:tcBorders>
                    <w:top w:val="nil"/>
                    <w:left w:val="nil"/>
                    <w:bottom w:val="nil"/>
                    <w:right w:val="nil"/>
                  </w:tcBorders>
                </w:tcPr>
                <w:p w:rsidR="002D276D" w:rsidRPr="000442C3" w:rsidRDefault="002D276D" w:rsidP="00C70D00">
                  <w:pPr>
                    <w:rPr>
                      <w:b/>
                    </w:rPr>
                  </w:pPr>
                  <w:r w:rsidRPr="000442C3">
                    <w:rPr>
                      <w:b/>
                    </w:rPr>
                    <w:t>iba na veľké podniky (250 a viac zamestnancov)</w:t>
                  </w:r>
                </w:p>
              </w:tc>
            </w:tr>
            <w:tr w:rsidR="002D276D" w:rsidRPr="000442C3" w:rsidTr="00C70D00">
              <w:tc>
                <w:tcPr>
                  <w:tcW w:w="436" w:type="dxa"/>
                  <w:tcBorders>
                    <w:top w:val="nil"/>
                    <w:left w:val="nil"/>
                    <w:bottom w:val="nil"/>
                    <w:right w:val="nil"/>
                  </w:tcBorders>
                </w:tcPr>
                <w:p w:rsidR="002D276D" w:rsidRPr="000442C3" w:rsidRDefault="002D276D" w:rsidP="00C70D00">
                  <w:pPr>
                    <w:jc w:val="center"/>
                  </w:pPr>
                  <w:r w:rsidRPr="000442C3">
                    <w:rPr>
                      <w:rFonts w:ascii="Segoe UI Symbol" w:eastAsia="MS Mincho" w:hAnsi="Segoe UI Symbol" w:cs="Segoe UI Symbol"/>
                    </w:rPr>
                    <w:t>☐</w:t>
                  </w:r>
                </w:p>
              </w:tc>
              <w:tc>
                <w:tcPr>
                  <w:tcW w:w="8545" w:type="dxa"/>
                  <w:tcBorders>
                    <w:top w:val="nil"/>
                    <w:left w:val="nil"/>
                    <w:bottom w:val="nil"/>
                    <w:right w:val="nil"/>
                  </w:tcBorders>
                </w:tcPr>
                <w:p w:rsidR="002D276D" w:rsidRPr="000442C3" w:rsidRDefault="002D276D" w:rsidP="00C70D00">
                  <w:r w:rsidRPr="000442C3">
                    <w:rPr>
                      <w:b/>
                    </w:rPr>
                    <w:t>na všetky kategórie podnikov</w:t>
                  </w:r>
                </w:p>
              </w:tc>
            </w:tr>
          </w:tbl>
          <w:p w:rsidR="002D276D" w:rsidRPr="000442C3" w:rsidRDefault="002D276D" w:rsidP="00C70D00">
            <w:pPr>
              <w:rPr>
                <w:b/>
              </w:rPr>
            </w:pPr>
          </w:p>
        </w:tc>
      </w:tr>
      <w:tr w:rsidR="002D276D" w:rsidRPr="00F04CCD" w:rsidTr="00C70D00">
        <w:tc>
          <w:tcPr>
            <w:tcW w:w="9212" w:type="dxa"/>
            <w:shd w:val="clear" w:color="auto" w:fill="D9D9D9" w:themeFill="background1" w:themeFillShade="D9"/>
          </w:tcPr>
          <w:p w:rsidR="002D276D" w:rsidRPr="000442C3" w:rsidRDefault="002D276D" w:rsidP="00C70D00">
            <w:pPr>
              <w:rPr>
                <w:b/>
              </w:rPr>
            </w:pPr>
            <w:r w:rsidRPr="000442C3">
              <w:rPr>
                <w:b/>
              </w:rPr>
              <w:t>3.1 Dotknuté podnikateľské subjekty</w:t>
            </w:r>
          </w:p>
          <w:p w:rsidR="002D276D" w:rsidRPr="000442C3" w:rsidRDefault="002D276D" w:rsidP="00C70D00">
            <w:pPr>
              <w:ind w:left="284"/>
              <w:rPr>
                <w:b/>
              </w:rPr>
            </w:pPr>
            <w:r w:rsidRPr="000442C3">
              <w:t xml:space="preserve"> - </w:t>
            </w:r>
            <w:r w:rsidRPr="000442C3">
              <w:rPr>
                <w:b/>
              </w:rPr>
              <w:t>z toho MSP</w:t>
            </w:r>
          </w:p>
        </w:tc>
      </w:tr>
      <w:tr w:rsidR="002D276D" w:rsidRPr="00F04CCD" w:rsidTr="00C70D00">
        <w:tc>
          <w:tcPr>
            <w:tcW w:w="9212" w:type="dxa"/>
            <w:shd w:val="clear" w:color="auto" w:fill="D9D9D9" w:themeFill="background1" w:themeFillShade="D9"/>
          </w:tcPr>
          <w:p w:rsidR="002D276D" w:rsidRPr="000442C3" w:rsidRDefault="002D276D" w:rsidP="00C70D00">
            <w:pPr>
              <w:rPr>
                <w:b/>
              </w:rPr>
            </w:pPr>
          </w:p>
        </w:tc>
      </w:tr>
      <w:tr w:rsidR="002D276D" w:rsidRPr="00F04CCD" w:rsidTr="00C70D00">
        <w:tc>
          <w:tcPr>
            <w:tcW w:w="9212" w:type="dxa"/>
            <w:shd w:val="clear" w:color="auto" w:fill="D9D9D9" w:themeFill="background1" w:themeFillShade="D9"/>
          </w:tcPr>
          <w:p w:rsidR="002D276D" w:rsidRPr="000442C3" w:rsidRDefault="002D276D" w:rsidP="00C70D00">
            <w:pPr>
              <w:rPr>
                <w:b/>
              </w:rPr>
            </w:pPr>
          </w:p>
        </w:tc>
      </w:tr>
      <w:tr w:rsidR="002D276D" w:rsidRPr="00F04CCD" w:rsidTr="00C70D00">
        <w:tc>
          <w:tcPr>
            <w:tcW w:w="9212" w:type="dxa"/>
          </w:tcPr>
          <w:p w:rsidR="002D276D" w:rsidRPr="000442C3" w:rsidRDefault="002D276D" w:rsidP="00C70D00">
            <w:pPr>
              <w:rPr>
                <w:i/>
              </w:rPr>
            </w:pPr>
            <w:r w:rsidRPr="000442C3">
              <w:rPr>
                <w:i/>
              </w:rPr>
              <w:t>Uveďte, aké podnikateľské subjekty budú predkladaným návrhom ovplyvnené.</w:t>
            </w:r>
          </w:p>
          <w:p w:rsidR="002D276D" w:rsidRPr="000442C3" w:rsidRDefault="002D276D" w:rsidP="00C70D00">
            <w:pPr>
              <w:rPr>
                <w:i/>
              </w:rPr>
            </w:pPr>
            <w:r w:rsidRPr="000442C3">
              <w:rPr>
                <w:i/>
              </w:rPr>
              <w:t>Aký je ich počet?</w:t>
            </w:r>
          </w:p>
        </w:tc>
      </w:tr>
      <w:tr w:rsidR="002D276D" w:rsidRPr="00F04CCD" w:rsidTr="00C70D00">
        <w:trPr>
          <w:trHeight w:val="1440"/>
        </w:trPr>
        <w:tc>
          <w:tcPr>
            <w:tcW w:w="9212" w:type="dxa"/>
          </w:tcPr>
          <w:p w:rsidR="002D276D" w:rsidRDefault="002D276D" w:rsidP="00C70D00">
            <w:pPr>
              <w:rPr>
                <w:i/>
              </w:rPr>
            </w:pPr>
          </w:p>
          <w:p w:rsidR="002D276D" w:rsidRDefault="002D276D" w:rsidP="00C70D00">
            <w:pPr>
              <w:rPr>
                <w:i/>
              </w:rPr>
            </w:pPr>
            <w:r w:rsidRPr="001A3C7B">
              <w:rPr>
                <w:i/>
              </w:rPr>
              <w:t>Navrhované opatreni</w:t>
            </w:r>
            <w:r>
              <w:rPr>
                <w:i/>
              </w:rPr>
              <w:t>e</w:t>
            </w:r>
            <w:r w:rsidRPr="001A3C7B">
              <w:rPr>
                <w:i/>
              </w:rPr>
              <w:t xml:space="preserve"> sa týka </w:t>
            </w:r>
            <w:r>
              <w:rPr>
                <w:i/>
              </w:rPr>
              <w:t>všetkých cestovných kancelárií, pričom sa predpokladá, že ho využijú</w:t>
            </w:r>
            <w:r w:rsidRPr="001A3C7B">
              <w:rPr>
                <w:i/>
              </w:rPr>
              <w:t xml:space="preserve"> </w:t>
            </w:r>
            <w:r>
              <w:rPr>
                <w:i/>
              </w:rPr>
              <w:t>tie cestovné kancelárie,</w:t>
            </w:r>
            <w:r w:rsidRPr="00EE1306">
              <w:rPr>
                <w:i/>
              </w:rPr>
              <w:t> </w:t>
            </w:r>
            <w:r>
              <w:rPr>
                <w:i/>
              </w:rPr>
              <w:t xml:space="preserve"> ktorých klienti  na základe prijatých opatrení v </w:t>
            </w:r>
            <w:r w:rsidRPr="00EE1306">
              <w:rPr>
                <w:i/>
              </w:rPr>
              <w:t xml:space="preserve">súvislosti s </w:t>
            </w:r>
            <w:r w:rsidRPr="001A3C7B">
              <w:rPr>
                <w:i/>
              </w:rPr>
              <w:t>vyhlásen</w:t>
            </w:r>
            <w:r>
              <w:rPr>
                <w:i/>
              </w:rPr>
              <w:t>ím</w:t>
            </w:r>
            <w:r w:rsidRPr="001A3C7B">
              <w:rPr>
                <w:i/>
              </w:rPr>
              <w:t xml:space="preserve"> mimoriadnej situácie </w:t>
            </w:r>
            <w:r>
              <w:rPr>
                <w:i/>
              </w:rPr>
              <w:t>požiadali o </w:t>
            </w:r>
            <w:r w:rsidRPr="00EE1306">
              <w:rPr>
                <w:i/>
              </w:rPr>
              <w:t>vráten</w:t>
            </w:r>
            <w:r>
              <w:rPr>
                <w:i/>
              </w:rPr>
              <w:t xml:space="preserve">ie </w:t>
            </w:r>
            <w:r w:rsidRPr="00EE1306">
              <w:rPr>
                <w:i/>
              </w:rPr>
              <w:t xml:space="preserve">zálohových platieb </w:t>
            </w:r>
            <w:r>
              <w:rPr>
                <w:i/>
              </w:rPr>
              <w:t>, pričom im tieto finančné prostriedky neboli</w:t>
            </w:r>
            <w:r w:rsidRPr="00EE1306">
              <w:rPr>
                <w:i/>
              </w:rPr>
              <w:t xml:space="preserve"> </w:t>
            </w:r>
            <w:r>
              <w:rPr>
                <w:i/>
              </w:rPr>
              <w:t xml:space="preserve">do 31.8.2021 vrátené alebo neboli spotrebované </w:t>
            </w:r>
            <w:r w:rsidRPr="00EE1306">
              <w:rPr>
                <w:i/>
              </w:rPr>
              <w:t>v zmysle § 33a zákona č. 170/2018 Z. z..</w:t>
            </w:r>
            <w:r>
              <w:rPr>
                <w:i/>
              </w:rPr>
              <w:t xml:space="preserve"> v</w:t>
            </w:r>
            <w:r w:rsidRPr="00EE1306">
              <w:rPr>
                <w:i/>
              </w:rPr>
              <w:t>o forme vystavených oznámení o náhradnom zájazde</w:t>
            </w:r>
            <w:r>
              <w:rPr>
                <w:i/>
              </w:rPr>
              <w:t>. Počet takýchto cestovných kancelárií je 82</w:t>
            </w:r>
            <w:r w:rsidRPr="001A3C7B">
              <w:rPr>
                <w:i/>
              </w:rPr>
              <w:t>.</w:t>
            </w:r>
          </w:p>
          <w:p w:rsidR="002D276D" w:rsidRPr="000442C3" w:rsidRDefault="002D276D" w:rsidP="00C70D00">
            <w:pPr>
              <w:rPr>
                <w:i/>
              </w:rPr>
            </w:pPr>
          </w:p>
        </w:tc>
      </w:tr>
      <w:tr w:rsidR="002D276D" w:rsidRPr="00F04CCD" w:rsidTr="00C70D00">
        <w:trPr>
          <w:trHeight w:val="339"/>
        </w:trPr>
        <w:tc>
          <w:tcPr>
            <w:tcW w:w="9212" w:type="dxa"/>
            <w:shd w:val="clear" w:color="auto" w:fill="D9D9D9" w:themeFill="background1" w:themeFillShade="D9"/>
          </w:tcPr>
          <w:p w:rsidR="002D276D" w:rsidRPr="000442C3" w:rsidRDefault="002D276D" w:rsidP="00C70D00">
            <w:pPr>
              <w:rPr>
                <w:b/>
              </w:rPr>
            </w:pPr>
            <w:r w:rsidRPr="000442C3">
              <w:rPr>
                <w:b/>
              </w:rPr>
              <w:t>3.2 Vyhodnotenie konzultácií</w:t>
            </w:r>
          </w:p>
          <w:p w:rsidR="002D276D" w:rsidRPr="000442C3" w:rsidRDefault="002D276D" w:rsidP="00C70D00">
            <w:pPr>
              <w:rPr>
                <w:b/>
              </w:rPr>
            </w:pPr>
            <w:r w:rsidRPr="000442C3">
              <w:t xml:space="preserve">       - </w:t>
            </w:r>
            <w:r w:rsidRPr="000442C3">
              <w:rPr>
                <w:b/>
              </w:rPr>
              <w:t>z toho MSP</w:t>
            </w:r>
          </w:p>
        </w:tc>
      </w:tr>
      <w:tr w:rsidR="002D276D" w:rsidRPr="00F04CCD" w:rsidTr="00C70D00">
        <w:trPr>
          <w:trHeight w:val="557"/>
        </w:trPr>
        <w:tc>
          <w:tcPr>
            <w:tcW w:w="9212" w:type="dxa"/>
          </w:tcPr>
          <w:p w:rsidR="002D276D" w:rsidRPr="000442C3" w:rsidRDefault="002D276D" w:rsidP="00C70D00">
            <w:pPr>
              <w:rPr>
                <w:i/>
              </w:rPr>
            </w:pPr>
            <w:r w:rsidRPr="000442C3">
              <w:rPr>
                <w:i/>
              </w:rPr>
              <w:t>Uveďte, akou formou (verejné alebo cielené konzultácie a prečo) a s kým bol návrh konzultovaný.</w:t>
            </w:r>
          </w:p>
          <w:p w:rsidR="002D276D" w:rsidRPr="000442C3" w:rsidRDefault="002D276D" w:rsidP="00C70D00">
            <w:pPr>
              <w:rPr>
                <w:i/>
              </w:rPr>
            </w:pPr>
            <w:r w:rsidRPr="000442C3">
              <w:rPr>
                <w:i/>
              </w:rPr>
              <w:t>Ako dlho trvali konzultácie?</w:t>
            </w:r>
          </w:p>
          <w:p w:rsidR="002D276D" w:rsidRPr="000442C3" w:rsidRDefault="002D276D" w:rsidP="00C70D00">
            <w:pPr>
              <w:rPr>
                <w:i/>
              </w:rPr>
            </w:pPr>
            <w:r w:rsidRPr="000442C3">
              <w:rPr>
                <w:i/>
              </w:rPr>
              <w:t xml:space="preserve">Uveďte hlavné body konzultácií a výsledky konzultácií. </w:t>
            </w:r>
          </w:p>
        </w:tc>
      </w:tr>
      <w:tr w:rsidR="002D276D" w:rsidRPr="00F04CCD" w:rsidTr="00C70D00">
        <w:trPr>
          <w:trHeight w:val="1440"/>
        </w:trPr>
        <w:tc>
          <w:tcPr>
            <w:tcW w:w="9212" w:type="dxa"/>
          </w:tcPr>
          <w:p w:rsidR="002D276D" w:rsidRDefault="002D276D" w:rsidP="00C70D00">
            <w:pPr>
              <w:rPr>
                <w:i/>
              </w:rPr>
            </w:pPr>
          </w:p>
          <w:p w:rsidR="002D276D" w:rsidRPr="000442C3" w:rsidRDefault="002D276D" w:rsidP="00C70D00">
            <w:pPr>
              <w:rPr>
                <w:i/>
              </w:rPr>
            </w:pPr>
            <w:r>
              <w:rPr>
                <w:i/>
              </w:rPr>
              <w:t>Z časového hľadiska neboli v rámci prípravy návrhu predmetom konzultácií.</w:t>
            </w:r>
          </w:p>
        </w:tc>
      </w:tr>
      <w:tr w:rsidR="002D276D" w:rsidRPr="00F04CCD" w:rsidTr="00C70D00">
        <w:tc>
          <w:tcPr>
            <w:tcW w:w="9212" w:type="dxa"/>
            <w:shd w:val="clear" w:color="auto" w:fill="D9D9D9" w:themeFill="background1" w:themeFillShade="D9"/>
          </w:tcPr>
          <w:p w:rsidR="002D276D" w:rsidRPr="000442C3" w:rsidRDefault="002D276D" w:rsidP="00C70D00">
            <w:pPr>
              <w:rPr>
                <w:b/>
              </w:rPr>
            </w:pPr>
            <w:r w:rsidRPr="000442C3">
              <w:rPr>
                <w:b/>
              </w:rPr>
              <w:t>3.3 Náklady regulácie</w:t>
            </w:r>
          </w:p>
          <w:p w:rsidR="002D276D" w:rsidRPr="000442C3" w:rsidRDefault="002D276D" w:rsidP="00C70D00">
            <w:pPr>
              <w:rPr>
                <w:b/>
              </w:rPr>
            </w:pPr>
            <w:r w:rsidRPr="000442C3">
              <w:t xml:space="preserve">      - </w:t>
            </w:r>
            <w:r w:rsidRPr="000442C3">
              <w:rPr>
                <w:b/>
              </w:rPr>
              <w:t>z toho MSP</w:t>
            </w:r>
          </w:p>
        </w:tc>
      </w:tr>
      <w:tr w:rsidR="002D276D" w:rsidRPr="00F04CCD" w:rsidTr="00C70D00">
        <w:tc>
          <w:tcPr>
            <w:tcW w:w="9212" w:type="dxa"/>
          </w:tcPr>
          <w:p w:rsidR="002D276D" w:rsidRPr="000442C3" w:rsidRDefault="002D276D" w:rsidP="00C70D00">
            <w:pPr>
              <w:rPr>
                <w:b/>
                <w:i/>
              </w:rPr>
            </w:pPr>
            <w:r w:rsidRPr="000442C3">
              <w:rPr>
                <w:b/>
                <w:i/>
              </w:rPr>
              <w:t>3.3.1 Priame finančné náklady</w:t>
            </w:r>
          </w:p>
          <w:p w:rsidR="002D276D" w:rsidRPr="000442C3" w:rsidRDefault="002D276D" w:rsidP="00C70D00">
            <w:pPr>
              <w:rPr>
                <w:i/>
              </w:rPr>
            </w:pPr>
            <w:r w:rsidRPr="000442C3">
              <w:rPr>
                <w:i/>
              </w:rPr>
              <w:t xml:space="preserve">Dochádza k zvýšeniu/zníženiu priamych finančných nákladov (poplatky, odvody, dane clá...)? Ak áno, popíšte a vyčíslite ich. Uveďte tiež spôsob ich výpočtu. </w:t>
            </w:r>
          </w:p>
        </w:tc>
      </w:tr>
      <w:tr w:rsidR="002D276D" w:rsidRPr="00F04CCD" w:rsidTr="00C70D00">
        <w:tc>
          <w:tcPr>
            <w:tcW w:w="9212" w:type="dxa"/>
          </w:tcPr>
          <w:p w:rsidR="002D276D" w:rsidRDefault="002D276D" w:rsidP="00C70D00">
            <w:r w:rsidRPr="000442C3">
              <w:t> </w:t>
            </w:r>
          </w:p>
          <w:p w:rsidR="002D276D" w:rsidRPr="000442C3" w:rsidRDefault="002D276D" w:rsidP="00C70D00">
            <w:pPr>
              <w:rPr>
                <w:b/>
                <w:i/>
              </w:rPr>
            </w:pPr>
            <w:r>
              <w:rPr>
                <w:i/>
              </w:rPr>
              <w:t>Ned</w:t>
            </w:r>
            <w:r w:rsidRPr="00E24B8F">
              <w:rPr>
                <w:i/>
              </w:rPr>
              <w:t>ochádza k</w:t>
            </w:r>
            <w:r>
              <w:rPr>
                <w:i/>
              </w:rPr>
              <w:t> zvýšeniu/</w:t>
            </w:r>
            <w:r w:rsidRPr="00E24B8F">
              <w:rPr>
                <w:i/>
              </w:rPr>
              <w:t>zníženiu priamych finančných nákladov</w:t>
            </w:r>
            <w:r>
              <w:rPr>
                <w:i/>
              </w:rPr>
              <w:t>.</w:t>
            </w:r>
          </w:p>
          <w:p w:rsidR="002D276D" w:rsidRPr="000442C3" w:rsidRDefault="002D276D" w:rsidP="00C70D00">
            <w:pPr>
              <w:rPr>
                <w:b/>
                <w:i/>
              </w:rPr>
            </w:pPr>
          </w:p>
          <w:p w:rsidR="002D276D" w:rsidRPr="000442C3" w:rsidRDefault="002D276D" w:rsidP="00C70D00">
            <w:pPr>
              <w:rPr>
                <w:b/>
                <w:i/>
              </w:rPr>
            </w:pPr>
          </w:p>
        </w:tc>
      </w:tr>
      <w:tr w:rsidR="002D276D" w:rsidRPr="00F04CCD" w:rsidTr="00C70D00">
        <w:tc>
          <w:tcPr>
            <w:tcW w:w="9212" w:type="dxa"/>
          </w:tcPr>
          <w:p w:rsidR="002D276D" w:rsidRPr="000442C3" w:rsidRDefault="002D276D" w:rsidP="00C70D00">
            <w:pPr>
              <w:rPr>
                <w:b/>
                <w:i/>
              </w:rPr>
            </w:pPr>
            <w:r w:rsidRPr="000442C3">
              <w:rPr>
                <w:b/>
                <w:i/>
              </w:rPr>
              <w:t>3.3.2 Nepriame finančné náklady</w:t>
            </w:r>
          </w:p>
          <w:p w:rsidR="002D276D" w:rsidRPr="000442C3" w:rsidRDefault="002D276D" w:rsidP="00C70D00">
            <w:pPr>
              <w:rPr>
                <w:i/>
              </w:rPr>
            </w:pPr>
            <w:r w:rsidRPr="000442C3">
              <w:rPr>
                <w:i/>
              </w:rPr>
              <w:t>Vyžaduje si predkladaný návrh dodatočné náklady na nákup tovarov alebo služieb? Zvyšuje predkladaný návrh náklady súvisiace so zamestnávaním? Ak áno, popíšte a vyčíslite ich. Uveďte tiež spôsob ich výpočtu.</w:t>
            </w:r>
          </w:p>
        </w:tc>
      </w:tr>
      <w:tr w:rsidR="002D276D" w:rsidRPr="00F04CCD" w:rsidTr="00C70D00">
        <w:tc>
          <w:tcPr>
            <w:tcW w:w="9212" w:type="dxa"/>
          </w:tcPr>
          <w:p w:rsidR="002D276D" w:rsidRDefault="002D276D" w:rsidP="00C70D00">
            <w:pPr>
              <w:rPr>
                <w:i/>
              </w:rPr>
            </w:pPr>
          </w:p>
          <w:p w:rsidR="002D276D" w:rsidRPr="000442C3" w:rsidRDefault="002D276D" w:rsidP="00C70D00">
            <w:pPr>
              <w:rPr>
                <w:i/>
              </w:rPr>
            </w:pPr>
            <w:r>
              <w:rPr>
                <w:i/>
              </w:rPr>
              <w:t>Nevyžaduje si n</w:t>
            </w:r>
            <w:r w:rsidRPr="000442C3">
              <w:rPr>
                <w:i/>
              </w:rPr>
              <w:t>epriame finančné náklady.</w:t>
            </w:r>
          </w:p>
          <w:p w:rsidR="002D276D" w:rsidRPr="000442C3" w:rsidRDefault="002D276D" w:rsidP="00C70D00">
            <w:pPr>
              <w:rPr>
                <w:b/>
                <w:i/>
              </w:rPr>
            </w:pPr>
          </w:p>
          <w:p w:rsidR="002D276D" w:rsidRPr="000442C3" w:rsidRDefault="002D276D" w:rsidP="00C70D00">
            <w:pPr>
              <w:rPr>
                <w:b/>
                <w:i/>
              </w:rPr>
            </w:pPr>
          </w:p>
          <w:p w:rsidR="002D276D" w:rsidRPr="000442C3" w:rsidRDefault="002D276D" w:rsidP="00C70D00">
            <w:pPr>
              <w:rPr>
                <w:b/>
                <w:i/>
              </w:rPr>
            </w:pPr>
          </w:p>
          <w:p w:rsidR="002D276D" w:rsidRPr="000442C3" w:rsidRDefault="002D276D" w:rsidP="00C70D00">
            <w:pPr>
              <w:rPr>
                <w:b/>
                <w:i/>
              </w:rPr>
            </w:pPr>
          </w:p>
          <w:p w:rsidR="002D276D" w:rsidRPr="000442C3" w:rsidRDefault="002D276D" w:rsidP="00C70D00">
            <w:pPr>
              <w:rPr>
                <w:b/>
                <w:i/>
              </w:rPr>
            </w:pPr>
          </w:p>
        </w:tc>
      </w:tr>
      <w:tr w:rsidR="002D276D" w:rsidRPr="00F04CCD" w:rsidTr="00C70D00">
        <w:tc>
          <w:tcPr>
            <w:tcW w:w="9212" w:type="dxa"/>
          </w:tcPr>
          <w:p w:rsidR="002D276D" w:rsidRPr="000442C3" w:rsidRDefault="002D276D" w:rsidP="00C70D00">
            <w:pPr>
              <w:rPr>
                <w:b/>
                <w:i/>
              </w:rPr>
            </w:pPr>
            <w:r w:rsidRPr="000442C3">
              <w:rPr>
                <w:b/>
                <w:i/>
              </w:rPr>
              <w:lastRenderedPageBreak/>
              <w:t>3.3.3 Administratívne náklady</w:t>
            </w:r>
          </w:p>
          <w:p w:rsidR="002D276D" w:rsidRPr="000442C3" w:rsidRDefault="002D276D" w:rsidP="00C70D00">
            <w:pPr>
              <w:rPr>
                <w:i/>
              </w:rPr>
            </w:pPr>
            <w:r w:rsidRPr="000442C3">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2D276D" w:rsidRPr="00F04CCD" w:rsidTr="00C70D00">
        <w:tc>
          <w:tcPr>
            <w:tcW w:w="9212" w:type="dxa"/>
          </w:tcPr>
          <w:p w:rsidR="002D276D" w:rsidRDefault="002D276D" w:rsidP="00C70D00">
            <w:pPr>
              <w:rPr>
                <w:i/>
              </w:rPr>
            </w:pPr>
          </w:p>
          <w:p w:rsidR="002D276D" w:rsidRPr="00463F8C" w:rsidRDefault="002D276D" w:rsidP="00C70D00">
            <w:pPr>
              <w:rPr>
                <w:i/>
              </w:rPr>
            </w:pPr>
            <w:r>
              <w:rPr>
                <w:i/>
              </w:rPr>
              <w:t>Nedochádza</w:t>
            </w:r>
            <w:r w:rsidRPr="000442C3">
              <w:rPr>
                <w:i/>
              </w:rPr>
              <w:t xml:space="preserve"> k zavedeniu nových informačných povinností alebo odstráneniu, príp. úprave existujúcich informačných povinností.</w:t>
            </w:r>
            <w:r>
              <w:rPr>
                <w:i/>
              </w:rPr>
              <w:t xml:space="preserve"> </w:t>
            </w:r>
            <w:r w:rsidRPr="00463F8C">
              <w:rPr>
                <w:i/>
              </w:rPr>
              <w:t xml:space="preserve">  </w:t>
            </w:r>
          </w:p>
          <w:p w:rsidR="002D276D" w:rsidRPr="00463F8C" w:rsidRDefault="002D276D" w:rsidP="00C70D00">
            <w:pPr>
              <w:rPr>
                <w:i/>
              </w:rPr>
            </w:pPr>
          </w:p>
          <w:p w:rsidR="002D276D" w:rsidRPr="00463F8C" w:rsidRDefault="002D276D" w:rsidP="00C70D00">
            <w:pPr>
              <w:rPr>
                <w:b/>
                <w:i/>
              </w:rPr>
            </w:pPr>
          </w:p>
          <w:p w:rsidR="002D276D" w:rsidRPr="00463F8C" w:rsidRDefault="002D276D" w:rsidP="00C70D00">
            <w:pPr>
              <w:rPr>
                <w:b/>
                <w:i/>
              </w:rPr>
            </w:pPr>
          </w:p>
          <w:p w:rsidR="002D276D" w:rsidRPr="00463F8C" w:rsidRDefault="002D276D" w:rsidP="00C70D00">
            <w:pPr>
              <w:rPr>
                <w:b/>
                <w:i/>
              </w:rPr>
            </w:pPr>
          </w:p>
        </w:tc>
      </w:tr>
      <w:tr w:rsidR="002D276D" w:rsidRPr="00F04CCD" w:rsidTr="00C70D00">
        <w:trPr>
          <w:trHeight w:val="2318"/>
        </w:trPr>
        <w:tc>
          <w:tcPr>
            <w:tcW w:w="9212" w:type="dxa"/>
          </w:tcPr>
          <w:p w:rsidR="002D276D" w:rsidRPr="000442C3" w:rsidRDefault="002D276D" w:rsidP="00C70D00">
            <w:pPr>
              <w:rPr>
                <w:i/>
              </w:rPr>
            </w:pPr>
            <w:r w:rsidRPr="000442C3">
              <w:rPr>
                <w:b/>
                <w:i/>
              </w:rPr>
              <w:t>3.3.4 Súhrnná tabuľka nákladov regulácie</w:t>
            </w:r>
          </w:p>
          <w:p w:rsidR="002D276D" w:rsidRPr="000442C3" w:rsidRDefault="002D276D" w:rsidP="00C70D00">
            <w:pPr>
              <w:rPr>
                <w:i/>
              </w:rPr>
            </w:pPr>
          </w:p>
          <w:tbl>
            <w:tblPr>
              <w:tblStyle w:val="Mriekatabuky"/>
              <w:tblW w:w="0" w:type="auto"/>
              <w:tblLook w:val="04A0" w:firstRow="1" w:lastRow="0" w:firstColumn="1" w:lastColumn="0" w:noHBand="0" w:noVBand="1"/>
            </w:tblPr>
            <w:tblGrid>
              <w:gridCol w:w="2951"/>
              <w:gridCol w:w="2939"/>
              <w:gridCol w:w="2946"/>
            </w:tblGrid>
            <w:tr w:rsidR="002D276D" w:rsidRPr="000442C3" w:rsidTr="00C70D00">
              <w:tc>
                <w:tcPr>
                  <w:tcW w:w="2993" w:type="dxa"/>
                  <w:tcBorders>
                    <w:top w:val="single" w:sz="4" w:space="0" w:color="auto"/>
                    <w:left w:val="single" w:sz="4" w:space="0" w:color="auto"/>
                    <w:bottom w:val="single" w:sz="4" w:space="0" w:color="auto"/>
                    <w:right w:val="single" w:sz="4" w:space="0" w:color="auto"/>
                  </w:tcBorders>
                </w:tcPr>
                <w:p w:rsidR="002D276D" w:rsidRPr="000442C3" w:rsidRDefault="002D276D" w:rsidP="00C70D00">
                  <w:pPr>
                    <w:rPr>
                      <w:i/>
                    </w:rPr>
                  </w:pPr>
                </w:p>
              </w:tc>
              <w:tc>
                <w:tcPr>
                  <w:tcW w:w="2994" w:type="dxa"/>
                  <w:tcBorders>
                    <w:top w:val="single" w:sz="4" w:space="0" w:color="auto"/>
                    <w:left w:val="single" w:sz="4" w:space="0" w:color="auto"/>
                    <w:bottom w:val="single" w:sz="4" w:space="0" w:color="auto"/>
                    <w:right w:val="single" w:sz="4" w:space="0" w:color="auto"/>
                  </w:tcBorders>
                </w:tcPr>
                <w:p w:rsidR="002D276D" w:rsidRPr="000442C3" w:rsidRDefault="002D276D" w:rsidP="00C70D00">
                  <w:pPr>
                    <w:jc w:val="center"/>
                    <w:rPr>
                      <w:i/>
                    </w:rPr>
                  </w:pPr>
                  <w:r w:rsidRPr="000442C3">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2D276D" w:rsidRPr="000442C3" w:rsidRDefault="002D276D" w:rsidP="00C70D00">
                  <w:pPr>
                    <w:jc w:val="center"/>
                    <w:rPr>
                      <w:i/>
                    </w:rPr>
                  </w:pPr>
                  <w:r w:rsidRPr="000442C3">
                    <w:rPr>
                      <w:i/>
                    </w:rPr>
                    <w:t>Náklady na celé podnikateľské prostredie</w:t>
                  </w:r>
                </w:p>
              </w:tc>
            </w:tr>
            <w:tr w:rsidR="002D276D" w:rsidRPr="000442C3" w:rsidTr="00C70D00">
              <w:tc>
                <w:tcPr>
                  <w:tcW w:w="2993" w:type="dxa"/>
                  <w:tcBorders>
                    <w:top w:val="single" w:sz="4" w:space="0" w:color="auto"/>
                    <w:left w:val="single" w:sz="4" w:space="0" w:color="auto"/>
                    <w:bottom w:val="single" w:sz="4" w:space="0" w:color="auto"/>
                    <w:right w:val="single" w:sz="4" w:space="0" w:color="auto"/>
                  </w:tcBorders>
                </w:tcPr>
                <w:p w:rsidR="002D276D" w:rsidRPr="000442C3" w:rsidRDefault="002D276D" w:rsidP="00C70D00">
                  <w:pPr>
                    <w:rPr>
                      <w:i/>
                    </w:rPr>
                  </w:pPr>
                  <w:r w:rsidRPr="000442C3">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2D276D" w:rsidRPr="00E24B8F" w:rsidRDefault="002D276D" w:rsidP="00C70D00">
                  <w:pPr>
                    <w:jc w:val="center"/>
                    <w:rPr>
                      <w:i/>
                    </w:rPr>
                  </w:pPr>
                  <w:r>
                    <w:rPr>
                      <w:i/>
                    </w:rPr>
                    <w:t>-</w:t>
                  </w:r>
                </w:p>
              </w:tc>
              <w:tc>
                <w:tcPr>
                  <w:tcW w:w="2994" w:type="dxa"/>
                  <w:tcBorders>
                    <w:top w:val="single" w:sz="4" w:space="0" w:color="auto"/>
                    <w:left w:val="single" w:sz="4" w:space="0" w:color="auto"/>
                    <w:bottom w:val="single" w:sz="4" w:space="0" w:color="auto"/>
                    <w:right w:val="single" w:sz="4" w:space="0" w:color="auto"/>
                  </w:tcBorders>
                </w:tcPr>
                <w:p w:rsidR="002D276D" w:rsidRPr="00E24B8F" w:rsidRDefault="002D276D" w:rsidP="00C70D00">
                  <w:pPr>
                    <w:jc w:val="center"/>
                    <w:rPr>
                      <w:i/>
                    </w:rPr>
                  </w:pPr>
                  <w:r>
                    <w:rPr>
                      <w:i/>
                    </w:rPr>
                    <w:t>-</w:t>
                  </w:r>
                </w:p>
              </w:tc>
            </w:tr>
            <w:tr w:rsidR="002D276D" w:rsidRPr="000442C3" w:rsidTr="00C70D00">
              <w:tc>
                <w:tcPr>
                  <w:tcW w:w="2993" w:type="dxa"/>
                  <w:tcBorders>
                    <w:top w:val="single" w:sz="4" w:space="0" w:color="auto"/>
                    <w:left w:val="single" w:sz="4" w:space="0" w:color="auto"/>
                    <w:bottom w:val="single" w:sz="4" w:space="0" w:color="auto"/>
                    <w:right w:val="single" w:sz="4" w:space="0" w:color="auto"/>
                  </w:tcBorders>
                </w:tcPr>
                <w:p w:rsidR="002D276D" w:rsidRPr="000442C3" w:rsidRDefault="002D276D" w:rsidP="00C70D00">
                  <w:pPr>
                    <w:rPr>
                      <w:i/>
                    </w:rPr>
                  </w:pPr>
                  <w:r w:rsidRPr="000442C3">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2D276D" w:rsidRPr="000442C3" w:rsidRDefault="002D276D" w:rsidP="00C70D00">
                  <w:pPr>
                    <w:jc w:val="center"/>
                    <w:rPr>
                      <w:i/>
                    </w:rPr>
                  </w:pPr>
                  <w:r>
                    <w:rPr>
                      <w:i/>
                    </w:rPr>
                    <w:t>-</w:t>
                  </w:r>
                </w:p>
              </w:tc>
              <w:tc>
                <w:tcPr>
                  <w:tcW w:w="2994" w:type="dxa"/>
                  <w:tcBorders>
                    <w:top w:val="single" w:sz="4" w:space="0" w:color="auto"/>
                    <w:left w:val="single" w:sz="4" w:space="0" w:color="auto"/>
                    <w:bottom w:val="single" w:sz="4" w:space="0" w:color="auto"/>
                    <w:right w:val="single" w:sz="4" w:space="0" w:color="auto"/>
                  </w:tcBorders>
                </w:tcPr>
                <w:p w:rsidR="002D276D" w:rsidRPr="000442C3" w:rsidRDefault="002D276D" w:rsidP="00C70D00">
                  <w:pPr>
                    <w:jc w:val="center"/>
                    <w:rPr>
                      <w:i/>
                    </w:rPr>
                  </w:pPr>
                  <w:r>
                    <w:rPr>
                      <w:i/>
                    </w:rPr>
                    <w:t>-</w:t>
                  </w:r>
                </w:p>
              </w:tc>
            </w:tr>
            <w:tr w:rsidR="002D276D" w:rsidRPr="000442C3" w:rsidTr="00C70D00">
              <w:tc>
                <w:tcPr>
                  <w:tcW w:w="2993" w:type="dxa"/>
                  <w:tcBorders>
                    <w:top w:val="single" w:sz="4" w:space="0" w:color="auto"/>
                    <w:left w:val="single" w:sz="4" w:space="0" w:color="auto"/>
                    <w:bottom w:val="single" w:sz="4" w:space="0" w:color="auto"/>
                    <w:right w:val="single" w:sz="4" w:space="0" w:color="auto"/>
                  </w:tcBorders>
                </w:tcPr>
                <w:p w:rsidR="002D276D" w:rsidRPr="000442C3" w:rsidRDefault="002D276D" w:rsidP="00C70D00">
                  <w:pPr>
                    <w:rPr>
                      <w:i/>
                    </w:rPr>
                  </w:pPr>
                  <w:r w:rsidRPr="000442C3">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2D276D" w:rsidRPr="000442C3" w:rsidRDefault="002D276D" w:rsidP="00C70D00">
                  <w:pPr>
                    <w:jc w:val="center"/>
                    <w:rPr>
                      <w:i/>
                    </w:rPr>
                  </w:pPr>
                  <w:r>
                    <w:rPr>
                      <w:i/>
                    </w:rPr>
                    <w:t>-</w:t>
                  </w:r>
                </w:p>
              </w:tc>
              <w:tc>
                <w:tcPr>
                  <w:tcW w:w="2994" w:type="dxa"/>
                  <w:tcBorders>
                    <w:top w:val="single" w:sz="4" w:space="0" w:color="auto"/>
                    <w:left w:val="single" w:sz="4" w:space="0" w:color="auto"/>
                    <w:bottom w:val="single" w:sz="4" w:space="0" w:color="auto"/>
                    <w:right w:val="single" w:sz="4" w:space="0" w:color="auto"/>
                  </w:tcBorders>
                </w:tcPr>
                <w:p w:rsidR="002D276D" w:rsidRPr="000442C3" w:rsidRDefault="002D276D" w:rsidP="00C70D00">
                  <w:pPr>
                    <w:jc w:val="center"/>
                    <w:rPr>
                      <w:i/>
                    </w:rPr>
                  </w:pPr>
                  <w:r>
                    <w:rPr>
                      <w:i/>
                    </w:rPr>
                    <w:t>-</w:t>
                  </w:r>
                </w:p>
              </w:tc>
            </w:tr>
            <w:tr w:rsidR="002D276D" w:rsidRPr="000442C3" w:rsidTr="00C70D00">
              <w:tc>
                <w:tcPr>
                  <w:tcW w:w="2993" w:type="dxa"/>
                  <w:tcBorders>
                    <w:top w:val="single" w:sz="4" w:space="0" w:color="auto"/>
                    <w:left w:val="single" w:sz="4" w:space="0" w:color="auto"/>
                    <w:bottom w:val="single" w:sz="4" w:space="0" w:color="auto"/>
                    <w:right w:val="single" w:sz="4" w:space="0" w:color="auto"/>
                  </w:tcBorders>
                </w:tcPr>
                <w:p w:rsidR="002D276D" w:rsidRPr="000442C3" w:rsidRDefault="002D276D" w:rsidP="00C70D00">
                  <w:pPr>
                    <w:rPr>
                      <w:b/>
                      <w:i/>
                    </w:rPr>
                  </w:pPr>
                  <w:r w:rsidRPr="000442C3">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2D276D" w:rsidRPr="00E24B8F" w:rsidRDefault="002D276D" w:rsidP="00C70D00">
                  <w:pPr>
                    <w:jc w:val="center"/>
                    <w:rPr>
                      <w:b/>
                      <w:i/>
                    </w:rPr>
                  </w:pPr>
                  <w:r>
                    <w:rPr>
                      <w:b/>
                      <w:i/>
                    </w:rPr>
                    <w:t>-</w:t>
                  </w:r>
                </w:p>
              </w:tc>
              <w:tc>
                <w:tcPr>
                  <w:tcW w:w="2994" w:type="dxa"/>
                  <w:tcBorders>
                    <w:top w:val="single" w:sz="4" w:space="0" w:color="auto"/>
                    <w:left w:val="single" w:sz="4" w:space="0" w:color="auto"/>
                    <w:bottom w:val="single" w:sz="4" w:space="0" w:color="auto"/>
                    <w:right w:val="single" w:sz="4" w:space="0" w:color="auto"/>
                  </w:tcBorders>
                </w:tcPr>
                <w:p w:rsidR="002D276D" w:rsidRPr="00E24B8F" w:rsidRDefault="002D276D" w:rsidP="00C70D00">
                  <w:pPr>
                    <w:jc w:val="center"/>
                    <w:rPr>
                      <w:b/>
                      <w:i/>
                    </w:rPr>
                  </w:pPr>
                  <w:r>
                    <w:rPr>
                      <w:b/>
                      <w:i/>
                    </w:rPr>
                    <w:t>-</w:t>
                  </w:r>
                </w:p>
              </w:tc>
            </w:tr>
          </w:tbl>
          <w:p w:rsidR="002D276D" w:rsidRPr="000442C3" w:rsidRDefault="002D276D" w:rsidP="00C70D00">
            <w:pPr>
              <w:rPr>
                <w:i/>
              </w:rPr>
            </w:pPr>
          </w:p>
        </w:tc>
      </w:tr>
      <w:tr w:rsidR="002D276D" w:rsidRPr="00F04CCD" w:rsidTr="00C70D00">
        <w:tc>
          <w:tcPr>
            <w:tcW w:w="9212" w:type="dxa"/>
            <w:shd w:val="clear" w:color="auto" w:fill="D9D9D9" w:themeFill="background1" w:themeFillShade="D9"/>
          </w:tcPr>
          <w:p w:rsidR="002D276D" w:rsidRPr="000442C3" w:rsidRDefault="002D276D" w:rsidP="00C70D00">
            <w:pPr>
              <w:rPr>
                <w:b/>
              </w:rPr>
            </w:pPr>
            <w:r w:rsidRPr="000442C3">
              <w:rPr>
                <w:b/>
              </w:rPr>
              <w:t>3.4 Konkurencieschopnosť a správanie sa podnikov na trhu</w:t>
            </w:r>
          </w:p>
          <w:p w:rsidR="002D276D" w:rsidRPr="000442C3" w:rsidRDefault="002D276D" w:rsidP="00C70D00">
            <w:r w:rsidRPr="000442C3">
              <w:rPr>
                <w:b/>
              </w:rPr>
              <w:t xml:space="preserve">       </w:t>
            </w:r>
            <w:r w:rsidRPr="000442C3">
              <w:t xml:space="preserve">- </w:t>
            </w:r>
            <w:r w:rsidRPr="000442C3">
              <w:rPr>
                <w:b/>
              </w:rPr>
              <w:t>z toho MSP</w:t>
            </w:r>
          </w:p>
        </w:tc>
      </w:tr>
      <w:tr w:rsidR="002D276D" w:rsidRPr="00F04CCD" w:rsidTr="00C70D00">
        <w:tc>
          <w:tcPr>
            <w:tcW w:w="9212" w:type="dxa"/>
          </w:tcPr>
          <w:p w:rsidR="002D276D" w:rsidRPr="000442C3" w:rsidRDefault="002D276D" w:rsidP="00C70D00">
            <w:pPr>
              <w:rPr>
                <w:i/>
              </w:rPr>
            </w:pPr>
            <w:r w:rsidRPr="000442C3">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0442C3">
              <w:rPr>
                <w:i/>
              </w:rPr>
              <w:t>mikro</w:t>
            </w:r>
            <w:proofErr w:type="spellEnd"/>
            <w:r w:rsidRPr="000442C3">
              <w:rPr>
                <w:i/>
              </w:rPr>
              <w:t>, malé a stredné podniky tzv. MSP)? Ak áno, popíšte.</w:t>
            </w:r>
          </w:p>
          <w:p w:rsidR="002D276D" w:rsidRPr="000442C3" w:rsidRDefault="002D276D" w:rsidP="00C70D00">
            <w:pPr>
              <w:rPr>
                <w:i/>
              </w:rPr>
            </w:pPr>
            <w:r w:rsidRPr="000442C3">
              <w:rPr>
                <w:i/>
              </w:rPr>
              <w:t>Aký vplyv bude mať navrhovaná zmena na obchodné bariéry? Bude mať vplyv na vyvolanie cezhraničných investícií (príliv /odliv zahraničných investícií resp. uplatnenie slovenských podnikov na zahraničných trhoch)? Ak áno, popíšte.</w:t>
            </w:r>
          </w:p>
          <w:p w:rsidR="002D276D" w:rsidRPr="000442C3" w:rsidRDefault="002D276D" w:rsidP="00C70D00">
            <w:pPr>
              <w:rPr>
                <w:i/>
              </w:rPr>
            </w:pPr>
            <w:r w:rsidRPr="000442C3">
              <w:rPr>
                <w:i/>
              </w:rPr>
              <w:t>Ako ovplyvní cenu alebo dostupnosť základných zdrojov (suroviny, mechanizmy, pracovná sila, energie atď.)?</w:t>
            </w:r>
          </w:p>
          <w:p w:rsidR="002D276D" w:rsidRPr="000442C3" w:rsidRDefault="002D276D" w:rsidP="00C70D00">
            <w:pPr>
              <w:rPr>
                <w:i/>
              </w:rPr>
            </w:pPr>
            <w:r w:rsidRPr="000442C3">
              <w:rPr>
                <w:i/>
              </w:rPr>
              <w:t>Ovplyvňuje prístup k financiám? Ak áno, ako?</w:t>
            </w:r>
          </w:p>
        </w:tc>
      </w:tr>
      <w:tr w:rsidR="002D276D" w:rsidRPr="00F04CCD" w:rsidTr="00C70D00">
        <w:trPr>
          <w:trHeight w:val="1282"/>
        </w:trPr>
        <w:tc>
          <w:tcPr>
            <w:tcW w:w="9212" w:type="dxa"/>
          </w:tcPr>
          <w:p w:rsidR="002D276D" w:rsidRDefault="002D276D" w:rsidP="00C70D00">
            <w:pPr>
              <w:rPr>
                <w:i/>
              </w:rPr>
            </w:pPr>
          </w:p>
          <w:p w:rsidR="002D276D" w:rsidRPr="000442C3" w:rsidRDefault="002D276D" w:rsidP="00C70D00">
            <w:pPr>
              <w:rPr>
                <w:i/>
              </w:rPr>
            </w:pPr>
            <w:r w:rsidRPr="001A3C7B">
              <w:rPr>
                <w:i/>
              </w:rPr>
              <w:t>Navrhovaným opatren</w:t>
            </w:r>
            <w:r>
              <w:rPr>
                <w:i/>
              </w:rPr>
              <w:t>ím</w:t>
            </w:r>
            <w:r w:rsidRPr="001A3C7B">
              <w:rPr>
                <w:i/>
              </w:rPr>
              <w:t xml:space="preserve"> sa </w:t>
            </w:r>
            <w:r w:rsidRPr="001B2948">
              <w:rPr>
                <w:i/>
              </w:rPr>
              <w:t xml:space="preserve">umožní </w:t>
            </w:r>
            <w:r>
              <w:rPr>
                <w:i/>
              </w:rPr>
              <w:t>cestovným kanceláriám</w:t>
            </w:r>
            <w:r w:rsidRPr="001B2948">
              <w:rPr>
                <w:i/>
              </w:rPr>
              <w:t xml:space="preserve"> prekonať </w:t>
            </w:r>
            <w:r>
              <w:rPr>
                <w:i/>
              </w:rPr>
              <w:t xml:space="preserve">aktuálny nedostatok likvidity </w:t>
            </w:r>
            <w:proofErr w:type="spellStart"/>
            <w:r w:rsidRPr="006A35FE">
              <w:rPr>
                <w:i/>
              </w:rPr>
              <w:t>viaž</w:t>
            </w:r>
            <w:r>
              <w:rPr>
                <w:i/>
              </w:rPr>
              <w:t>ú</w:t>
            </w:r>
            <w:r w:rsidRPr="006A35FE">
              <w:rPr>
                <w:i/>
              </w:rPr>
              <w:t>ci</w:t>
            </w:r>
            <w:proofErr w:type="spellEnd"/>
            <w:r>
              <w:rPr>
                <w:i/>
              </w:rPr>
              <w:t xml:space="preserve"> </w:t>
            </w:r>
            <w:r w:rsidRPr="006A35FE">
              <w:rPr>
                <w:i/>
              </w:rPr>
              <w:t xml:space="preserve">sa na </w:t>
            </w:r>
            <w:r>
              <w:rPr>
                <w:i/>
              </w:rPr>
              <w:t xml:space="preserve">potrebu </w:t>
            </w:r>
            <w:r w:rsidRPr="006A35FE">
              <w:rPr>
                <w:i/>
              </w:rPr>
              <w:t>vyplateni</w:t>
            </w:r>
            <w:r>
              <w:rPr>
                <w:i/>
              </w:rPr>
              <w:t>a</w:t>
            </w:r>
            <w:r w:rsidRPr="006A35FE">
              <w:rPr>
                <w:i/>
              </w:rPr>
              <w:t xml:space="preserve"> záloh klientov podľa </w:t>
            </w:r>
            <w:r w:rsidRPr="005673FE">
              <w:rPr>
                <w:i/>
              </w:rPr>
              <w:t>§ 21 bod 4</w:t>
            </w:r>
            <w:r>
              <w:rPr>
                <w:i/>
              </w:rPr>
              <w:t xml:space="preserve"> </w:t>
            </w:r>
            <w:r w:rsidRPr="006A35FE">
              <w:rPr>
                <w:i/>
              </w:rPr>
              <w:t>zákona</w:t>
            </w:r>
            <w:r>
              <w:t xml:space="preserve"> </w:t>
            </w:r>
            <w:r w:rsidRPr="005673FE">
              <w:rPr>
                <w:i/>
              </w:rPr>
              <w:t xml:space="preserve">č. 170/2018 </w:t>
            </w:r>
            <w:proofErr w:type="spellStart"/>
            <w:r w:rsidRPr="005673FE">
              <w:rPr>
                <w:i/>
              </w:rPr>
              <w:t>Z.z</w:t>
            </w:r>
            <w:proofErr w:type="spellEnd"/>
            <w:r w:rsidRPr="005673FE">
              <w:rPr>
                <w:i/>
              </w:rPr>
              <w:t>.</w:t>
            </w:r>
            <w:r>
              <w:rPr>
                <w:i/>
              </w:rPr>
              <w:t xml:space="preserve"> (úhrada do 14 dní od storna).</w:t>
            </w:r>
          </w:p>
        </w:tc>
      </w:tr>
      <w:tr w:rsidR="002D276D" w:rsidRPr="00F04CCD" w:rsidTr="00C70D00">
        <w:tc>
          <w:tcPr>
            <w:tcW w:w="9212" w:type="dxa"/>
            <w:shd w:val="clear" w:color="auto" w:fill="D9D9D9" w:themeFill="background1" w:themeFillShade="D9"/>
          </w:tcPr>
          <w:p w:rsidR="002D276D" w:rsidRPr="000442C3" w:rsidRDefault="002D276D" w:rsidP="00C70D00">
            <w:pPr>
              <w:rPr>
                <w:b/>
              </w:rPr>
            </w:pPr>
            <w:r w:rsidRPr="000442C3">
              <w:rPr>
                <w:b/>
              </w:rPr>
              <w:t xml:space="preserve">3.5 Inovácie </w:t>
            </w:r>
          </w:p>
          <w:p w:rsidR="002D276D" w:rsidRPr="000442C3" w:rsidRDefault="002D276D" w:rsidP="00C70D00">
            <w:pPr>
              <w:rPr>
                <w:b/>
              </w:rPr>
            </w:pPr>
            <w:r w:rsidRPr="000442C3">
              <w:t xml:space="preserve">       - </w:t>
            </w:r>
            <w:r w:rsidRPr="000442C3">
              <w:rPr>
                <w:b/>
              </w:rPr>
              <w:t>z toho MSP</w:t>
            </w:r>
          </w:p>
        </w:tc>
      </w:tr>
      <w:tr w:rsidR="002D276D" w:rsidRPr="00F04CCD" w:rsidTr="00C70D00">
        <w:tc>
          <w:tcPr>
            <w:tcW w:w="9212" w:type="dxa"/>
          </w:tcPr>
          <w:p w:rsidR="002D276D" w:rsidRPr="000442C3" w:rsidRDefault="002D276D" w:rsidP="00C70D00">
            <w:pPr>
              <w:rPr>
                <w:i/>
              </w:rPr>
            </w:pPr>
            <w:r w:rsidRPr="000442C3">
              <w:rPr>
                <w:i/>
              </w:rPr>
              <w:t>Uveďte, ako podporuje navrhovaná zmena inovácie.</w:t>
            </w:r>
          </w:p>
          <w:p w:rsidR="002D276D" w:rsidRPr="000442C3" w:rsidRDefault="002D276D" w:rsidP="00C70D00">
            <w:pPr>
              <w:rPr>
                <w:i/>
              </w:rPr>
            </w:pPr>
            <w:r w:rsidRPr="000442C3">
              <w:rPr>
                <w:i/>
              </w:rPr>
              <w:t>Zjednodušuje uvedenie alebo rozšírenie nových výrobných metód, technológií a výrobkov na trh?</w:t>
            </w:r>
          </w:p>
          <w:p w:rsidR="002D276D" w:rsidRPr="000442C3" w:rsidRDefault="002D276D" w:rsidP="00C70D00">
            <w:pPr>
              <w:rPr>
                <w:i/>
              </w:rPr>
            </w:pPr>
            <w:r w:rsidRPr="000442C3">
              <w:rPr>
                <w:i/>
              </w:rPr>
              <w:t>Uveďte, ako vplýva navrhovaná zmena na jednotlivé práva duševného vlastníctva (napr. patenty, ochranné známky, autorské práva, vlastníctvo know-how).</w:t>
            </w:r>
          </w:p>
          <w:p w:rsidR="002D276D" w:rsidRPr="000442C3" w:rsidRDefault="002D276D" w:rsidP="00C70D00">
            <w:pPr>
              <w:rPr>
                <w:i/>
              </w:rPr>
            </w:pPr>
            <w:r w:rsidRPr="000442C3">
              <w:rPr>
                <w:i/>
              </w:rPr>
              <w:t>Podporuje vyššiu efektivitu výroby/využívania zdrojov? Ak áno, ako?</w:t>
            </w:r>
          </w:p>
          <w:p w:rsidR="002D276D" w:rsidRPr="000442C3" w:rsidRDefault="002D276D" w:rsidP="00C70D00">
            <w:r w:rsidRPr="000442C3">
              <w:rPr>
                <w:i/>
              </w:rPr>
              <w:lastRenderedPageBreak/>
              <w:t>Vytvorí zmena nové pracovné miesta pre zamestnancov výskumu a vývoja v SR?</w:t>
            </w:r>
          </w:p>
        </w:tc>
      </w:tr>
      <w:tr w:rsidR="002D276D" w:rsidRPr="00F04CCD" w:rsidTr="00C70D00">
        <w:trPr>
          <w:trHeight w:val="1312"/>
        </w:trPr>
        <w:tc>
          <w:tcPr>
            <w:tcW w:w="9212" w:type="dxa"/>
          </w:tcPr>
          <w:p w:rsidR="002D276D" w:rsidRDefault="002D276D" w:rsidP="00C70D00">
            <w:pPr>
              <w:rPr>
                <w:i/>
              </w:rPr>
            </w:pPr>
          </w:p>
          <w:p w:rsidR="002D276D" w:rsidRPr="00E85121" w:rsidRDefault="002D276D" w:rsidP="00C70D00">
            <w:pPr>
              <w:rPr>
                <w:i/>
              </w:rPr>
            </w:pPr>
            <w:r w:rsidRPr="00E85121">
              <w:rPr>
                <w:i/>
              </w:rPr>
              <w:t>Nemá vplyv.</w:t>
            </w:r>
          </w:p>
        </w:tc>
      </w:tr>
    </w:tbl>
    <w:p w:rsidR="002D276D" w:rsidRPr="00F04CCD" w:rsidRDefault="002D276D" w:rsidP="002D276D"/>
    <w:p w:rsidR="002D276D" w:rsidRDefault="002D276D" w:rsidP="00366732">
      <w:pPr>
        <w:pStyle w:val="Zkladntext2"/>
        <w:rPr>
          <w:b/>
          <w:bCs/>
        </w:rPr>
      </w:pPr>
    </w:p>
    <w:p w:rsidR="006107C1" w:rsidRPr="00861EE0" w:rsidRDefault="006107C1" w:rsidP="006107C1">
      <w:pPr>
        <w:jc w:val="center"/>
        <w:rPr>
          <w:b/>
          <w:bCs/>
        </w:rPr>
      </w:pPr>
      <w:r w:rsidRPr="00861EE0">
        <w:rPr>
          <w:b/>
          <w:bCs/>
        </w:rPr>
        <w:t>DOLOŽKA ZLUČITEĽNOSTI</w:t>
      </w:r>
    </w:p>
    <w:p w:rsidR="006107C1" w:rsidRPr="00861EE0" w:rsidRDefault="006107C1" w:rsidP="006107C1">
      <w:pPr>
        <w:pBdr>
          <w:bottom w:val="single" w:sz="4" w:space="1" w:color="auto"/>
        </w:pBdr>
        <w:jc w:val="center"/>
        <w:rPr>
          <w:b/>
          <w:bCs/>
        </w:rPr>
      </w:pPr>
      <w:r w:rsidRPr="00861EE0">
        <w:rPr>
          <w:b/>
          <w:bCs/>
        </w:rPr>
        <w:t>návrhu zákona</w:t>
      </w:r>
      <w:r>
        <w:rPr>
          <w:color w:val="1F497D"/>
        </w:rPr>
        <w:t xml:space="preserve"> </w:t>
      </w:r>
      <w:r w:rsidRPr="00861EE0">
        <w:rPr>
          <w:b/>
          <w:bCs/>
        </w:rPr>
        <w:t>s právom Európskej únie</w:t>
      </w:r>
    </w:p>
    <w:p w:rsidR="006107C1" w:rsidRPr="00861EE0" w:rsidRDefault="006107C1" w:rsidP="006107C1">
      <w:pPr>
        <w:numPr>
          <w:ilvl w:val="0"/>
          <w:numId w:val="17"/>
        </w:numPr>
        <w:spacing w:after="120"/>
        <w:jc w:val="both"/>
      </w:pPr>
      <w:r w:rsidRPr="00861EE0">
        <w:rPr>
          <w:b/>
          <w:bCs/>
        </w:rPr>
        <w:t>Navrhovateľ zákona:</w:t>
      </w:r>
    </w:p>
    <w:p w:rsidR="006107C1" w:rsidRDefault="006107C1" w:rsidP="006107C1">
      <w:pPr>
        <w:ind w:firstLine="425"/>
        <w:jc w:val="both"/>
      </w:pPr>
    </w:p>
    <w:p w:rsidR="006107C1" w:rsidRPr="00861EE0" w:rsidRDefault="006107C1" w:rsidP="006107C1">
      <w:pPr>
        <w:ind w:firstLine="425"/>
        <w:jc w:val="both"/>
      </w:pPr>
      <w:r>
        <w:t>Vláda Slovenskej republiky</w:t>
      </w:r>
      <w:r w:rsidRPr="00861EE0">
        <w:t xml:space="preserve">. </w:t>
      </w:r>
    </w:p>
    <w:p w:rsidR="006107C1" w:rsidRPr="00861EE0" w:rsidRDefault="006107C1" w:rsidP="006107C1">
      <w:pPr>
        <w:jc w:val="both"/>
        <w:rPr>
          <w:b/>
          <w:bCs/>
        </w:rPr>
      </w:pPr>
    </w:p>
    <w:p w:rsidR="006107C1" w:rsidRPr="00861EE0" w:rsidRDefault="006107C1" w:rsidP="006107C1">
      <w:pPr>
        <w:numPr>
          <w:ilvl w:val="0"/>
          <w:numId w:val="17"/>
        </w:numPr>
        <w:spacing w:after="120"/>
        <w:jc w:val="both"/>
        <w:rPr>
          <w:b/>
          <w:bCs/>
        </w:rPr>
      </w:pPr>
      <w:r w:rsidRPr="00861EE0">
        <w:rPr>
          <w:b/>
          <w:bCs/>
        </w:rPr>
        <w:t>Názov návrhu zákona:</w:t>
      </w:r>
    </w:p>
    <w:p w:rsidR="006107C1" w:rsidRPr="004424F1" w:rsidRDefault="006107C1" w:rsidP="006107C1">
      <w:pPr>
        <w:pStyle w:val="Odsekzoznamu"/>
        <w:ind w:left="425"/>
        <w:jc w:val="both"/>
        <w:rPr>
          <w:color w:val="000000"/>
        </w:rPr>
      </w:pPr>
      <w:r w:rsidRPr="004424F1">
        <w:rPr>
          <w:color w:val="000000"/>
        </w:rPr>
        <w:t>Návrh zákona, ktorým sa dopĺňa zákon č. 67/2020 Z. z. o niektorých mimoriadnych opatreniach vo finančnej oblasti v súvislosti so šírením nebezpečnej nákazlivej ľudskej choroby COVID-19 v znení neskorších predpisov.</w:t>
      </w:r>
    </w:p>
    <w:p w:rsidR="006107C1" w:rsidRPr="00246B00" w:rsidRDefault="006107C1" w:rsidP="006107C1">
      <w:pPr>
        <w:ind w:left="425"/>
        <w:jc w:val="both"/>
        <w:rPr>
          <w:bCs/>
        </w:rPr>
      </w:pPr>
    </w:p>
    <w:p w:rsidR="006107C1" w:rsidRPr="00861EE0" w:rsidRDefault="006107C1" w:rsidP="006107C1">
      <w:pPr>
        <w:numPr>
          <w:ilvl w:val="0"/>
          <w:numId w:val="17"/>
        </w:numPr>
        <w:spacing w:after="240"/>
        <w:jc w:val="both"/>
        <w:rPr>
          <w:b/>
          <w:bCs/>
        </w:rPr>
      </w:pPr>
      <w:r w:rsidRPr="00861EE0">
        <w:rPr>
          <w:b/>
          <w:bCs/>
        </w:rPr>
        <w:t xml:space="preserve">Predmet návrhu zákona </w:t>
      </w:r>
      <w:r w:rsidRPr="00861EE0">
        <w:rPr>
          <w:b/>
          <w:lang w:eastAsia="cs-CZ"/>
        </w:rPr>
        <w:t>je upravený v práve Európskej únie:</w:t>
      </w:r>
    </w:p>
    <w:p w:rsidR="006107C1" w:rsidRPr="00CB4046" w:rsidRDefault="006107C1" w:rsidP="006107C1">
      <w:pPr>
        <w:pStyle w:val="Odsekzoznamu"/>
        <w:numPr>
          <w:ilvl w:val="1"/>
          <w:numId w:val="17"/>
        </w:numPr>
        <w:spacing w:after="120" w:line="276" w:lineRule="auto"/>
        <w:jc w:val="both"/>
        <w:rPr>
          <w:bCs/>
          <w:iCs/>
          <w:lang w:eastAsia="cs-CZ"/>
        </w:rPr>
      </w:pPr>
      <w:r w:rsidRPr="00CB4046">
        <w:rPr>
          <w:bCs/>
          <w:iCs/>
          <w:lang w:eastAsia="cs-CZ"/>
        </w:rPr>
        <w:t xml:space="preserve">Primárne právo: </w:t>
      </w:r>
    </w:p>
    <w:p w:rsidR="006107C1" w:rsidRPr="00CB4046" w:rsidRDefault="006107C1" w:rsidP="006107C1">
      <w:pPr>
        <w:numPr>
          <w:ilvl w:val="0"/>
          <w:numId w:val="18"/>
        </w:numPr>
        <w:spacing w:after="240"/>
        <w:ind w:left="901" w:hanging="391"/>
        <w:jc w:val="both"/>
        <w:rPr>
          <w:lang w:eastAsia="cs-CZ"/>
        </w:rPr>
      </w:pPr>
      <w:r w:rsidRPr="00CB4046">
        <w:t xml:space="preserve">čl. </w:t>
      </w:r>
      <w:r>
        <w:t xml:space="preserve">107 a 108 </w:t>
      </w:r>
      <w:r w:rsidRPr="00CB4046">
        <w:rPr>
          <w:lang w:eastAsia="cs-CZ"/>
        </w:rPr>
        <w:t>Zmluvy o fungovaní Európskej únie.</w:t>
      </w:r>
    </w:p>
    <w:p w:rsidR="006107C1" w:rsidRPr="00BD5A00" w:rsidRDefault="006107C1" w:rsidP="006107C1">
      <w:pPr>
        <w:pStyle w:val="Zarkazkladnhotextu"/>
        <w:numPr>
          <w:ilvl w:val="1"/>
          <w:numId w:val="17"/>
        </w:numPr>
        <w:spacing w:after="240"/>
        <w:jc w:val="both"/>
      </w:pPr>
      <w:r w:rsidRPr="00CB4046">
        <w:rPr>
          <w:bCs/>
          <w:iCs/>
        </w:rPr>
        <w:t>Sekundárne právo:</w:t>
      </w:r>
    </w:p>
    <w:p w:rsidR="006107C1" w:rsidRDefault="006107C1" w:rsidP="006107C1">
      <w:pPr>
        <w:pStyle w:val="Zarkazkladnhotextu"/>
        <w:autoSpaceDE w:val="0"/>
        <w:autoSpaceDN w:val="0"/>
        <w:adjustRightInd w:val="0"/>
        <w:ind w:left="510"/>
        <w:jc w:val="both"/>
      </w:pPr>
      <w:r>
        <w:t xml:space="preserve">- oznámenie Komisie </w:t>
      </w:r>
      <w:r w:rsidRPr="00D44C31">
        <w:t>Dočasný rámec pre opatrenia štátnej pomoci na podporu hospodárstva v súčasnej situácii spôsobenej nákazou COVID-19 2020</w:t>
      </w:r>
    </w:p>
    <w:p w:rsidR="006107C1" w:rsidRDefault="006107C1" w:rsidP="006107C1">
      <w:pPr>
        <w:pStyle w:val="Zarkazkladnhotextu"/>
        <w:autoSpaceDE w:val="0"/>
        <w:autoSpaceDN w:val="0"/>
        <w:adjustRightInd w:val="0"/>
        <w:ind w:left="510"/>
        <w:jc w:val="both"/>
      </w:pPr>
      <w:r>
        <w:t xml:space="preserve">(Ú. v. EÚ </w:t>
      </w:r>
      <w:r w:rsidRPr="00D44C31">
        <w:t>C 91 I/01</w:t>
      </w:r>
      <w:r>
        <w:t>, 20.3.2020), gestor: PMÚ SR,</w:t>
      </w:r>
    </w:p>
    <w:p w:rsidR="006107C1" w:rsidRDefault="006107C1" w:rsidP="006107C1">
      <w:pPr>
        <w:pStyle w:val="Zarkazkladnhotextu"/>
        <w:autoSpaceDE w:val="0"/>
        <w:autoSpaceDN w:val="0"/>
        <w:adjustRightInd w:val="0"/>
        <w:ind w:left="510"/>
        <w:jc w:val="both"/>
      </w:pPr>
      <w:r>
        <w:t>-   oznámenie Komisie Zmena d</w:t>
      </w:r>
      <w:r w:rsidRPr="00D44C31">
        <w:t>očasn</w:t>
      </w:r>
      <w:r>
        <w:t>ého</w:t>
      </w:r>
      <w:r w:rsidRPr="00D44C31">
        <w:t xml:space="preserve"> rám</w:t>
      </w:r>
      <w:r>
        <w:t>ca</w:t>
      </w:r>
      <w:r w:rsidRPr="00D44C31">
        <w:t xml:space="preserve"> pre opatrenia štátnej pomoci na podporu hospodárstva v súčasnej situácii spôsobenej nákazou COVID-19 2020</w:t>
      </w:r>
    </w:p>
    <w:p w:rsidR="006107C1" w:rsidRDefault="006107C1" w:rsidP="006107C1">
      <w:pPr>
        <w:pStyle w:val="Zarkazkladnhotextu"/>
        <w:autoSpaceDE w:val="0"/>
        <w:autoSpaceDN w:val="0"/>
        <w:adjustRightInd w:val="0"/>
        <w:ind w:left="510"/>
        <w:jc w:val="both"/>
      </w:pPr>
      <w:r>
        <w:t xml:space="preserve">(Ú. v. EÚ </w:t>
      </w:r>
      <w:r w:rsidRPr="00D44C31">
        <w:t xml:space="preserve">C </w:t>
      </w:r>
      <w:r>
        <w:t>112</w:t>
      </w:r>
      <w:r w:rsidRPr="00D44C31">
        <w:t xml:space="preserve"> I/01</w:t>
      </w:r>
      <w:r>
        <w:t>, 4.4.2020), gestor: PMÚ SR,</w:t>
      </w:r>
    </w:p>
    <w:p w:rsidR="006107C1" w:rsidRDefault="006107C1" w:rsidP="006107C1">
      <w:pPr>
        <w:pStyle w:val="Zarkazkladnhotextu"/>
        <w:autoSpaceDE w:val="0"/>
        <w:autoSpaceDN w:val="0"/>
        <w:adjustRightInd w:val="0"/>
        <w:ind w:left="510"/>
        <w:jc w:val="both"/>
      </w:pPr>
      <w:r>
        <w:t>-   oznámenie Komisie Zmena d</w:t>
      </w:r>
      <w:r w:rsidRPr="00D44C31">
        <w:t>očasn</w:t>
      </w:r>
      <w:r>
        <w:t>ého</w:t>
      </w:r>
      <w:r w:rsidRPr="00D44C31">
        <w:t xml:space="preserve"> rám</w:t>
      </w:r>
      <w:r>
        <w:t>ca</w:t>
      </w:r>
      <w:r w:rsidRPr="00D44C31">
        <w:t xml:space="preserve"> pre opatrenia štátnej pomoci na podporu hospodárstva v súčasnej situácii spôsobenej nákazou COVID-19 2020</w:t>
      </w:r>
    </w:p>
    <w:p w:rsidR="006107C1" w:rsidRDefault="006107C1" w:rsidP="006107C1">
      <w:pPr>
        <w:pStyle w:val="Zarkazkladnhotextu"/>
        <w:autoSpaceDE w:val="0"/>
        <w:autoSpaceDN w:val="0"/>
        <w:adjustRightInd w:val="0"/>
        <w:ind w:left="510"/>
        <w:jc w:val="both"/>
      </w:pPr>
      <w:r>
        <w:t xml:space="preserve">(Ú. v. EÚ </w:t>
      </w:r>
      <w:r w:rsidRPr="00D44C31">
        <w:t xml:space="preserve">C </w:t>
      </w:r>
      <w:r>
        <w:t>164</w:t>
      </w:r>
      <w:r w:rsidRPr="00D44C31">
        <w:t>/0</w:t>
      </w:r>
      <w:r>
        <w:t>3, 13.5.2020), gestor: PMÚ SR,</w:t>
      </w:r>
    </w:p>
    <w:p w:rsidR="006107C1" w:rsidRDefault="006107C1" w:rsidP="006107C1">
      <w:pPr>
        <w:pStyle w:val="Zarkazkladnhotextu"/>
        <w:autoSpaceDE w:val="0"/>
        <w:autoSpaceDN w:val="0"/>
        <w:adjustRightInd w:val="0"/>
        <w:ind w:left="510"/>
        <w:jc w:val="both"/>
      </w:pPr>
      <w:r>
        <w:t>-   oznámenie Komisie Tretia zmena d</w:t>
      </w:r>
      <w:r w:rsidRPr="00D44C31">
        <w:t>očasn</w:t>
      </w:r>
      <w:r>
        <w:t>ého</w:t>
      </w:r>
      <w:r w:rsidRPr="00D44C31">
        <w:t xml:space="preserve"> rám</w:t>
      </w:r>
      <w:r>
        <w:t>ca</w:t>
      </w:r>
      <w:r w:rsidRPr="00D44C31">
        <w:t xml:space="preserve"> pre opatrenia štátnej pomoci na podporu hospodárstva v súčasnej situácii spôsobenej nákazou COVID-19 2020</w:t>
      </w:r>
    </w:p>
    <w:p w:rsidR="006107C1" w:rsidRDefault="006107C1" w:rsidP="006107C1">
      <w:pPr>
        <w:pStyle w:val="Zarkazkladnhotextu"/>
        <w:autoSpaceDE w:val="0"/>
        <w:autoSpaceDN w:val="0"/>
        <w:adjustRightInd w:val="0"/>
        <w:ind w:left="510"/>
        <w:jc w:val="both"/>
      </w:pPr>
      <w:r>
        <w:t xml:space="preserve">(Ú. v. EÚ </w:t>
      </w:r>
      <w:r w:rsidRPr="00D44C31">
        <w:t xml:space="preserve">C </w:t>
      </w:r>
      <w:r>
        <w:t>218</w:t>
      </w:r>
      <w:r w:rsidRPr="00D44C31">
        <w:t>/</w:t>
      </w:r>
      <w:r>
        <w:t>03, 2.7.2020), gestor: PMÚ SR,</w:t>
      </w:r>
    </w:p>
    <w:p w:rsidR="006107C1" w:rsidRDefault="006107C1" w:rsidP="006107C1">
      <w:pPr>
        <w:pStyle w:val="Zarkazkladnhotextu"/>
        <w:autoSpaceDE w:val="0"/>
        <w:autoSpaceDN w:val="0"/>
        <w:adjustRightInd w:val="0"/>
        <w:spacing w:after="0"/>
        <w:ind w:left="510"/>
        <w:jc w:val="both"/>
      </w:pPr>
    </w:p>
    <w:p w:rsidR="006107C1" w:rsidRPr="00CB4046" w:rsidRDefault="006107C1" w:rsidP="006107C1">
      <w:pPr>
        <w:numPr>
          <w:ilvl w:val="1"/>
          <w:numId w:val="17"/>
        </w:numPr>
        <w:spacing w:after="120"/>
        <w:jc w:val="both"/>
        <w:rPr>
          <w:lang w:eastAsia="cs-CZ"/>
        </w:rPr>
      </w:pPr>
      <w:r w:rsidRPr="00CB4046">
        <w:rPr>
          <w:lang w:eastAsia="cs-CZ"/>
        </w:rPr>
        <w:t>Nie je obsiahnutá v judikatúre Súdneho dvora Európskej únie.</w:t>
      </w:r>
    </w:p>
    <w:p w:rsidR="006107C1" w:rsidRPr="00861EE0" w:rsidRDefault="006107C1" w:rsidP="006107C1">
      <w:pPr>
        <w:spacing w:after="120"/>
        <w:ind w:left="870"/>
        <w:jc w:val="both"/>
        <w:rPr>
          <w:lang w:eastAsia="cs-CZ"/>
        </w:rPr>
      </w:pPr>
    </w:p>
    <w:p w:rsidR="006107C1" w:rsidRPr="00861EE0" w:rsidRDefault="006107C1" w:rsidP="006107C1">
      <w:pPr>
        <w:numPr>
          <w:ilvl w:val="0"/>
          <w:numId w:val="17"/>
        </w:numPr>
        <w:spacing w:after="120"/>
        <w:jc w:val="both"/>
        <w:rPr>
          <w:b/>
          <w:bCs/>
        </w:rPr>
      </w:pPr>
      <w:r w:rsidRPr="00861EE0">
        <w:rPr>
          <w:b/>
          <w:bCs/>
        </w:rPr>
        <w:t>Záväzky Slovenskej republiky vo vzťahu k Európskej únii:</w:t>
      </w:r>
    </w:p>
    <w:p w:rsidR="006107C1" w:rsidRDefault="006107C1" w:rsidP="006107C1">
      <w:pPr>
        <w:numPr>
          <w:ilvl w:val="0"/>
          <w:numId w:val="19"/>
        </w:numPr>
        <w:tabs>
          <w:tab w:val="left" w:pos="851"/>
        </w:tabs>
        <w:spacing w:after="120"/>
        <w:ind w:left="567" w:hanging="141"/>
        <w:jc w:val="both"/>
        <w:rPr>
          <w:lang w:eastAsia="cs-CZ"/>
        </w:rPr>
      </w:pPr>
      <w:r>
        <w:t>lehota na prebratie príslušného právneho aktu Európskej únie, príp. aj osobitná lehota účinnosti jeho ustanovení</w:t>
      </w:r>
    </w:p>
    <w:p w:rsidR="006107C1" w:rsidRDefault="006107C1" w:rsidP="006107C1">
      <w:pPr>
        <w:tabs>
          <w:tab w:val="left" w:pos="425"/>
        </w:tabs>
        <w:spacing w:after="120"/>
        <w:ind w:left="425" w:firstLine="142"/>
        <w:jc w:val="both"/>
        <w:rPr>
          <w:lang w:eastAsia="cs-CZ"/>
        </w:rPr>
      </w:pPr>
      <w:r w:rsidRPr="00CB4046">
        <w:rPr>
          <w:i/>
          <w:lang w:eastAsia="cs-CZ"/>
        </w:rPr>
        <w:lastRenderedPageBreak/>
        <w:t>bezpredmetné.</w:t>
      </w:r>
    </w:p>
    <w:p w:rsidR="006107C1" w:rsidRPr="00220DA6" w:rsidRDefault="006107C1" w:rsidP="006107C1">
      <w:pPr>
        <w:numPr>
          <w:ilvl w:val="0"/>
          <w:numId w:val="19"/>
        </w:numPr>
        <w:tabs>
          <w:tab w:val="clear" w:pos="1570"/>
          <w:tab w:val="left" w:pos="851"/>
        </w:tabs>
        <w:spacing w:after="120"/>
        <w:ind w:left="567" w:hanging="141"/>
        <w:jc w:val="both"/>
        <w:rPr>
          <w:lang w:eastAsia="cs-CZ"/>
        </w:rPr>
      </w:pPr>
      <w:r>
        <w:rPr>
          <w:sz w:val="23"/>
          <w:szCs w:val="23"/>
        </w:rPr>
        <w:t>i</w:t>
      </w:r>
      <w:r w:rsidRPr="00CB4046">
        <w:rPr>
          <w:sz w:val="23"/>
          <w:szCs w:val="23"/>
        </w:rPr>
        <w:t>nformácia o začatí konania v rámci „EÚ P</w:t>
      </w:r>
      <w:r>
        <w:rPr>
          <w:sz w:val="23"/>
          <w:szCs w:val="23"/>
        </w:rPr>
        <w:t>ilot“ alebo o začatí postupu Eu</w:t>
      </w:r>
      <w:r w:rsidRPr="00CB4046">
        <w:rPr>
          <w:sz w:val="23"/>
          <w:szCs w:val="23"/>
        </w:rPr>
        <w:t>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w:t>
      </w:r>
      <w:r w:rsidRPr="00CB4046">
        <w:rPr>
          <w:bCs/>
          <w:sz w:val="23"/>
          <w:szCs w:val="23"/>
        </w:rPr>
        <w:t>ariadenie Európskeho parlamentu a Rady (ES) č. 1049/2001 z 30. mája 2001 o prístupe verejnosti k dokumentom Európskeho parlamentu, Rady a</w:t>
      </w:r>
      <w:r>
        <w:rPr>
          <w:bCs/>
          <w:sz w:val="23"/>
          <w:szCs w:val="23"/>
        </w:rPr>
        <w:t> </w:t>
      </w:r>
      <w:r w:rsidRPr="00CB4046">
        <w:rPr>
          <w:bCs/>
          <w:sz w:val="23"/>
          <w:szCs w:val="23"/>
        </w:rPr>
        <w:t>Komisie</w:t>
      </w:r>
    </w:p>
    <w:p w:rsidR="006107C1" w:rsidRPr="00220DA6" w:rsidRDefault="006107C1" w:rsidP="006107C1">
      <w:pPr>
        <w:spacing w:after="120"/>
        <w:ind w:left="567"/>
        <w:jc w:val="both"/>
        <w:rPr>
          <w:i/>
          <w:lang w:eastAsia="cs-CZ"/>
        </w:rPr>
      </w:pPr>
      <w:r>
        <w:rPr>
          <w:i/>
          <w:sz w:val="23"/>
          <w:szCs w:val="23"/>
        </w:rPr>
        <w:t>b</w:t>
      </w:r>
      <w:r w:rsidRPr="00220DA6">
        <w:rPr>
          <w:i/>
          <w:sz w:val="23"/>
          <w:szCs w:val="23"/>
        </w:rPr>
        <w:t>ezpredmetné</w:t>
      </w:r>
      <w:r>
        <w:rPr>
          <w:i/>
          <w:sz w:val="23"/>
          <w:szCs w:val="23"/>
        </w:rPr>
        <w:t>.</w:t>
      </w:r>
    </w:p>
    <w:p w:rsidR="006107C1" w:rsidRPr="00220DA6" w:rsidRDefault="006107C1" w:rsidP="006107C1">
      <w:pPr>
        <w:numPr>
          <w:ilvl w:val="0"/>
          <w:numId w:val="19"/>
        </w:numPr>
        <w:tabs>
          <w:tab w:val="clear" w:pos="1570"/>
          <w:tab w:val="left" w:pos="567"/>
          <w:tab w:val="left" w:pos="851"/>
        </w:tabs>
        <w:spacing w:after="120"/>
        <w:ind w:left="567" w:hanging="141"/>
        <w:jc w:val="both"/>
        <w:rPr>
          <w:lang w:eastAsia="cs-CZ"/>
        </w:rPr>
      </w:pPr>
      <w:r>
        <w:rPr>
          <w:sz w:val="23"/>
          <w:szCs w:val="23"/>
        </w:rPr>
        <w:t>informácia o právnych predpisoch, v ktorých sú uvádzané právne akty Európskej únie už prebrané, spolu s uvedením rozsahu ich prebrania, príp. potreby prijatia ďalších úprav</w:t>
      </w:r>
    </w:p>
    <w:p w:rsidR="006107C1" w:rsidRDefault="006107C1" w:rsidP="006107C1">
      <w:pPr>
        <w:tabs>
          <w:tab w:val="left" w:pos="425"/>
        </w:tabs>
        <w:spacing w:after="120"/>
        <w:ind w:left="425" w:firstLine="142"/>
        <w:jc w:val="both"/>
        <w:rPr>
          <w:i/>
          <w:sz w:val="23"/>
          <w:szCs w:val="23"/>
        </w:rPr>
      </w:pPr>
      <w:r w:rsidRPr="00220DA6">
        <w:rPr>
          <w:i/>
          <w:sz w:val="23"/>
          <w:szCs w:val="23"/>
        </w:rPr>
        <w:t>bezpredmetné.</w:t>
      </w:r>
    </w:p>
    <w:p w:rsidR="006107C1" w:rsidRPr="00220DA6" w:rsidRDefault="006107C1" w:rsidP="006107C1">
      <w:pPr>
        <w:tabs>
          <w:tab w:val="left" w:pos="425"/>
        </w:tabs>
        <w:spacing w:after="120"/>
        <w:ind w:left="425" w:firstLine="142"/>
        <w:jc w:val="both"/>
        <w:rPr>
          <w:i/>
          <w:lang w:eastAsia="cs-CZ"/>
        </w:rPr>
      </w:pPr>
    </w:p>
    <w:p w:rsidR="006107C1" w:rsidRPr="009E0CF7" w:rsidRDefault="006107C1" w:rsidP="006107C1">
      <w:pPr>
        <w:pStyle w:val="Odsekzoznamu"/>
        <w:numPr>
          <w:ilvl w:val="0"/>
          <w:numId w:val="17"/>
        </w:numPr>
        <w:tabs>
          <w:tab w:val="left" w:pos="425"/>
        </w:tabs>
        <w:spacing w:after="120"/>
        <w:jc w:val="both"/>
        <w:rPr>
          <w:b/>
          <w:lang w:eastAsia="cs-CZ"/>
        </w:rPr>
      </w:pPr>
      <w:r w:rsidRPr="009E0CF7">
        <w:rPr>
          <w:b/>
          <w:bCs/>
        </w:rPr>
        <w:t>Návrh zákona je zlučiteľný s právom Európskej únie:</w:t>
      </w:r>
    </w:p>
    <w:p w:rsidR="006107C1" w:rsidRDefault="006107C1" w:rsidP="006107C1">
      <w:pPr>
        <w:spacing w:after="120"/>
        <w:ind w:left="425" w:firstLine="142"/>
        <w:jc w:val="both"/>
        <w:rPr>
          <w:b/>
          <w:bCs/>
        </w:rPr>
      </w:pPr>
      <w:r w:rsidRPr="00861EE0">
        <w:t>Úplne.</w:t>
      </w:r>
      <w:r>
        <w:rPr>
          <w:b/>
          <w:bCs/>
        </w:rPr>
        <w:t xml:space="preserve"> </w:t>
      </w:r>
    </w:p>
    <w:p w:rsidR="006107C1" w:rsidRDefault="006107C1" w:rsidP="00366732">
      <w:pPr>
        <w:pStyle w:val="Zkladntext2"/>
        <w:rPr>
          <w:b/>
          <w:bCs/>
        </w:rPr>
      </w:pPr>
    </w:p>
    <w:p w:rsidR="00366732" w:rsidRPr="00207E46" w:rsidRDefault="00366732" w:rsidP="00366732">
      <w:pPr>
        <w:pStyle w:val="Zkladntext2"/>
        <w:rPr>
          <w:b/>
          <w:bCs/>
        </w:rPr>
      </w:pPr>
      <w:r w:rsidRPr="00207E46">
        <w:rPr>
          <w:b/>
          <w:bCs/>
        </w:rPr>
        <w:t>Osobitná časť</w:t>
      </w:r>
    </w:p>
    <w:p w:rsidR="00366732" w:rsidRPr="00207E46" w:rsidRDefault="00366732" w:rsidP="00366732">
      <w:pPr>
        <w:pStyle w:val="Zkladntext2"/>
        <w:ind w:firstLine="360"/>
        <w:rPr>
          <w:b/>
          <w:bCs/>
        </w:rPr>
      </w:pPr>
    </w:p>
    <w:p w:rsidR="00366732" w:rsidRDefault="00366732" w:rsidP="00366732">
      <w:pPr>
        <w:pStyle w:val="Zkladntext2"/>
        <w:rPr>
          <w:b/>
          <w:bCs/>
        </w:rPr>
      </w:pPr>
      <w:r w:rsidRPr="00207E46">
        <w:rPr>
          <w:b/>
          <w:bCs/>
        </w:rPr>
        <w:t>K </w:t>
      </w:r>
      <w:r w:rsidR="004D0CC6" w:rsidRPr="00207E46">
        <w:rPr>
          <w:b/>
          <w:bCs/>
        </w:rPr>
        <w:t>č</w:t>
      </w:r>
      <w:r w:rsidRPr="00207E46">
        <w:rPr>
          <w:b/>
          <w:bCs/>
        </w:rPr>
        <w:t>l. I</w:t>
      </w:r>
    </w:p>
    <w:p w:rsidR="00B13F61" w:rsidRDefault="00B13F61" w:rsidP="00366732">
      <w:pPr>
        <w:pStyle w:val="Zkladntext2"/>
        <w:rPr>
          <w:b/>
          <w:bCs/>
        </w:rPr>
      </w:pPr>
    </w:p>
    <w:p w:rsidR="00B13F61" w:rsidRPr="00207E46" w:rsidRDefault="00B13F61" w:rsidP="00366732">
      <w:pPr>
        <w:pStyle w:val="Zkladntext2"/>
        <w:rPr>
          <w:b/>
          <w:bCs/>
        </w:rPr>
      </w:pPr>
      <w:r>
        <w:rPr>
          <w:b/>
          <w:bCs/>
        </w:rPr>
        <w:t>K bodu 1</w:t>
      </w:r>
    </w:p>
    <w:p w:rsidR="00B13F61" w:rsidRDefault="00B13F61" w:rsidP="00B13F61">
      <w:pPr>
        <w:pStyle w:val="Zkladntext2"/>
      </w:pPr>
      <w:r>
        <w:t>Podľa § 50 ods. 11 zákona o dani z príjmov je prijímateľ podielu zaplatenej dane z príjmov povinný použiť tento podiel najneskôr do konca roka nasledujúceho po roku, v ktorom mu bol podiel zaplatenej dane poukázaný. Prostriedky, ktoré boli prijímateľom poukázané v roku 2020, sú títo povinní použiť do konca roku 2021. Ako opatrenie na zmiernenie následkov núdzového stavu, ktorým sa obmedzili možnosti realizovania viacerých aktivít a tým aj použitie podielu zaplatenej dane, sa novým § 24ac zákona navrhuje posunúť lehotu pre použitie prostriedkov z asignácie 2 % zo zaplatenej dane z príjmov za rok 2019, ktoré boli prijímateľom poukázané v roku 2020 o jeden kalendárny rok, teda do konca roka 2022. V nadväznosti na uvedenú úpravu lehoty na použitie prostriedkov z asignácie do konca roka 2022 dochádza k posunutiu lehoty na zverejnenie presnej špecifikácie použitia prijatého podielu zaplatenej dane do konca mája 2023.</w:t>
      </w:r>
    </w:p>
    <w:p w:rsidR="00B13F61" w:rsidRDefault="00B13F61" w:rsidP="00B13F61">
      <w:pPr>
        <w:pStyle w:val="Zkladntext2"/>
      </w:pPr>
    </w:p>
    <w:p w:rsidR="00B13F61" w:rsidRPr="00207E46" w:rsidRDefault="00B13F61" w:rsidP="00B13F61">
      <w:pPr>
        <w:pStyle w:val="Zkladntext2"/>
      </w:pPr>
      <w:r>
        <w:rPr>
          <w:b/>
        </w:rPr>
        <w:t>K bodu 2</w:t>
      </w:r>
      <w:r>
        <w:t xml:space="preserve"> </w:t>
      </w:r>
    </w:p>
    <w:p w:rsidR="00BE2D4C" w:rsidRPr="00207E46" w:rsidRDefault="00EF387A" w:rsidP="00EF387A">
      <w:pPr>
        <w:jc w:val="both"/>
      </w:pPr>
      <w:r w:rsidRPr="00207E46">
        <w:t>Navrhované ustanovenia § 25</w:t>
      </w:r>
      <w:r w:rsidR="00B72D90" w:rsidRPr="00207E46">
        <w:t>b</w:t>
      </w:r>
      <w:r w:rsidRPr="00207E46">
        <w:t xml:space="preserve"> </w:t>
      </w:r>
      <w:r w:rsidR="00207E46">
        <w:t xml:space="preserve">ods. 1 až 3 zákona </w:t>
      </w:r>
      <w:r w:rsidRPr="00207E46">
        <w:t xml:space="preserve">predstavujú právny základ pre poskytovanie </w:t>
      </w:r>
      <w:r w:rsidR="00442E64">
        <w:t xml:space="preserve">finančnej </w:t>
      </w:r>
      <w:r w:rsidRPr="00207E46">
        <w:t xml:space="preserve">pomoci v podobe </w:t>
      </w:r>
      <w:r w:rsidR="00B72D90" w:rsidRPr="00207E46">
        <w:t xml:space="preserve">verejných úverov za zvýhodnených úrokových podmienok </w:t>
      </w:r>
      <w:r w:rsidRPr="00207E46">
        <w:t xml:space="preserve">na zabezpečenie likvidity </w:t>
      </w:r>
      <w:r w:rsidR="00B72D90" w:rsidRPr="00207E46">
        <w:t>cestovných kancelárií,</w:t>
      </w:r>
      <w:r w:rsidRPr="00207E46">
        <w:t xml:space="preserve"> ktorá vychádza z Dočasného rámca pre opatrenia štátnej pomoci na podporu hospodárstva v súčasnej situácii spôsobenej nákazou COVID-19, schváleného EK (ďalej len „Dočasný rámec“). Táto f</w:t>
      </w:r>
      <w:r w:rsidRPr="00207E46">
        <w:rPr>
          <w:bCs/>
        </w:rPr>
        <w:t xml:space="preserve">inančná pomoc sa </w:t>
      </w:r>
      <w:r w:rsidR="00EF6E0D" w:rsidRPr="00207E46">
        <w:rPr>
          <w:bCs/>
        </w:rPr>
        <w:t xml:space="preserve">v podmienkach SR </w:t>
      </w:r>
      <w:r w:rsidRPr="00207E46">
        <w:t xml:space="preserve">bude poskytovať vo forme </w:t>
      </w:r>
      <w:r w:rsidR="00EF6E0D" w:rsidRPr="00207E46">
        <w:t xml:space="preserve">návratnej finančnej výpomoci zo štátnych finančných aktív. </w:t>
      </w:r>
      <w:r w:rsidRPr="00207E46">
        <w:t>Poskytovateľ</w:t>
      </w:r>
      <w:r w:rsidR="00EF6E0D" w:rsidRPr="00207E46">
        <w:t xml:space="preserve">om </w:t>
      </w:r>
      <w:r w:rsidR="00DA09FB" w:rsidRPr="00207E46">
        <w:t>t</w:t>
      </w:r>
      <w:r w:rsidRPr="00207E46">
        <w:t>ejto pomoci bud</w:t>
      </w:r>
      <w:r w:rsidR="00EF6E0D" w:rsidRPr="00207E46">
        <w:t xml:space="preserve">e Ministerstvo financií </w:t>
      </w:r>
      <w:r w:rsidR="00DA09FB" w:rsidRPr="00207E46">
        <w:t>SR.</w:t>
      </w:r>
      <w:r w:rsidRPr="00207E46">
        <w:t xml:space="preserve"> Prijímateľmi pomoci budú </w:t>
      </w:r>
      <w:r w:rsidR="00B72D90" w:rsidRPr="00207E46">
        <w:t>cestovné kancelá</w:t>
      </w:r>
      <w:r w:rsidR="00BE2D4C" w:rsidRPr="00207E46">
        <w:t>r</w:t>
      </w:r>
      <w:r w:rsidR="00B72D90" w:rsidRPr="00207E46">
        <w:t>ie</w:t>
      </w:r>
      <w:r w:rsidR="00BE2D4C" w:rsidRPr="00207E46">
        <w:t xml:space="preserve"> definované zákonom o zájazdoch.</w:t>
      </w:r>
    </w:p>
    <w:p w:rsidR="00EF387A" w:rsidRPr="00207E46" w:rsidRDefault="00BE2D4C" w:rsidP="00EF387A">
      <w:pPr>
        <w:jc w:val="both"/>
      </w:pPr>
      <w:r w:rsidRPr="00207E46">
        <w:t>Fi</w:t>
      </w:r>
      <w:r w:rsidR="00EF387A" w:rsidRPr="00207E46">
        <w:t xml:space="preserve">nančná pomoc sa bude môcť poskytovať </w:t>
      </w:r>
      <w:r w:rsidR="004E5E91">
        <w:t>v</w:t>
      </w:r>
      <w:r w:rsidR="00EF387A" w:rsidRPr="00207E46">
        <w:t> súlade Dočasným rámcom</w:t>
      </w:r>
      <w:r w:rsidRPr="00207E46">
        <w:t xml:space="preserve"> a za </w:t>
      </w:r>
      <w:r w:rsidR="00EF387A" w:rsidRPr="00207E46">
        <w:t xml:space="preserve">podmienok upravených v zmluve </w:t>
      </w:r>
      <w:r w:rsidRPr="00207E46">
        <w:t>o návratnej finančnej výpomoci medzi Ministerstvo</w:t>
      </w:r>
      <w:r w:rsidR="00442E64">
        <w:t>m</w:t>
      </w:r>
      <w:r w:rsidRPr="00207E46">
        <w:t xml:space="preserve"> financií SR a príslušnou cestovnou kanceláriou. </w:t>
      </w:r>
      <w:r w:rsidR="00EF387A" w:rsidRPr="00207E46">
        <w:t xml:space="preserve">Základné podmienky v zmluve </w:t>
      </w:r>
      <w:r w:rsidRPr="00207E46">
        <w:t xml:space="preserve">o návratnej finančnej výpomoci (max. výška návratnej finančnej výpomoci, úroková sadzba a splatnosť)  </w:t>
      </w:r>
      <w:r w:rsidR="00EF387A" w:rsidRPr="00207E46">
        <w:t xml:space="preserve">budú </w:t>
      </w:r>
      <w:r w:rsidR="004E5E91">
        <w:t xml:space="preserve">teda </w:t>
      </w:r>
      <w:r w:rsidR="00EF387A" w:rsidRPr="00207E46">
        <w:t xml:space="preserve">vychádzať z Dočasného rámca. </w:t>
      </w:r>
    </w:p>
    <w:p w:rsidR="00EF387A" w:rsidRPr="00207E46" w:rsidRDefault="00EF387A" w:rsidP="00EF387A">
      <w:pPr>
        <w:jc w:val="both"/>
      </w:pPr>
      <w:r w:rsidRPr="00207E46">
        <w:lastRenderedPageBreak/>
        <w:t>Dočasný rámec umožňuje poskytnúť finančnú pomoc v</w:t>
      </w:r>
      <w:r w:rsidR="00BE2D4C" w:rsidRPr="00207E46">
        <w:t> podobe verejných úverov n</w:t>
      </w:r>
      <w:r w:rsidRPr="00207E46">
        <w:t>ajneskôr do 31. decembra 202</w:t>
      </w:r>
      <w:r w:rsidR="00BE2D4C" w:rsidRPr="00207E46">
        <w:t>1</w:t>
      </w:r>
      <w:r w:rsidRPr="00207E46">
        <w:t xml:space="preserve">. Komplexné pravidlá poskytovania </w:t>
      </w:r>
      <w:r w:rsidR="004E5E91">
        <w:t xml:space="preserve">tejto </w:t>
      </w:r>
      <w:r w:rsidRPr="00207E46">
        <w:t>finančnej pomoci budú upravené v schéme štátnej pomoci tak, ako to vyplýva zo zákona o štátnej pomoci; táto schéma musí byť notifikovaná EK. V schéme štátnej pomoci tak bude upravená aj platnosť schémy v súlade s Dočasným rámcom.</w:t>
      </w:r>
    </w:p>
    <w:p w:rsidR="00EF387A" w:rsidRPr="00207E46" w:rsidRDefault="00207E46" w:rsidP="00EF387A">
      <w:pPr>
        <w:jc w:val="both"/>
      </w:pPr>
      <w:r w:rsidRPr="00207E46">
        <w:t xml:space="preserve">Z dôvodu </w:t>
      </w:r>
      <w:r w:rsidR="00442E64">
        <w:t xml:space="preserve">potreby </w:t>
      </w:r>
      <w:r w:rsidRPr="00207E46">
        <w:t xml:space="preserve">zabezpečenia určitých administratívnych prác pri vykonávaní schémy štátnej pomoci, ktoré nedokáže pokryť Ministerstvo financií SR sa navrhuje, aby administrátorom pomoci bola Slovenská záručná a rozvojová banka, a.s.. </w:t>
      </w:r>
      <w:r w:rsidR="004E5E91">
        <w:t xml:space="preserve">Táto </w:t>
      </w:r>
      <w:r w:rsidR="004E5E91" w:rsidRPr="000C4DE8">
        <w:rPr>
          <w:bCs/>
        </w:rPr>
        <w:t xml:space="preserve">by </w:t>
      </w:r>
      <w:r w:rsidR="00E3779B">
        <w:rPr>
          <w:bCs/>
        </w:rPr>
        <w:t xml:space="preserve">prijímala </w:t>
      </w:r>
      <w:r w:rsidR="004E5E91" w:rsidRPr="000C4DE8">
        <w:rPr>
          <w:bCs/>
        </w:rPr>
        <w:t xml:space="preserve">žiadosti o finančnú pomoc, </w:t>
      </w:r>
      <w:r w:rsidR="00442E64">
        <w:rPr>
          <w:bCs/>
        </w:rPr>
        <w:t>vyhodnocovala splnenie po</w:t>
      </w:r>
      <w:r w:rsidR="004E5E91" w:rsidRPr="000C4DE8">
        <w:rPr>
          <w:bCs/>
        </w:rPr>
        <w:t>dmien</w:t>
      </w:r>
      <w:r w:rsidR="00442E64">
        <w:rPr>
          <w:bCs/>
        </w:rPr>
        <w:t xml:space="preserve">ok </w:t>
      </w:r>
      <w:r w:rsidR="004E5E91" w:rsidRPr="000C4DE8">
        <w:rPr>
          <w:bCs/>
        </w:rPr>
        <w:t xml:space="preserve">poskytnutia pomoci, zabezpečila distribúciu finančných prostriedkov na účty jednotlivých </w:t>
      </w:r>
      <w:r w:rsidR="004E5E91">
        <w:rPr>
          <w:bCs/>
        </w:rPr>
        <w:t xml:space="preserve">cestovných kancelárií, </w:t>
      </w:r>
      <w:r w:rsidR="004E5E91" w:rsidRPr="000C4DE8">
        <w:rPr>
          <w:bCs/>
        </w:rPr>
        <w:t xml:space="preserve">sledovala by splácanie </w:t>
      </w:r>
      <w:r w:rsidR="004E5E91">
        <w:rPr>
          <w:bCs/>
        </w:rPr>
        <w:t>návratných finančných výpomocí v</w:t>
      </w:r>
      <w:r w:rsidR="004E5E91" w:rsidRPr="000C4DE8">
        <w:rPr>
          <w:bCs/>
        </w:rPr>
        <w:t xml:space="preserve">rátane </w:t>
      </w:r>
      <w:r w:rsidR="004E5E91">
        <w:rPr>
          <w:bCs/>
        </w:rPr>
        <w:t xml:space="preserve">povinných </w:t>
      </w:r>
      <w:r w:rsidR="004E5E91" w:rsidRPr="000C4DE8">
        <w:rPr>
          <w:bCs/>
        </w:rPr>
        <w:t>predčasných splátok</w:t>
      </w:r>
      <w:r w:rsidR="004E5E91">
        <w:rPr>
          <w:bCs/>
        </w:rPr>
        <w:t xml:space="preserve"> atď. </w:t>
      </w:r>
      <w:r w:rsidRPr="00207E46">
        <w:t>Administrátorovi pomoci nebude za administráciu pomoci poskytnutá žiadna odmena ani iná výhod</w:t>
      </w:r>
      <w:r w:rsidR="004E5E91">
        <w:t>a</w:t>
      </w:r>
      <w:r w:rsidRPr="00207E46">
        <w:t xml:space="preserve">, a to z dôvodu, aby pri vykonávaní schémy štátnej pomoci pre cestovné kancelárie nedochádzalo nepriamo k poskytnutiu nedovolenej </w:t>
      </w:r>
      <w:r w:rsidR="00E3779B">
        <w:t xml:space="preserve">štátnej </w:t>
      </w:r>
      <w:r w:rsidRPr="00207E46">
        <w:t>pomoci pre administrátora pomoci.</w:t>
      </w:r>
      <w:r w:rsidR="004F743B">
        <w:t xml:space="preserve"> Právne vzťahy medzi Ministerstvom financií SR</w:t>
      </w:r>
      <w:r w:rsidRPr="00207E46">
        <w:t xml:space="preserve"> </w:t>
      </w:r>
      <w:r w:rsidR="004F743B">
        <w:t xml:space="preserve">a administrátorom pomoci </w:t>
      </w:r>
      <w:r w:rsidR="00E3779B">
        <w:t xml:space="preserve">týkajúce sa </w:t>
      </w:r>
      <w:r w:rsidR="004F743B">
        <w:t xml:space="preserve">týchto </w:t>
      </w:r>
      <w:r w:rsidR="00E3779B">
        <w:t>skutočností b</w:t>
      </w:r>
      <w:r w:rsidR="004F743B">
        <w:t xml:space="preserve">udú upravené písomnou zmluvou. </w:t>
      </w:r>
    </w:p>
    <w:p w:rsidR="00EF387A" w:rsidRDefault="004E5E91" w:rsidP="00EF387A">
      <w:pPr>
        <w:jc w:val="both"/>
      </w:pPr>
      <w:r>
        <w:t>Celková k</w:t>
      </w:r>
      <w:r w:rsidR="00EF387A" w:rsidRPr="00207E46">
        <w:t xml:space="preserve">ontrola dodržiavania podmienok poskytovania </w:t>
      </w:r>
      <w:r w:rsidR="004F743B">
        <w:t xml:space="preserve">tejto </w:t>
      </w:r>
      <w:r w:rsidR="00EF387A" w:rsidRPr="00207E46">
        <w:t>finančnej pomoci bude zabezpečená podľa príslušných ustanovení zákona o štátnej pomoci</w:t>
      </w:r>
      <w:r w:rsidR="004F743B">
        <w:t xml:space="preserve">, preto ju nie je potrebné </w:t>
      </w:r>
      <w:r w:rsidR="00442E64">
        <w:t xml:space="preserve">osobitne </w:t>
      </w:r>
      <w:r w:rsidR="004F743B">
        <w:t>upraviť v</w:t>
      </w:r>
      <w:r w:rsidR="00E3779B">
        <w:t xml:space="preserve"> tomto </w:t>
      </w:r>
      <w:r w:rsidR="004F743B">
        <w:t>zákone.</w:t>
      </w:r>
    </w:p>
    <w:p w:rsidR="00514820" w:rsidRPr="00207E46" w:rsidRDefault="00514820" w:rsidP="00EF387A">
      <w:pPr>
        <w:jc w:val="both"/>
      </w:pPr>
      <w:r>
        <w:t>Ak cestovná kancelária nesplatí návratnú finančnú výpomoc v lehote splatnosti, Ministerstvu financií SR vznikne pohľadávka, ktorú je nevyhnutné náležite vymáhať. Z tohto dôvodu sa v </w:t>
      </w:r>
      <w:r w:rsidR="00E3779B">
        <w:t>u</w:t>
      </w:r>
      <w:r>
        <w:t xml:space="preserve">stanovení § 25b ods. 4 </w:t>
      </w:r>
      <w:r w:rsidR="00E3779B">
        <w:t xml:space="preserve">zákona </w:t>
      </w:r>
      <w:r>
        <w:t xml:space="preserve">umožňuje Ministerstvu financií SR </w:t>
      </w:r>
      <w:r w:rsidR="004F743B">
        <w:t xml:space="preserve">uzavrieť so Slovenskou konsolidačnou, a.s. ako poverenou osobou zmluvu o vymáhaní pohľadávky štátu spolu s príslušenstvom podľa zákona o pohľadávkach štátu na účely vymáhania pohľadávky štátu z poskytnutej návratnej finančnej výpomoci, a to ihneď po uplynutí jej splatnosti. </w:t>
      </w:r>
      <w:r w:rsidR="00E3779B">
        <w:t xml:space="preserve">Uzavretie zmluvy o vymáhaní </w:t>
      </w:r>
      <w:r w:rsidR="002C018A">
        <w:t>pohľadávky štátu ihneď po uplynutí splatnosti pohľadávky štátu je špeciálnou úpravou oproti všeobecn</w:t>
      </w:r>
      <w:r w:rsidR="007035F0">
        <w:t xml:space="preserve">ej úprave v zákone </w:t>
      </w:r>
      <w:r w:rsidR="002C018A">
        <w:t xml:space="preserve">o pohľadávkach štátu.  </w:t>
      </w:r>
      <w:r w:rsidR="00E3779B">
        <w:t xml:space="preserve"> </w:t>
      </w:r>
      <w:r>
        <w:t xml:space="preserve">       </w:t>
      </w:r>
    </w:p>
    <w:p w:rsidR="00366732" w:rsidRPr="00207E46" w:rsidRDefault="00366732" w:rsidP="00366732">
      <w:pPr>
        <w:pStyle w:val="Zkladntext2"/>
      </w:pPr>
    </w:p>
    <w:p w:rsidR="00110BF3" w:rsidRPr="00207E46" w:rsidRDefault="00110BF3" w:rsidP="00866E87">
      <w:pPr>
        <w:pStyle w:val="Odsekzoznamu"/>
        <w:ind w:left="0"/>
        <w:jc w:val="both"/>
        <w:rPr>
          <w:b/>
          <w:bCs/>
        </w:rPr>
      </w:pPr>
      <w:r w:rsidRPr="00207E46">
        <w:rPr>
          <w:b/>
          <w:bCs/>
        </w:rPr>
        <w:t>K </w:t>
      </w:r>
      <w:r w:rsidR="00EF387A" w:rsidRPr="00207E46">
        <w:rPr>
          <w:b/>
          <w:bCs/>
        </w:rPr>
        <w:t>č</w:t>
      </w:r>
      <w:r w:rsidRPr="00207E46">
        <w:rPr>
          <w:b/>
          <w:bCs/>
        </w:rPr>
        <w:t xml:space="preserve">l. </w:t>
      </w:r>
      <w:r w:rsidR="00FB3638" w:rsidRPr="00207E46">
        <w:rPr>
          <w:b/>
          <w:bCs/>
        </w:rPr>
        <w:t>II</w:t>
      </w:r>
    </w:p>
    <w:p w:rsidR="00110BF3" w:rsidRPr="00207E46" w:rsidRDefault="00110BF3" w:rsidP="006F694F">
      <w:pPr>
        <w:pStyle w:val="Zkladntext2"/>
        <w:rPr>
          <w:bCs/>
        </w:rPr>
      </w:pPr>
    </w:p>
    <w:p w:rsidR="0021607A" w:rsidRDefault="00A553E9" w:rsidP="006F694F">
      <w:pPr>
        <w:pStyle w:val="Zkladntext2"/>
      </w:pPr>
      <w:r w:rsidRPr="00207E46">
        <w:t xml:space="preserve">Z dôvodu </w:t>
      </w:r>
      <w:r w:rsidR="00A45127" w:rsidRPr="00207E46">
        <w:t xml:space="preserve">potreby urýchleného vytvorenia legislatívnych predpokladov pre </w:t>
      </w:r>
      <w:r w:rsidR="00641EFD" w:rsidRPr="00207E46">
        <w:t>riešenie aktuálnej</w:t>
      </w:r>
      <w:r w:rsidR="00EF387A" w:rsidRPr="00207E46">
        <w:t xml:space="preserve"> </w:t>
      </w:r>
      <w:r w:rsidR="00641EFD" w:rsidRPr="00207E46">
        <w:t xml:space="preserve">situácie v hospodárstve </w:t>
      </w:r>
      <w:r w:rsidRPr="00207E46">
        <w:t>sa ú</w:t>
      </w:r>
      <w:r w:rsidR="00110BF3" w:rsidRPr="00207E46">
        <w:t xml:space="preserve">činnosť zákona navrhuje </w:t>
      </w:r>
      <w:r w:rsidR="00FB3638" w:rsidRPr="00207E46">
        <w:t>dňom vyhlásenia</w:t>
      </w:r>
      <w:r w:rsidR="00110BF3" w:rsidRPr="00207E46">
        <w:t>.</w:t>
      </w:r>
    </w:p>
    <w:p w:rsidR="00EB043C" w:rsidRDefault="00EB043C" w:rsidP="006F694F">
      <w:pPr>
        <w:pStyle w:val="Zkladntext2"/>
      </w:pPr>
    </w:p>
    <w:p w:rsidR="00EB043C" w:rsidRDefault="00EB043C" w:rsidP="006F694F">
      <w:pPr>
        <w:pStyle w:val="Zkladntext2"/>
      </w:pPr>
    </w:p>
    <w:p w:rsidR="00EB043C" w:rsidRDefault="002327EB" w:rsidP="00EB043C">
      <w:pPr>
        <w:widowControl w:val="0"/>
        <w:autoSpaceDE w:val="0"/>
        <w:autoSpaceDN w:val="0"/>
        <w:jc w:val="both"/>
      </w:pPr>
      <w:r>
        <w:t xml:space="preserve">V </w:t>
      </w:r>
      <w:r w:rsidR="006107C1">
        <w:t>Bratislav</w:t>
      </w:r>
      <w:r>
        <w:t>e</w:t>
      </w:r>
      <w:r w:rsidR="00EB043C">
        <w:t xml:space="preserve"> </w:t>
      </w:r>
      <w:r>
        <w:t xml:space="preserve">dňa </w:t>
      </w:r>
      <w:bookmarkStart w:id="0" w:name="_GoBack"/>
      <w:bookmarkEnd w:id="0"/>
      <w:r w:rsidR="00EB043C">
        <w:t>9. júna 2021.</w:t>
      </w:r>
    </w:p>
    <w:p w:rsidR="00EB043C" w:rsidRDefault="00EB043C" w:rsidP="00EB043C">
      <w:pPr>
        <w:widowControl w:val="0"/>
        <w:autoSpaceDE w:val="0"/>
        <w:autoSpaceDN w:val="0"/>
        <w:jc w:val="both"/>
      </w:pPr>
    </w:p>
    <w:p w:rsidR="00EB043C" w:rsidRDefault="00EB043C" w:rsidP="00EB043C">
      <w:pPr>
        <w:widowControl w:val="0"/>
        <w:autoSpaceDE w:val="0"/>
        <w:autoSpaceDN w:val="0"/>
        <w:jc w:val="both"/>
      </w:pPr>
    </w:p>
    <w:p w:rsidR="00EB043C" w:rsidRDefault="00EB043C" w:rsidP="00EB043C">
      <w:pPr>
        <w:widowControl w:val="0"/>
        <w:autoSpaceDE w:val="0"/>
        <w:autoSpaceDN w:val="0"/>
        <w:jc w:val="both"/>
      </w:pPr>
    </w:p>
    <w:p w:rsidR="00EB043C" w:rsidRDefault="00EB043C" w:rsidP="00EB043C">
      <w:pPr>
        <w:widowControl w:val="0"/>
        <w:autoSpaceDE w:val="0"/>
        <w:autoSpaceDN w:val="0"/>
        <w:jc w:val="both"/>
      </w:pPr>
    </w:p>
    <w:p w:rsidR="00EB043C" w:rsidRDefault="00EB043C" w:rsidP="00EB043C">
      <w:pPr>
        <w:widowControl w:val="0"/>
        <w:autoSpaceDE w:val="0"/>
        <w:autoSpaceDN w:val="0"/>
        <w:jc w:val="center"/>
        <w:rPr>
          <w:b/>
        </w:rPr>
      </w:pPr>
      <w:r>
        <w:rPr>
          <w:b/>
        </w:rPr>
        <w:t xml:space="preserve">Eduard </w:t>
      </w:r>
      <w:proofErr w:type="spellStart"/>
      <w:r>
        <w:rPr>
          <w:b/>
        </w:rPr>
        <w:t>Heger</w:t>
      </w:r>
      <w:proofErr w:type="spellEnd"/>
      <w:r w:rsidR="00915FEA">
        <w:rPr>
          <w:b/>
        </w:rPr>
        <w:t xml:space="preserve">, </w:t>
      </w:r>
      <w:proofErr w:type="spellStart"/>
      <w:r w:rsidR="00915FEA">
        <w:rPr>
          <w:b/>
        </w:rPr>
        <w:t>v.r</w:t>
      </w:r>
      <w:proofErr w:type="spellEnd"/>
      <w:r w:rsidR="00915FEA">
        <w:rPr>
          <w:b/>
        </w:rPr>
        <w:t>.</w:t>
      </w:r>
    </w:p>
    <w:p w:rsidR="00EB043C" w:rsidRDefault="00EB043C" w:rsidP="00EB043C">
      <w:pPr>
        <w:widowControl w:val="0"/>
        <w:autoSpaceDE w:val="0"/>
        <w:autoSpaceDN w:val="0"/>
        <w:jc w:val="center"/>
      </w:pPr>
      <w:r>
        <w:t>predseda vlády Slovenskej republiky</w:t>
      </w:r>
    </w:p>
    <w:p w:rsidR="00EB043C" w:rsidRDefault="00EB043C" w:rsidP="00EB043C">
      <w:pPr>
        <w:widowControl w:val="0"/>
        <w:autoSpaceDE w:val="0"/>
        <w:autoSpaceDN w:val="0"/>
        <w:jc w:val="center"/>
      </w:pPr>
    </w:p>
    <w:p w:rsidR="00EB043C" w:rsidRDefault="00EB043C" w:rsidP="00EB043C">
      <w:pPr>
        <w:widowControl w:val="0"/>
        <w:autoSpaceDE w:val="0"/>
        <w:autoSpaceDN w:val="0"/>
        <w:jc w:val="center"/>
      </w:pPr>
    </w:p>
    <w:p w:rsidR="00EB043C" w:rsidRDefault="00EB043C" w:rsidP="00EB043C">
      <w:pPr>
        <w:widowControl w:val="0"/>
        <w:autoSpaceDE w:val="0"/>
        <w:autoSpaceDN w:val="0"/>
        <w:jc w:val="center"/>
      </w:pPr>
    </w:p>
    <w:p w:rsidR="00EB043C" w:rsidRDefault="00EB043C" w:rsidP="00EB043C">
      <w:pPr>
        <w:widowControl w:val="0"/>
        <w:autoSpaceDE w:val="0"/>
        <w:autoSpaceDN w:val="0"/>
        <w:jc w:val="center"/>
      </w:pPr>
    </w:p>
    <w:p w:rsidR="00EB043C" w:rsidRDefault="00EB043C" w:rsidP="00EB043C">
      <w:pPr>
        <w:widowControl w:val="0"/>
        <w:autoSpaceDE w:val="0"/>
        <w:autoSpaceDN w:val="0"/>
        <w:jc w:val="center"/>
      </w:pPr>
    </w:p>
    <w:p w:rsidR="00EB043C" w:rsidRDefault="00EB043C" w:rsidP="00EB043C">
      <w:pPr>
        <w:widowControl w:val="0"/>
        <w:autoSpaceDE w:val="0"/>
        <w:autoSpaceDN w:val="0"/>
        <w:jc w:val="center"/>
        <w:rPr>
          <w:b/>
        </w:rPr>
      </w:pPr>
      <w:r>
        <w:rPr>
          <w:b/>
        </w:rPr>
        <w:t>Igor Matovič</w:t>
      </w:r>
      <w:r w:rsidR="00915FEA">
        <w:rPr>
          <w:b/>
        </w:rPr>
        <w:t>, v.r.</w:t>
      </w:r>
      <w:r>
        <w:rPr>
          <w:b/>
        </w:rPr>
        <w:t xml:space="preserve"> </w:t>
      </w:r>
    </w:p>
    <w:p w:rsidR="00EB043C" w:rsidRDefault="00EB043C" w:rsidP="00EB043C">
      <w:pPr>
        <w:widowControl w:val="0"/>
        <w:autoSpaceDE w:val="0"/>
        <w:autoSpaceDN w:val="0"/>
        <w:jc w:val="center"/>
      </w:pPr>
      <w:r>
        <w:t>podpredseda vlády a minister financií</w:t>
      </w:r>
    </w:p>
    <w:p w:rsidR="00EB043C" w:rsidRDefault="00EB043C" w:rsidP="00EB043C">
      <w:pPr>
        <w:widowControl w:val="0"/>
        <w:autoSpaceDE w:val="0"/>
        <w:autoSpaceDN w:val="0"/>
        <w:jc w:val="center"/>
      </w:pPr>
      <w:r>
        <w:t>Slovenskej republiky</w:t>
      </w:r>
    </w:p>
    <w:p w:rsidR="00EB043C" w:rsidRPr="00207E46" w:rsidRDefault="00EB043C" w:rsidP="006F694F">
      <w:pPr>
        <w:pStyle w:val="Zkladntext2"/>
        <w:rPr>
          <w:bCs/>
        </w:rPr>
      </w:pPr>
    </w:p>
    <w:sectPr w:rsidR="00EB043C" w:rsidRPr="00207E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EE7" w:rsidRDefault="00992EE7" w:rsidP="002055C9">
      <w:r>
        <w:separator/>
      </w:r>
    </w:p>
  </w:endnote>
  <w:endnote w:type="continuationSeparator" w:id="0">
    <w:p w:rsidR="00992EE7" w:rsidRDefault="00992EE7" w:rsidP="0020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1D" w:rsidRDefault="004F2D1D">
    <w:pPr>
      <w:pStyle w:val="Pta"/>
      <w:jc w:val="center"/>
    </w:pPr>
    <w:r>
      <w:fldChar w:fldCharType="begin"/>
    </w:r>
    <w:r>
      <w:instrText>PAGE   \* MERGEFORMAT</w:instrText>
    </w:r>
    <w:r>
      <w:fldChar w:fldCharType="separate"/>
    </w:r>
    <w:r w:rsidR="002327EB">
      <w:rPr>
        <w:noProof/>
      </w:rPr>
      <w:t>9</w:t>
    </w:r>
    <w:r>
      <w:fldChar w:fldCharType="end"/>
    </w:r>
  </w:p>
  <w:p w:rsidR="004F2D1D" w:rsidRDefault="004F2D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EE7" w:rsidRDefault="00992EE7" w:rsidP="002055C9">
      <w:r>
        <w:separator/>
      </w:r>
    </w:p>
  </w:footnote>
  <w:footnote w:type="continuationSeparator" w:id="0">
    <w:p w:rsidR="00992EE7" w:rsidRDefault="00992EE7" w:rsidP="00205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D78"/>
    <w:multiLevelType w:val="hybridMultilevel"/>
    <w:tmpl w:val="9120191A"/>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1" w15:restartNumberingAfterBreak="0">
    <w:nsid w:val="1C6F07B4"/>
    <w:multiLevelType w:val="hybridMultilevel"/>
    <w:tmpl w:val="8C96F516"/>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2" w15:restartNumberingAfterBreak="0">
    <w:nsid w:val="1CDC596E"/>
    <w:multiLevelType w:val="hybridMultilevel"/>
    <w:tmpl w:val="3FA61572"/>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3" w15:restartNumberingAfterBreak="0">
    <w:nsid w:val="2B3A159E"/>
    <w:multiLevelType w:val="hybridMultilevel"/>
    <w:tmpl w:val="E9A61B26"/>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4" w15:restartNumberingAfterBreak="0">
    <w:nsid w:val="3A232298"/>
    <w:multiLevelType w:val="multilevel"/>
    <w:tmpl w:val="519AEF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3A79021C"/>
    <w:multiLevelType w:val="hybridMultilevel"/>
    <w:tmpl w:val="2252FA04"/>
    <w:lvl w:ilvl="0" w:tplc="6E90272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0856CAE"/>
    <w:multiLevelType w:val="hybridMultilevel"/>
    <w:tmpl w:val="6EE01A80"/>
    <w:lvl w:ilvl="0" w:tplc="CFC2F1F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47425FAE"/>
    <w:multiLevelType w:val="hybridMultilevel"/>
    <w:tmpl w:val="DAE898C4"/>
    <w:lvl w:ilvl="0" w:tplc="1662165A">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8" w15:restartNumberingAfterBreak="0">
    <w:nsid w:val="4E28225D"/>
    <w:multiLevelType w:val="hybridMultilevel"/>
    <w:tmpl w:val="789A3370"/>
    <w:lvl w:ilvl="0" w:tplc="FFFFFFFF">
      <w:start w:val="1"/>
      <w:numFmt w:val="lowerLetter"/>
      <w:lvlText w:val="%1)"/>
      <w:lvlJc w:val="left"/>
      <w:pPr>
        <w:tabs>
          <w:tab w:val="num" w:pos="1605"/>
        </w:tabs>
        <w:ind w:left="1605" w:hanging="360"/>
      </w:pPr>
      <w:rPr>
        <w:rFonts w:cs="Times New Roman" w:hint="default"/>
        <w:b w:val="0"/>
        <w:bCs w:val="0"/>
      </w:rPr>
    </w:lvl>
    <w:lvl w:ilvl="1" w:tplc="FFFFFFFF">
      <w:start w:val="1"/>
      <w:numFmt w:val="bullet"/>
      <w:lvlText w:val="-"/>
      <w:lvlJc w:val="left"/>
      <w:pPr>
        <w:tabs>
          <w:tab w:val="num" w:pos="1920"/>
        </w:tabs>
        <w:ind w:left="1920" w:hanging="360"/>
      </w:pPr>
      <w:rPr>
        <w:rFonts w:ascii="Arial" w:eastAsia="Times New Roman" w:hAnsi="Arial" w:hint="default"/>
        <w:b w:val="0"/>
      </w:rPr>
    </w:lvl>
    <w:lvl w:ilvl="2" w:tplc="FFFFFFFF">
      <w:start w:val="1"/>
      <w:numFmt w:val="decimal"/>
      <w:lvlText w:val="%3."/>
      <w:lvlJc w:val="left"/>
      <w:pPr>
        <w:tabs>
          <w:tab w:val="num" w:pos="3225"/>
        </w:tabs>
        <w:ind w:left="3225" w:hanging="360"/>
      </w:pPr>
      <w:rPr>
        <w:rFonts w:cs="Times New Roman" w:hint="default"/>
        <w:b w:val="0"/>
        <w:bCs w:val="0"/>
      </w:rPr>
    </w:lvl>
    <w:lvl w:ilvl="3" w:tplc="FFFFFFFF">
      <w:start w:val="1"/>
      <w:numFmt w:val="decimal"/>
      <w:lvlText w:val="%4."/>
      <w:lvlJc w:val="left"/>
      <w:pPr>
        <w:tabs>
          <w:tab w:val="num" w:pos="3765"/>
        </w:tabs>
        <w:ind w:left="3765" w:hanging="360"/>
      </w:pPr>
      <w:rPr>
        <w:rFonts w:cs="Times New Roman"/>
      </w:rPr>
    </w:lvl>
    <w:lvl w:ilvl="4" w:tplc="FFFFFFFF">
      <w:start w:val="1"/>
      <w:numFmt w:val="lowerLetter"/>
      <w:lvlText w:val="%5."/>
      <w:lvlJc w:val="left"/>
      <w:pPr>
        <w:tabs>
          <w:tab w:val="num" w:pos="4485"/>
        </w:tabs>
        <w:ind w:left="4485" w:hanging="360"/>
      </w:pPr>
      <w:rPr>
        <w:rFonts w:cs="Times New Roman"/>
      </w:rPr>
    </w:lvl>
    <w:lvl w:ilvl="5" w:tplc="FFFFFFFF">
      <w:start w:val="1"/>
      <w:numFmt w:val="lowerRoman"/>
      <w:lvlText w:val="%6."/>
      <w:lvlJc w:val="right"/>
      <w:pPr>
        <w:tabs>
          <w:tab w:val="num" w:pos="5205"/>
        </w:tabs>
        <w:ind w:left="5205" w:hanging="180"/>
      </w:pPr>
      <w:rPr>
        <w:rFonts w:cs="Times New Roman"/>
      </w:rPr>
    </w:lvl>
    <w:lvl w:ilvl="6" w:tplc="FFFFFFFF">
      <w:start w:val="1"/>
      <w:numFmt w:val="decimal"/>
      <w:lvlText w:val="%7."/>
      <w:lvlJc w:val="left"/>
      <w:pPr>
        <w:tabs>
          <w:tab w:val="num" w:pos="5925"/>
        </w:tabs>
        <w:ind w:left="5925" w:hanging="360"/>
      </w:pPr>
      <w:rPr>
        <w:rFonts w:cs="Times New Roman"/>
      </w:rPr>
    </w:lvl>
    <w:lvl w:ilvl="7" w:tplc="FFFFFFFF">
      <w:start w:val="1"/>
      <w:numFmt w:val="lowerLetter"/>
      <w:lvlText w:val="%8."/>
      <w:lvlJc w:val="left"/>
      <w:pPr>
        <w:tabs>
          <w:tab w:val="num" w:pos="6645"/>
        </w:tabs>
        <w:ind w:left="6645" w:hanging="360"/>
      </w:pPr>
      <w:rPr>
        <w:rFonts w:cs="Times New Roman"/>
      </w:rPr>
    </w:lvl>
    <w:lvl w:ilvl="8" w:tplc="FFFFFFFF">
      <w:start w:val="1"/>
      <w:numFmt w:val="lowerRoman"/>
      <w:lvlText w:val="%9."/>
      <w:lvlJc w:val="right"/>
      <w:pPr>
        <w:tabs>
          <w:tab w:val="num" w:pos="7365"/>
        </w:tabs>
        <w:ind w:left="7365" w:hanging="180"/>
      </w:pPr>
      <w:rPr>
        <w:rFonts w:cs="Times New Roman"/>
      </w:rPr>
    </w:lvl>
  </w:abstractNum>
  <w:abstractNum w:abstractNumId="9" w15:restartNumberingAfterBreak="0">
    <w:nsid w:val="5C9B77D4"/>
    <w:multiLevelType w:val="multilevel"/>
    <w:tmpl w:val="BF0A5542"/>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1" w:hanging="425"/>
      </w:pPr>
      <w:rPr>
        <w:rFonts w:ascii="Times New Roman" w:eastAsia="Times New Roman" w:hAnsi="Times New Roman" w:cs="Times New Roman" w:hint="default"/>
        <w:b w:val="0"/>
        <w:sz w:val="24"/>
        <w:szCs w:val="24"/>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0" w15:restartNumberingAfterBreak="0">
    <w:nsid w:val="5D0B44FF"/>
    <w:multiLevelType w:val="hybridMultilevel"/>
    <w:tmpl w:val="38349D96"/>
    <w:lvl w:ilvl="0" w:tplc="041B0017">
      <w:start w:val="1"/>
      <w:numFmt w:val="lowerLetter"/>
      <w:lvlText w:val="%1)"/>
      <w:lvlJc w:val="left"/>
      <w:pPr>
        <w:tabs>
          <w:tab w:val="num" w:pos="1570"/>
        </w:tabs>
        <w:ind w:left="1570" w:hanging="360"/>
      </w:pPr>
      <w:rPr>
        <w:rFonts w:cs="Times New Roman"/>
      </w:rPr>
    </w:lvl>
    <w:lvl w:ilvl="1" w:tplc="041B0019">
      <w:start w:val="1"/>
      <w:numFmt w:val="lowerLetter"/>
      <w:lvlText w:val="%2."/>
      <w:lvlJc w:val="left"/>
      <w:pPr>
        <w:tabs>
          <w:tab w:val="num" w:pos="2290"/>
        </w:tabs>
        <w:ind w:left="2290" w:hanging="360"/>
      </w:pPr>
      <w:rPr>
        <w:rFonts w:cs="Times New Roman"/>
      </w:rPr>
    </w:lvl>
    <w:lvl w:ilvl="2" w:tplc="041B001B">
      <w:start w:val="1"/>
      <w:numFmt w:val="lowerRoman"/>
      <w:lvlText w:val="%3."/>
      <w:lvlJc w:val="right"/>
      <w:pPr>
        <w:tabs>
          <w:tab w:val="num" w:pos="3010"/>
        </w:tabs>
        <w:ind w:left="3010" w:hanging="180"/>
      </w:pPr>
      <w:rPr>
        <w:rFonts w:cs="Times New Roman"/>
      </w:rPr>
    </w:lvl>
    <w:lvl w:ilvl="3" w:tplc="041B000F">
      <w:start w:val="1"/>
      <w:numFmt w:val="decimal"/>
      <w:lvlText w:val="%4."/>
      <w:lvlJc w:val="left"/>
      <w:pPr>
        <w:tabs>
          <w:tab w:val="num" w:pos="3730"/>
        </w:tabs>
        <w:ind w:left="3730" w:hanging="360"/>
      </w:pPr>
      <w:rPr>
        <w:rFonts w:cs="Times New Roman"/>
      </w:rPr>
    </w:lvl>
    <w:lvl w:ilvl="4" w:tplc="041B0019">
      <w:start w:val="1"/>
      <w:numFmt w:val="lowerLetter"/>
      <w:lvlText w:val="%5."/>
      <w:lvlJc w:val="left"/>
      <w:pPr>
        <w:tabs>
          <w:tab w:val="num" w:pos="4450"/>
        </w:tabs>
        <w:ind w:left="4450" w:hanging="360"/>
      </w:pPr>
      <w:rPr>
        <w:rFonts w:cs="Times New Roman"/>
      </w:rPr>
    </w:lvl>
    <w:lvl w:ilvl="5" w:tplc="041B001B">
      <w:start w:val="1"/>
      <w:numFmt w:val="lowerRoman"/>
      <w:lvlText w:val="%6."/>
      <w:lvlJc w:val="right"/>
      <w:pPr>
        <w:tabs>
          <w:tab w:val="num" w:pos="5170"/>
        </w:tabs>
        <w:ind w:left="5170" w:hanging="180"/>
      </w:pPr>
      <w:rPr>
        <w:rFonts w:cs="Times New Roman"/>
      </w:rPr>
    </w:lvl>
    <w:lvl w:ilvl="6" w:tplc="041B000F">
      <w:start w:val="1"/>
      <w:numFmt w:val="decimal"/>
      <w:lvlText w:val="%7."/>
      <w:lvlJc w:val="left"/>
      <w:pPr>
        <w:tabs>
          <w:tab w:val="num" w:pos="5890"/>
        </w:tabs>
        <w:ind w:left="5890" w:hanging="360"/>
      </w:pPr>
      <w:rPr>
        <w:rFonts w:cs="Times New Roman"/>
      </w:rPr>
    </w:lvl>
    <w:lvl w:ilvl="7" w:tplc="041B0019">
      <w:start w:val="1"/>
      <w:numFmt w:val="lowerLetter"/>
      <w:lvlText w:val="%8."/>
      <w:lvlJc w:val="left"/>
      <w:pPr>
        <w:tabs>
          <w:tab w:val="num" w:pos="6610"/>
        </w:tabs>
        <w:ind w:left="6610" w:hanging="360"/>
      </w:pPr>
      <w:rPr>
        <w:rFonts w:cs="Times New Roman"/>
      </w:rPr>
    </w:lvl>
    <w:lvl w:ilvl="8" w:tplc="041B001B">
      <w:start w:val="1"/>
      <w:numFmt w:val="lowerRoman"/>
      <w:lvlText w:val="%9."/>
      <w:lvlJc w:val="right"/>
      <w:pPr>
        <w:tabs>
          <w:tab w:val="num" w:pos="7330"/>
        </w:tabs>
        <w:ind w:left="7330" w:hanging="180"/>
      </w:pPr>
      <w:rPr>
        <w:rFonts w:cs="Times New Roman"/>
      </w:rPr>
    </w:lvl>
  </w:abstractNum>
  <w:abstractNum w:abstractNumId="11" w15:restartNumberingAfterBreak="0">
    <w:nsid w:val="5D7215D8"/>
    <w:multiLevelType w:val="multilevel"/>
    <w:tmpl w:val="911C804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EEA09B6"/>
    <w:multiLevelType w:val="hybridMultilevel"/>
    <w:tmpl w:val="32B6E36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647E7C50"/>
    <w:multiLevelType w:val="hybridMultilevel"/>
    <w:tmpl w:val="A484EAB8"/>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14" w15:restartNumberingAfterBreak="0">
    <w:nsid w:val="67381AF0"/>
    <w:multiLevelType w:val="hybridMultilevel"/>
    <w:tmpl w:val="545C9D60"/>
    <w:lvl w:ilvl="0" w:tplc="B240BA3A">
      <w:start w:val="6"/>
      <w:numFmt w:val="bullet"/>
      <w:lvlText w:val="-"/>
      <w:lvlJc w:val="left"/>
      <w:pPr>
        <w:tabs>
          <w:tab w:val="num" w:pos="900"/>
        </w:tabs>
        <w:ind w:left="900" w:hanging="39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786166"/>
    <w:multiLevelType w:val="hybridMultilevel"/>
    <w:tmpl w:val="44909AE0"/>
    <w:lvl w:ilvl="0" w:tplc="3216DD96">
      <w:start w:val="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72A8C"/>
    <w:multiLevelType w:val="hybridMultilevel"/>
    <w:tmpl w:val="8EF828A4"/>
    <w:lvl w:ilvl="0" w:tplc="AED83EC6">
      <w:start w:val="4"/>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15:restartNumberingAfterBreak="0">
    <w:nsid w:val="784A1042"/>
    <w:multiLevelType w:val="hybridMultilevel"/>
    <w:tmpl w:val="4E6865E6"/>
    <w:lvl w:ilvl="0" w:tplc="2E7A6B06">
      <w:start w:val="1"/>
      <w:numFmt w:val="upp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2"/>
  </w:num>
  <w:num w:numId="2">
    <w:abstractNumId w:val="2"/>
  </w:num>
  <w:num w:numId="3">
    <w:abstractNumId w:val="0"/>
  </w:num>
  <w:num w:numId="4">
    <w:abstractNumId w:val="3"/>
  </w:num>
  <w:num w:numId="5">
    <w:abstractNumId w:val="13"/>
  </w:num>
  <w:num w:numId="6">
    <w:abstractNumId w:val="4"/>
  </w:num>
  <w:num w:numId="7">
    <w:abstractNumId w:val="11"/>
  </w:num>
  <w:num w:numId="8">
    <w:abstractNumId w:val="17"/>
  </w:num>
  <w:num w:numId="9">
    <w:abstractNumId w:val="1"/>
  </w:num>
  <w:num w:numId="10">
    <w:abstractNumId w:val="8"/>
  </w:num>
  <w:num w:numId="11">
    <w:abstractNumId w:val="16"/>
  </w:num>
  <w:num w:numId="12">
    <w:abstractNumId w:val="6"/>
  </w:num>
  <w:num w:numId="13">
    <w:abstractNumId w:val="15"/>
  </w:num>
  <w:num w:numId="14">
    <w:abstractNumId w:val="5"/>
  </w:num>
  <w:num w:numId="15">
    <w:abstractNumId w:val="7"/>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57"/>
    <w:rsid w:val="000012DF"/>
    <w:rsid w:val="00001AB4"/>
    <w:rsid w:val="000047AC"/>
    <w:rsid w:val="00006F32"/>
    <w:rsid w:val="000070E4"/>
    <w:rsid w:val="00015E8E"/>
    <w:rsid w:val="00025981"/>
    <w:rsid w:val="00030C71"/>
    <w:rsid w:val="000335EF"/>
    <w:rsid w:val="00033AC6"/>
    <w:rsid w:val="00034FD4"/>
    <w:rsid w:val="00052930"/>
    <w:rsid w:val="000712A6"/>
    <w:rsid w:val="00072A0D"/>
    <w:rsid w:val="00072E3B"/>
    <w:rsid w:val="0007308B"/>
    <w:rsid w:val="0007691A"/>
    <w:rsid w:val="00080030"/>
    <w:rsid w:val="000831EE"/>
    <w:rsid w:val="00087E3C"/>
    <w:rsid w:val="00091E08"/>
    <w:rsid w:val="00093E4E"/>
    <w:rsid w:val="000A579F"/>
    <w:rsid w:val="000B035A"/>
    <w:rsid w:val="000B149E"/>
    <w:rsid w:val="000B28FB"/>
    <w:rsid w:val="000B7571"/>
    <w:rsid w:val="000C3FDE"/>
    <w:rsid w:val="000C4281"/>
    <w:rsid w:val="000C55ED"/>
    <w:rsid w:val="000C7B3A"/>
    <w:rsid w:val="000C7FAF"/>
    <w:rsid w:val="000E158E"/>
    <w:rsid w:val="000E1902"/>
    <w:rsid w:val="000E5E26"/>
    <w:rsid w:val="000F2D49"/>
    <w:rsid w:val="000F3F4E"/>
    <w:rsid w:val="000F47E3"/>
    <w:rsid w:val="000F6010"/>
    <w:rsid w:val="000F64DB"/>
    <w:rsid w:val="00100A88"/>
    <w:rsid w:val="00102CE5"/>
    <w:rsid w:val="001049BB"/>
    <w:rsid w:val="00105F2F"/>
    <w:rsid w:val="00110280"/>
    <w:rsid w:val="001109A5"/>
    <w:rsid w:val="00110BF3"/>
    <w:rsid w:val="00112ABD"/>
    <w:rsid w:val="00113B65"/>
    <w:rsid w:val="00115237"/>
    <w:rsid w:val="001160F8"/>
    <w:rsid w:val="001179FA"/>
    <w:rsid w:val="0013210F"/>
    <w:rsid w:val="0013624E"/>
    <w:rsid w:val="0014312F"/>
    <w:rsid w:val="001445EA"/>
    <w:rsid w:val="00152D91"/>
    <w:rsid w:val="0015594B"/>
    <w:rsid w:val="00155A17"/>
    <w:rsid w:val="001563B2"/>
    <w:rsid w:val="00156DE9"/>
    <w:rsid w:val="0016213E"/>
    <w:rsid w:val="00163BD2"/>
    <w:rsid w:val="0016545D"/>
    <w:rsid w:val="001661E8"/>
    <w:rsid w:val="001720AC"/>
    <w:rsid w:val="00173087"/>
    <w:rsid w:val="00186CB5"/>
    <w:rsid w:val="0019611A"/>
    <w:rsid w:val="001A334C"/>
    <w:rsid w:val="001A7266"/>
    <w:rsid w:val="001B0C3B"/>
    <w:rsid w:val="001B1433"/>
    <w:rsid w:val="001B1A8A"/>
    <w:rsid w:val="001B2687"/>
    <w:rsid w:val="001B6269"/>
    <w:rsid w:val="001C230B"/>
    <w:rsid w:val="001C5FF9"/>
    <w:rsid w:val="001D1979"/>
    <w:rsid w:val="001D3D7B"/>
    <w:rsid w:val="001D4623"/>
    <w:rsid w:val="001D541F"/>
    <w:rsid w:val="001E13E0"/>
    <w:rsid w:val="001E46BE"/>
    <w:rsid w:val="001E59B1"/>
    <w:rsid w:val="001F060E"/>
    <w:rsid w:val="001F0CD7"/>
    <w:rsid w:val="001F6666"/>
    <w:rsid w:val="001F7599"/>
    <w:rsid w:val="00201C4F"/>
    <w:rsid w:val="002024A9"/>
    <w:rsid w:val="00202F8D"/>
    <w:rsid w:val="00203DE1"/>
    <w:rsid w:val="002055C9"/>
    <w:rsid w:val="0020568C"/>
    <w:rsid w:val="00207E46"/>
    <w:rsid w:val="0021185F"/>
    <w:rsid w:val="00213AC4"/>
    <w:rsid w:val="002151BA"/>
    <w:rsid w:val="00216024"/>
    <w:rsid w:val="0021607A"/>
    <w:rsid w:val="002207C5"/>
    <w:rsid w:val="0022291D"/>
    <w:rsid w:val="00226306"/>
    <w:rsid w:val="00227FB9"/>
    <w:rsid w:val="00232668"/>
    <w:rsid w:val="002327EB"/>
    <w:rsid w:val="00240D73"/>
    <w:rsid w:val="00243CED"/>
    <w:rsid w:val="00244D2A"/>
    <w:rsid w:val="00252A47"/>
    <w:rsid w:val="00257095"/>
    <w:rsid w:val="00257B4C"/>
    <w:rsid w:val="00262A00"/>
    <w:rsid w:val="00263D84"/>
    <w:rsid w:val="002656FD"/>
    <w:rsid w:val="00265977"/>
    <w:rsid w:val="00271998"/>
    <w:rsid w:val="00272E17"/>
    <w:rsid w:val="0027518A"/>
    <w:rsid w:val="00284CB0"/>
    <w:rsid w:val="0028753C"/>
    <w:rsid w:val="00292B29"/>
    <w:rsid w:val="00293310"/>
    <w:rsid w:val="00293F70"/>
    <w:rsid w:val="002945A0"/>
    <w:rsid w:val="002A5B53"/>
    <w:rsid w:val="002B0FE9"/>
    <w:rsid w:val="002B20DE"/>
    <w:rsid w:val="002B2E2F"/>
    <w:rsid w:val="002B3278"/>
    <w:rsid w:val="002B5639"/>
    <w:rsid w:val="002C018A"/>
    <w:rsid w:val="002C25BA"/>
    <w:rsid w:val="002C48DA"/>
    <w:rsid w:val="002D2341"/>
    <w:rsid w:val="002D276D"/>
    <w:rsid w:val="002D3651"/>
    <w:rsid w:val="002D5332"/>
    <w:rsid w:val="002D6547"/>
    <w:rsid w:val="002E5E5F"/>
    <w:rsid w:val="002E6698"/>
    <w:rsid w:val="003004B0"/>
    <w:rsid w:val="00324800"/>
    <w:rsid w:val="003274C3"/>
    <w:rsid w:val="00331203"/>
    <w:rsid w:val="0033265B"/>
    <w:rsid w:val="00336A20"/>
    <w:rsid w:val="003423A7"/>
    <w:rsid w:val="00343529"/>
    <w:rsid w:val="003449B5"/>
    <w:rsid w:val="00357F68"/>
    <w:rsid w:val="003607AC"/>
    <w:rsid w:val="00365E68"/>
    <w:rsid w:val="00366732"/>
    <w:rsid w:val="003725BF"/>
    <w:rsid w:val="003727DF"/>
    <w:rsid w:val="003749A2"/>
    <w:rsid w:val="00376857"/>
    <w:rsid w:val="00380D11"/>
    <w:rsid w:val="00380DE7"/>
    <w:rsid w:val="00385A41"/>
    <w:rsid w:val="00387970"/>
    <w:rsid w:val="00394B05"/>
    <w:rsid w:val="00396B29"/>
    <w:rsid w:val="003A01E3"/>
    <w:rsid w:val="003A6DF7"/>
    <w:rsid w:val="003B02B2"/>
    <w:rsid w:val="003B21E8"/>
    <w:rsid w:val="003B48CC"/>
    <w:rsid w:val="003B519F"/>
    <w:rsid w:val="003C010C"/>
    <w:rsid w:val="003C2353"/>
    <w:rsid w:val="003C3BAD"/>
    <w:rsid w:val="003C696E"/>
    <w:rsid w:val="003D421F"/>
    <w:rsid w:val="003D4DE1"/>
    <w:rsid w:val="003D7272"/>
    <w:rsid w:val="003D76CA"/>
    <w:rsid w:val="003E27C0"/>
    <w:rsid w:val="003E4220"/>
    <w:rsid w:val="003E43C1"/>
    <w:rsid w:val="003E553C"/>
    <w:rsid w:val="003F3A47"/>
    <w:rsid w:val="003F3CD8"/>
    <w:rsid w:val="003F4DB0"/>
    <w:rsid w:val="004012D7"/>
    <w:rsid w:val="00401673"/>
    <w:rsid w:val="0040526D"/>
    <w:rsid w:val="00431FB7"/>
    <w:rsid w:val="00432C42"/>
    <w:rsid w:val="00434D95"/>
    <w:rsid w:val="00435832"/>
    <w:rsid w:val="00436719"/>
    <w:rsid w:val="00441177"/>
    <w:rsid w:val="0044240E"/>
    <w:rsid w:val="00442E64"/>
    <w:rsid w:val="00443D56"/>
    <w:rsid w:val="00450F97"/>
    <w:rsid w:val="00452157"/>
    <w:rsid w:val="00455D3D"/>
    <w:rsid w:val="0045648F"/>
    <w:rsid w:val="00456E38"/>
    <w:rsid w:val="00457A1C"/>
    <w:rsid w:val="0046275E"/>
    <w:rsid w:val="00464DE9"/>
    <w:rsid w:val="0046548D"/>
    <w:rsid w:val="00470076"/>
    <w:rsid w:val="004700DE"/>
    <w:rsid w:val="004740BE"/>
    <w:rsid w:val="0048187D"/>
    <w:rsid w:val="00483D73"/>
    <w:rsid w:val="00486EF4"/>
    <w:rsid w:val="00490DA8"/>
    <w:rsid w:val="004953AE"/>
    <w:rsid w:val="004953B1"/>
    <w:rsid w:val="004A2417"/>
    <w:rsid w:val="004A2588"/>
    <w:rsid w:val="004A444D"/>
    <w:rsid w:val="004A51F3"/>
    <w:rsid w:val="004B0B72"/>
    <w:rsid w:val="004B119A"/>
    <w:rsid w:val="004B381F"/>
    <w:rsid w:val="004B4915"/>
    <w:rsid w:val="004B5093"/>
    <w:rsid w:val="004B78FF"/>
    <w:rsid w:val="004B7C89"/>
    <w:rsid w:val="004B7DE7"/>
    <w:rsid w:val="004C34AA"/>
    <w:rsid w:val="004C76E8"/>
    <w:rsid w:val="004D0CC6"/>
    <w:rsid w:val="004D0E54"/>
    <w:rsid w:val="004D3B63"/>
    <w:rsid w:val="004D488E"/>
    <w:rsid w:val="004D5DF6"/>
    <w:rsid w:val="004D60DB"/>
    <w:rsid w:val="004E5CE0"/>
    <w:rsid w:val="004E5E91"/>
    <w:rsid w:val="004F027A"/>
    <w:rsid w:val="004F20F7"/>
    <w:rsid w:val="004F2853"/>
    <w:rsid w:val="004F2D1D"/>
    <w:rsid w:val="004F2F80"/>
    <w:rsid w:val="004F62F5"/>
    <w:rsid w:val="004F743B"/>
    <w:rsid w:val="004F7A06"/>
    <w:rsid w:val="004F7B26"/>
    <w:rsid w:val="00500374"/>
    <w:rsid w:val="00500572"/>
    <w:rsid w:val="00501145"/>
    <w:rsid w:val="0050136B"/>
    <w:rsid w:val="005066E4"/>
    <w:rsid w:val="00512095"/>
    <w:rsid w:val="00514820"/>
    <w:rsid w:val="0051577C"/>
    <w:rsid w:val="00516E0E"/>
    <w:rsid w:val="00531A39"/>
    <w:rsid w:val="005335F1"/>
    <w:rsid w:val="00534CE1"/>
    <w:rsid w:val="00535F5A"/>
    <w:rsid w:val="005417EC"/>
    <w:rsid w:val="005431B0"/>
    <w:rsid w:val="005522F8"/>
    <w:rsid w:val="00552818"/>
    <w:rsid w:val="005558C3"/>
    <w:rsid w:val="00561A2F"/>
    <w:rsid w:val="005636FB"/>
    <w:rsid w:val="00563EB3"/>
    <w:rsid w:val="00570CDD"/>
    <w:rsid w:val="00571ED6"/>
    <w:rsid w:val="00582BD2"/>
    <w:rsid w:val="005831D3"/>
    <w:rsid w:val="00586B31"/>
    <w:rsid w:val="00593034"/>
    <w:rsid w:val="00593952"/>
    <w:rsid w:val="00593C29"/>
    <w:rsid w:val="005A3406"/>
    <w:rsid w:val="005A3C12"/>
    <w:rsid w:val="005A3D0E"/>
    <w:rsid w:val="005A7302"/>
    <w:rsid w:val="005A760E"/>
    <w:rsid w:val="005B5428"/>
    <w:rsid w:val="005B5D26"/>
    <w:rsid w:val="005B6439"/>
    <w:rsid w:val="005B77FA"/>
    <w:rsid w:val="005C0CE4"/>
    <w:rsid w:val="005C3B2D"/>
    <w:rsid w:val="005C649C"/>
    <w:rsid w:val="005C6940"/>
    <w:rsid w:val="005C7B45"/>
    <w:rsid w:val="005D2C58"/>
    <w:rsid w:val="005E2D57"/>
    <w:rsid w:val="005F2F8D"/>
    <w:rsid w:val="005F44EF"/>
    <w:rsid w:val="005F46CB"/>
    <w:rsid w:val="005F5C0F"/>
    <w:rsid w:val="005F5EA2"/>
    <w:rsid w:val="005F7256"/>
    <w:rsid w:val="005F795F"/>
    <w:rsid w:val="006009E5"/>
    <w:rsid w:val="00604058"/>
    <w:rsid w:val="00605277"/>
    <w:rsid w:val="0060562E"/>
    <w:rsid w:val="006058EF"/>
    <w:rsid w:val="006079E6"/>
    <w:rsid w:val="006107C1"/>
    <w:rsid w:val="00612A5C"/>
    <w:rsid w:val="00614515"/>
    <w:rsid w:val="00614D5A"/>
    <w:rsid w:val="0061562B"/>
    <w:rsid w:val="006206C6"/>
    <w:rsid w:val="00622292"/>
    <w:rsid w:val="00625B21"/>
    <w:rsid w:val="006330F3"/>
    <w:rsid w:val="00637A7A"/>
    <w:rsid w:val="00641742"/>
    <w:rsid w:val="00641EF8"/>
    <w:rsid w:val="00641EFD"/>
    <w:rsid w:val="0065323C"/>
    <w:rsid w:val="006533FE"/>
    <w:rsid w:val="006629C6"/>
    <w:rsid w:val="006638A5"/>
    <w:rsid w:val="00663A02"/>
    <w:rsid w:val="0066542A"/>
    <w:rsid w:val="00667AC0"/>
    <w:rsid w:val="00667B16"/>
    <w:rsid w:val="00672C1E"/>
    <w:rsid w:val="0068109C"/>
    <w:rsid w:val="00681A55"/>
    <w:rsid w:val="00687E14"/>
    <w:rsid w:val="00693792"/>
    <w:rsid w:val="00693FB4"/>
    <w:rsid w:val="00697006"/>
    <w:rsid w:val="0069746A"/>
    <w:rsid w:val="006A1389"/>
    <w:rsid w:val="006A3200"/>
    <w:rsid w:val="006A531C"/>
    <w:rsid w:val="006B0316"/>
    <w:rsid w:val="006B09FD"/>
    <w:rsid w:val="006B2073"/>
    <w:rsid w:val="006B24CF"/>
    <w:rsid w:val="006B79A8"/>
    <w:rsid w:val="006C2685"/>
    <w:rsid w:val="006C377D"/>
    <w:rsid w:val="006C579F"/>
    <w:rsid w:val="006D31CD"/>
    <w:rsid w:val="006E13C7"/>
    <w:rsid w:val="006E2A35"/>
    <w:rsid w:val="006E409B"/>
    <w:rsid w:val="006F0C26"/>
    <w:rsid w:val="006F694F"/>
    <w:rsid w:val="006F715F"/>
    <w:rsid w:val="00701C3C"/>
    <w:rsid w:val="00702838"/>
    <w:rsid w:val="007035F0"/>
    <w:rsid w:val="0070373E"/>
    <w:rsid w:val="00705734"/>
    <w:rsid w:val="007057FC"/>
    <w:rsid w:val="00706BA5"/>
    <w:rsid w:val="00707484"/>
    <w:rsid w:val="0071331E"/>
    <w:rsid w:val="00715660"/>
    <w:rsid w:val="0072012D"/>
    <w:rsid w:val="00720AF7"/>
    <w:rsid w:val="00720D41"/>
    <w:rsid w:val="007273E7"/>
    <w:rsid w:val="00734DFB"/>
    <w:rsid w:val="007371E2"/>
    <w:rsid w:val="00743BD1"/>
    <w:rsid w:val="007443DE"/>
    <w:rsid w:val="00746B82"/>
    <w:rsid w:val="00752683"/>
    <w:rsid w:val="00752FAF"/>
    <w:rsid w:val="007560DD"/>
    <w:rsid w:val="00761B90"/>
    <w:rsid w:val="00763D22"/>
    <w:rsid w:val="0076439B"/>
    <w:rsid w:val="007656DE"/>
    <w:rsid w:val="00765FA6"/>
    <w:rsid w:val="007700F5"/>
    <w:rsid w:val="0077040A"/>
    <w:rsid w:val="00771287"/>
    <w:rsid w:val="00771325"/>
    <w:rsid w:val="00775B8C"/>
    <w:rsid w:val="007841E0"/>
    <w:rsid w:val="0078643F"/>
    <w:rsid w:val="00786CCD"/>
    <w:rsid w:val="0079202A"/>
    <w:rsid w:val="007927CF"/>
    <w:rsid w:val="007A182C"/>
    <w:rsid w:val="007A7388"/>
    <w:rsid w:val="007A79ED"/>
    <w:rsid w:val="007A7E29"/>
    <w:rsid w:val="007B0909"/>
    <w:rsid w:val="007B48DA"/>
    <w:rsid w:val="007B4C2A"/>
    <w:rsid w:val="007B728B"/>
    <w:rsid w:val="007C1090"/>
    <w:rsid w:val="007C1135"/>
    <w:rsid w:val="007C192E"/>
    <w:rsid w:val="007C249A"/>
    <w:rsid w:val="007C2FA3"/>
    <w:rsid w:val="007D3C7A"/>
    <w:rsid w:val="007D4AE5"/>
    <w:rsid w:val="007D53DD"/>
    <w:rsid w:val="007D5723"/>
    <w:rsid w:val="007E679D"/>
    <w:rsid w:val="007F0B06"/>
    <w:rsid w:val="007F4051"/>
    <w:rsid w:val="007F6B54"/>
    <w:rsid w:val="00802596"/>
    <w:rsid w:val="008064C8"/>
    <w:rsid w:val="00806785"/>
    <w:rsid w:val="0080780A"/>
    <w:rsid w:val="008125EA"/>
    <w:rsid w:val="008129FD"/>
    <w:rsid w:val="00815288"/>
    <w:rsid w:val="008156D1"/>
    <w:rsid w:val="008161E0"/>
    <w:rsid w:val="0082121B"/>
    <w:rsid w:val="008214E6"/>
    <w:rsid w:val="00821BD4"/>
    <w:rsid w:val="00832290"/>
    <w:rsid w:val="00832D81"/>
    <w:rsid w:val="00836EEE"/>
    <w:rsid w:val="00837CDC"/>
    <w:rsid w:val="00837E6B"/>
    <w:rsid w:val="00840865"/>
    <w:rsid w:val="0084174D"/>
    <w:rsid w:val="0084253B"/>
    <w:rsid w:val="00844CC9"/>
    <w:rsid w:val="00845B9C"/>
    <w:rsid w:val="00857838"/>
    <w:rsid w:val="00866285"/>
    <w:rsid w:val="00866E87"/>
    <w:rsid w:val="00873799"/>
    <w:rsid w:val="0087425E"/>
    <w:rsid w:val="0088070D"/>
    <w:rsid w:val="00883D28"/>
    <w:rsid w:val="00885BC8"/>
    <w:rsid w:val="008908AE"/>
    <w:rsid w:val="00892B58"/>
    <w:rsid w:val="00893B57"/>
    <w:rsid w:val="008949F3"/>
    <w:rsid w:val="008960EF"/>
    <w:rsid w:val="008A58F7"/>
    <w:rsid w:val="008A7528"/>
    <w:rsid w:val="008B07A4"/>
    <w:rsid w:val="008B6DC7"/>
    <w:rsid w:val="008C160A"/>
    <w:rsid w:val="008D0D90"/>
    <w:rsid w:val="008D1557"/>
    <w:rsid w:val="008D3819"/>
    <w:rsid w:val="008D7C2E"/>
    <w:rsid w:val="008E0F56"/>
    <w:rsid w:val="008E3F71"/>
    <w:rsid w:val="008E50A3"/>
    <w:rsid w:val="008E663E"/>
    <w:rsid w:val="008F3FF1"/>
    <w:rsid w:val="008F55D5"/>
    <w:rsid w:val="00901BE8"/>
    <w:rsid w:val="00902E8D"/>
    <w:rsid w:val="00905D4C"/>
    <w:rsid w:val="00906765"/>
    <w:rsid w:val="00910EF2"/>
    <w:rsid w:val="0091150C"/>
    <w:rsid w:val="0091512A"/>
    <w:rsid w:val="00915FEA"/>
    <w:rsid w:val="0092023D"/>
    <w:rsid w:val="00922A9B"/>
    <w:rsid w:val="00933D1D"/>
    <w:rsid w:val="00934635"/>
    <w:rsid w:val="009409D2"/>
    <w:rsid w:val="00940D24"/>
    <w:rsid w:val="00944D70"/>
    <w:rsid w:val="00945601"/>
    <w:rsid w:val="00946E7E"/>
    <w:rsid w:val="00951814"/>
    <w:rsid w:val="00953A43"/>
    <w:rsid w:val="00955E89"/>
    <w:rsid w:val="009571AA"/>
    <w:rsid w:val="009611C5"/>
    <w:rsid w:val="00961FEC"/>
    <w:rsid w:val="009651F7"/>
    <w:rsid w:val="00965A50"/>
    <w:rsid w:val="00967EBB"/>
    <w:rsid w:val="00971F99"/>
    <w:rsid w:val="00972A35"/>
    <w:rsid w:val="009823CD"/>
    <w:rsid w:val="009839D0"/>
    <w:rsid w:val="00984763"/>
    <w:rsid w:val="00992EE7"/>
    <w:rsid w:val="00993A60"/>
    <w:rsid w:val="00995175"/>
    <w:rsid w:val="00996402"/>
    <w:rsid w:val="009965C7"/>
    <w:rsid w:val="009975DC"/>
    <w:rsid w:val="009977D2"/>
    <w:rsid w:val="00997C43"/>
    <w:rsid w:val="009A35F9"/>
    <w:rsid w:val="009A4429"/>
    <w:rsid w:val="009B17C5"/>
    <w:rsid w:val="009B513F"/>
    <w:rsid w:val="009C1F58"/>
    <w:rsid w:val="009C3462"/>
    <w:rsid w:val="009C3C80"/>
    <w:rsid w:val="009C554C"/>
    <w:rsid w:val="009D2120"/>
    <w:rsid w:val="009D22CA"/>
    <w:rsid w:val="009D2F0B"/>
    <w:rsid w:val="009D54BC"/>
    <w:rsid w:val="009D5BE2"/>
    <w:rsid w:val="009E538E"/>
    <w:rsid w:val="009F25CD"/>
    <w:rsid w:val="00A00B63"/>
    <w:rsid w:val="00A0242A"/>
    <w:rsid w:val="00A02DD1"/>
    <w:rsid w:val="00A05168"/>
    <w:rsid w:val="00A06D60"/>
    <w:rsid w:val="00A06EC3"/>
    <w:rsid w:val="00A1098B"/>
    <w:rsid w:val="00A11A0E"/>
    <w:rsid w:val="00A14AEC"/>
    <w:rsid w:val="00A14B38"/>
    <w:rsid w:val="00A2237E"/>
    <w:rsid w:val="00A2246C"/>
    <w:rsid w:val="00A25699"/>
    <w:rsid w:val="00A25BFE"/>
    <w:rsid w:val="00A279D8"/>
    <w:rsid w:val="00A36DBA"/>
    <w:rsid w:val="00A44C5F"/>
    <w:rsid w:val="00A45127"/>
    <w:rsid w:val="00A454C0"/>
    <w:rsid w:val="00A47DBB"/>
    <w:rsid w:val="00A52A1E"/>
    <w:rsid w:val="00A53D4F"/>
    <w:rsid w:val="00A553E9"/>
    <w:rsid w:val="00A6145A"/>
    <w:rsid w:val="00A666C5"/>
    <w:rsid w:val="00A67050"/>
    <w:rsid w:val="00A703C1"/>
    <w:rsid w:val="00A8182E"/>
    <w:rsid w:val="00A8293E"/>
    <w:rsid w:val="00A83BBD"/>
    <w:rsid w:val="00A8542D"/>
    <w:rsid w:val="00A8677D"/>
    <w:rsid w:val="00A86CEC"/>
    <w:rsid w:val="00A90217"/>
    <w:rsid w:val="00A915EF"/>
    <w:rsid w:val="00A95679"/>
    <w:rsid w:val="00A96B58"/>
    <w:rsid w:val="00AA3422"/>
    <w:rsid w:val="00AA47E8"/>
    <w:rsid w:val="00AB2553"/>
    <w:rsid w:val="00AB3B54"/>
    <w:rsid w:val="00AC2492"/>
    <w:rsid w:val="00AC4F1B"/>
    <w:rsid w:val="00AC76FE"/>
    <w:rsid w:val="00AD09B5"/>
    <w:rsid w:val="00AD23F0"/>
    <w:rsid w:val="00AD5FCD"/>
    <w:rsid w:val="00AD60C2"/>
    <w:rsid w:val="00AD761C"/>
    <w:rsid w:val="00AE5C72"/>
    <w:rsid w:val="00AE5ED1"/>
    <w:rsid w:val="00AE70CE"/>
    <w:rsid w:val="00AF11B4"/>
    <w:rsid w:val="00AF68FC"/>
    <w:rsid w:val="00AF6FC7"/>
    <w:rsid w:val="00B01751"/>
    <w:rsid w:val="00B0404E"/>
    <w:rsid w:val="00B0653F"/>
    <w:rsid w:val="00B06F89"/>
    <w:rsid w:val="00B07044"/>
    <w:rsid w:val="00B1101C"/>
    <w:rsid w:val="00B13F61"/>
    <w:rsid w:val="00B15A57"/>
    <w:rsid w:val="00B22B81"/>
    <w:rsid w:val="00B2452B"/>
    <w:rsid w:val="00B2638C"/>
    <w:rsid w:val="00B41879"/>
    <w:rsid w:val="00B45136"/>
    <w:rsid w:val="00B46048"/>
    <w:rsid w:val="00B50B6B"/>
    <w:rsid w:val="00B55755"/>
    <w:rsid w:val="00B56AC4"/>
    <w:rsid w:val="00B627EE"/>
    <w:rsid w:val="00B63E90"/>
    <w:rsid w:val="00B65E2B"/>
    <w:rsid w:val="00B66E23"/>
    <w:rsid w:val="00B722DC"/>
    <w:rsid w:val="00B72D90"/>
    <w:rsid w:val="00B73EB7"/>
    <w:rsid w:val="00B73EE2"/>
    <w:rsid w:val="00B80293"/>
    <w:rsid w:val="00B8043B"/>
    <w:rsid w:val="00B81C17"/>
    <w:rsid w:val="00B83228"/>
    <w:rsid w:val="00B83D64"/>
    <w:rsid w:val="00B84F3B"/>
    <w:rsid w:val="00B85ABD"/>
    <w:rsid w:val="00B86FFD"/>
    <w:rsid w:val="00B872CF"/>
    <w:rsid w:val="00B9493B"/>
    <w:rsid w:val="00B94CD8"/>
    <w:rsid w:val="00B9721E"/>
    <w:rsid w:val="00BA2557"/>
    <w:rsid w:val="00BA2579"/>
    <w:rsid w:val="00BA43B0"/>
    <w:rsid w:val="00BA7116"/>
    <w:rsid w:val="00BB0662"/>
    <w:rsid w:val="00BB0CE0"/>
    <w:rsid w:val="00BB1ED8"/>
    <w:rsid w:val="00BB28B8"/>
    <w:rsid w:val="00BB7197"/>
    <w:rsid w:val="00BB71D8"/>
    <w:rsid w:val="00BB7DC4"/>
    <w:rsid w:val="00BC1CE4"/>
    <w:rsid w:val="00BD29ED"/>
    <w:rsid w:val="00BD6E8F"/>
    <w:rsid w:val="00BE15B0"/>
    <w:rsid w:val="00BE2D4C"/>
    <w:rsid w:val="00BE47C6"/>
    <w:rsid w:val="00BE6F94"/>
    <w:rsid w:val="00BF057D"/>
    <w:rsid w:val="00BF276B"/>
    <w:rsid w:val="00BF2989"/>
    <w:rsid w:val="00BF2DE8"/>
    <w:rsid w:val="00BF36BE"/>
    <w:rsid w:val="00BF4A5B"/>
    <w:rsid w:val="00C00178"/>
    <w:rsid w:val="00C05166"/>
    <w:rsid w:val="00C07402"/>
    <w:rsid w:val="00C1073A"/>
    <w:rsid w:val="00C129BD"/>
    <w:rsid w:val="00C1416E"/>
    <w:rsid w:val="00C22568"/>
    <w:rsid w:val="00C24A58"/>
    <w:rsid w:val="00C2517F"/>
    <w:rsid w:val="00C324A6"/>
    <w:rsid w:val="00C335BE"/>
    <w:rsid w:val="00C35FB4"/>
    <w:rsid w:val="00C36BC7"/>
    <w:rsid w:val="00C40F4E"/>
    <w:rsid w:val="00C41DD7"/>
    <w:rsid w:val="00C44109"/>
    <w:rsid w:val="00C45F57"/>
    <w:rsid w:val="00C4680D"/>
    <w:rsid w:val="00C53B2F"/>
    <w:rsid w:val="00C61423"/>
    <w:rsid w:val="00C638F5"/>
    <w:rsid w:val="00C666A5"/>
    <w:rsid w:val="00C674C7"/>
    <w:rsid w:val="00C737F0"/>
    <w:rsid w:val="00C73A48"/>
    <w:rsid w:val="00C82D85"/>
    <w:rsid w:val="00C85F69"/>
    <w:rsid w:val="00C864D5"/>
    <w:rsid w:val="00C8659A"/>
    <w:rsid w:val="00CA134F"/>
    <w:rsid w:val="00CA41C7"/>
    <w:rsid w:val="00CB03FD"/>
    <w:rsid w:val="00CB2ECE"/>
    <w:rsid w:val="00CB5182"/>
    <w:rsid w:val="00CC5E97"/>
    <w:rsid w:val="00CC6EA4"/>
    <w:rsid w:val="00CD2DA6"/>
    <w:rsid w:val="00CD7B31"/>
    <w:rsid w:val="00CD7C20"/>
    <w:rsid w:val="00CE0D93"/>
    <w:rsid w:val="00CE217F"/>
    <w:rsid w:val="00CE3368"/>
    <w:rsid w:val="00CE67E9"/>
    <w:rsid w:val="00CF2587"/>
    <w:rsid w:val="00CF730E"/>
    <w:rsid w:val="00D00561"/>
    <w:rsid w:val="00D01543"/>
    <w:rsid w:val="00D0540F"/>
    <w:rsid w:val="00D06045"/>
    <w:rsid w:val="00D1114B"/>
    <w:rsid w:val="00D137EC"/>
    <w:rsid w:val="00D2052B"/>
    <w:rsid w:val="00D22FD3"/>
    <w:rsid w:val="00D24A2E"/>
    <w:rsid w:val="00D24F38"/>
    <w:rsid w:val="00D25A06"/>
    <w:rsid w:val="00D25F48"/>
    <w:rsid w:val="00D26128"/>
    <w:rsid w:val="00D274D2"/>
    <w:rsid w:val="00D3539A"/>
    <w:rsid w:val="00D40376"/>
    <w:rsid w:val="00D41E83"/>
    <w:rsid w:val="00D454A3"/>
    <w:rsid w:val="00D46E11"/>
    <w:rsid w:val="00D57463"/>
    <w:rsid w:val="00D60AF6"/>
    <w:rsid w:val="00D64005"/>
    <w:rsid w:val="00D66EAD"/>
    <w:rsid w:val="00D66F15"/>
    <w:rsid w:val="00D74642"/>
    <w:rsid w:val="00D74AA2"/>
    <w:rsid w:val="00D76DB5"/>
    <w:rsid w:val="00D77EBF"/>
    <w:rsid w:val="00D81FFA"/>
    <w:rsid w:val="00D8531E"/>
    <w:rsid w:val="00D86809"/>
    <w:rsid w:val="00D947ED"/>
    <w:rsid w:val="00DA09FB"/>
    <w:rsid w:val="00DA1E41"/>
    <w:rsid w:val="00DA7A02"/>
    <w:rsid w:val="00DB25DC"/>
    <w:rsid w:val="00DB3067"/>
    <w:rsid w:val="00DB39A9"/>
    <w:rsid w:val="00DB7449"/>
    <w:rsid w:val="00DB7DD4"/>
    <w:rsid w:val="00DC09B1"/>
    <w:rsid w:val="00DC0EF6"/>
    <w:rsid w:val="00DD1FAF"/>
    <w:rsid w:val="00DD2F34"/>
    <w:rsid w:val="00DD5031"/>
    <w:rsid w:val="00DD5E57"/>
    <w:rsid w:val="00DE0E58"/>
    <w:rsid w:val="00DE0FC2"/>
    <w:rsid w:val="00DE1158"/>
    <w:rsid w:val="00DE1306"/>
    <w:rsid w:val="00DE4057"/>
    <w:rsid w:val="00DE5997"/>
    <w:rsid w:val="00DE794E"/>
    <w:rsid w:val="00DF225E"/>
    <w:rsid w:val="00DF2A11"/>
    <w:rsid w:val="00DF3227"/>
    <w:rsid w:val="00DF58A1"/>
    <w:rsid w:val="00DF7844"/>
    <w:rsid w:val="00E006BC"/>
    <w:rsid w:val="00E00E61"/>
    <w:rsid w:val="00E02D47"/>
    <w:rsid w:val="00E0524C"/>
    <w:rsid w:val="00E0698D"/>
    <w:rsid w:val="00E07800"/>
    <w:rsid w:val="00E10544"/>
    <w:rsid w:val="00E12126"/>
    <w:rsid w:val="00E163C3"/>
    <w:rsid w:val="00E2165A"/>
    <w:rsid w:val="00E2379F"/>
    <w:rsid w:val="00E256C6"/>
    <w:rsid w:val="00E27227"/>
    <w:rsid w:val="00E27BDD"/>
    <w:rsid w:val="00E33E76"/>
    <w:rsid w:val="00E343AC"/>
    <w:rsid w:val="00E3779B"/>
    <w:rsid w:val="00E40CF6"/>
    <w:rsid w:val="00E43418"/>
    <w:rsid w:val="00E4421C"/>
    <w:rsid w:val="00E465E6"/>
    <w:rsid w:val="00E56923"/>
    <w:rsid w:val="00E56C56"/>
    <w:rsid w:val="00E605F7"/>
    <w:rsid w:val="00E63055"/>
    <w:rsid w:val="00E63EC0"/>
    <w:rsid w:val="00E64CD0"/>
    <w:rsid w:val="00E66CDF"/>
    <w:rsid w:val="00E70718"/>
    <w:rsid w:val="00E714E6"/>
    <w:rsid w:val="00E7371D"/>
    <w:rsid w:val="00E7389B"/>
    <w:rsid w:val="00E73B7D"/>
    <w:rsid w:val="00E74809"/>
    <w:rsid w:val="00E74AC6"/>
    <w:rsid w:val="00E7578E"/>
    <w:rsid w:val="00E7691B"/>
    <w:rsid w:val="00E76F01"/>
    <w:rsid w:val="00E77F3C"/>
    <w:rsid w:val="00E80D0D"/>
    <w:rsid w:val="00E8108D"/>
    <w:rsid w:val="00E8246D"/>
    <w:rsid w:val="00E83779"/>
    <w:rsid w:val="00E87D6A"/>
    <w:rsid w:val="00E90C3E"/>
    <w:rsid w:val="00E933AD"/>
    <w:rsid w:val="00E949A6"/>
    <w:rsid w:val="00EA087D"/>
    <w:rsid w:val="00EA0AE3"/>
    <w:rsid w:val="00EA3379"/>
    <w:rsid w:val="00EA3ACA"/>
    <w:rsid w:val="00EA3B27"/>
    <w:rsid w:val="00EA4876"/>
    <w:rsid w:val="00EA4DAF"/>
    <w:rsid w:val="00EA502D"/>
    <w:rsid w:val="00EB043C"/>
    <w:rsid w:val="00EB1060"/>
    <w:rsid w:val="00EB2B7B"/>
    <w:rsid w:val="00EC0C24"/>
    <w:rsid w:val="00EC2987"/>
    <w:rsid w:val="00EC2FD8"/>
    <w:rsid w:val="00EC40EF"/>
    <w:rsid w:val="00EC4F8E"/>
    <w:rsid w:val="00EC7911"/>
    <w:rsid w:val="00ED67FA"/>
    <w:rsid w:val="00ED6ACD"/>
    <w:rsid w:val="00EE1CCD"/>
    <w:rsid w:val="00EE35C9"/>
    <w:rsid w:val="00EF0169"/>
    <w:rsid w:val="00EF387A"/>
    <w:rsid w:val="00EF6E0D"/>
    <w:rsid w:val="00EF71CE"/>
    <w:rsid w:val="00F004CB"/>
    <w:rsid w:val="00F0081E"/>
    <w:rsid w:val="00F014C4"/>
    <w:rsid w:val="00F01500"/>
    <w:rsid w:val="00F03AA7"/>
    <w:rsid w:val="00F043BA"/>
    <w:rsid w:val="00F06ABD"/>
    <w:rsid w:val="00F10D64"/>
    <w:rsid w:val="00F23441"/>
    <w:rsid w:val="00F300C5"/>
    <w:rsid w:val="00F44549"/>
    <w:rsid w:val="00F44CAF"/>
    <w:rsid w:val="00F51938"/>
    <w:rsid w:val="00F51E7E"/>
    <w:rsid w:val="00F54F13"/>
    <w:rsid w:val="00F56E14"/>
    <w:rsid w:val="00F60556"/>
    <w:rsid w:val="00F6674B"/>
    <w:rsid w:val="00F66B96"/>
    <w:rsid w:val="00F727E0"/>
    <w:rsid w:val="00F7440F"/>
    <w:rsid w:val="00F77659"/>
    <w:rsid w:val="00F819ED"/>
    <w:rsid w:val="00F9193A"/>
    <w:rsid w:val="00F92D0B"/>
    <w:rsid w:val="00F93CE3"/>
    <w:rsid w:val="00FA58C5"/>
    <w:rsid w:val="00FB3638"/>
    <w:rsid w:val="00FC24CF"/>
    <w:rsid w:val="00FC53B1"/>
    <w:rsid w:val="00FC5DEC"/>
    <w:rsid w:val="00FD3758"/>
    <w:rsid w:val="00FD74AA"/>
    <w:rsid w:val="00FD7E4E"/>
    <w:rsid w:val="00FE1732"/>
    <w:rsid w:val="00FE61D8"/>
    <w:rsid w:val="00FF0FFA"/>
    <w:rsid w:val="00FF4C8A"/>
    <w:rsid w:val="00FF5F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4394CB-3409-4CB0-BAAA-B44DC6AF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9"/>
    <w:qFormat/>
    <w:pPr>
      <w:keepNext/>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rPr>
  </w:style>
  <w:style w:type="paragraph" w:styleId="Nzov">
    <w:name w:val="Title"/>
    <w:basedOn w:val="Normlny"/>
    <w:link w:val="NzovChar"/>
    <w:uiPriority w:val="10"/>
    <w:qFormat/>
    <w:pPr>
      <w:jc w:val="center"/>
    </w:pPr>
    <w:rPr>
      <w:b/>
      <w:bCs/>
    </w:rPr>
  </w:style>
  <w:style w:type="character" w:customStyle="1" w:styleId="NzovChar">
    <w:name w:val="Názov Char"/>
    <w:basedOn w:val="Predvolenpsmoodseku"/>
    <w:link w:val="Nzov"/>
    <w:uiPriority w:val="10"/>
    <w:locked/>
    <w:rPr>
      <w:rFonts w:ascii="Cambria" w:hAnsi="Cambria" w:cs="Times New Roman"/>
      <w:b/>
      <w:kern w:val="28"/>
      <w:sz w:val="32"/>
    </w:rPr>
  </w:style>
  <w:style w:type="paragraph" w:styleId="Zkladntext2">
    <w:name w:val="Body Text 2"/>
    <w:basedOn w:val="Normlny"/>
    <w:link w:val="Zkladntext2Char"/>
    <w:uiPriority w:val="99"/>
    <w:pPr>
      <w:jc w:val="both"/>
    </w:pPr>
  </w:style>
  <w:style w:type="character" w:customStyle="1" w:styleId="Zkladntext2Char">
    <w:name w:val="Základný text 2 Char"/>
    <w:basedOn w:val="Predvolenpsmoodseku"/>
    <w:link w:val="Zkladntext2"/>
    <w:uiPriority w:val="99"/>
    <w:locked/>
    <w:rPr>
      <w:rFonts w:cs="Times New Roman"/>
      <w:sz w:val="24"/>
    </w:rPr>
  </w:style>
  <w:style w:type="paragraph" w:styleId="Zarkazkladnhotextu2">
    <w:name w:val="Body Text Indent 2"/>
    <w:basedOn w:val="Normlny"/>
    <w:link w:val="Zarkazkladnhotextu2Char"/>
    <w:uiPriority w:val="99"/>
    <w:pPr>
      <w:ind w:left="72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rPr>
  </w:style>
  <w:style w:type="paragraph" w:styleId="Zkladntext">
    <w:name w:val="Body Text"/>
    <w:basedOn w:val="Normlny"/>
    <w:link w:val="ZkladntextChar"/>
    <w:uiPriority w:val="99"/>
    <w:rPr>
      <w:color w:val="000000"/>
    </w:rPr>
  </w:style>
  <w:style w:type="character" w:customStyle="1" w:styleId="ZkladntextChar">
    <w:name w:val="Základný text Char"/>
    <w:basedOn w:val="Predvolenpsmoodseku"/>
    <w:link w:val="Zkladntext"/>
    <w:uiPriority w:val="99"/>
    <w:semiHidden/>
    <w:locked/>
    <w:rPr>
      <w:rFonts w:cs="Times New Roman"/>
      <w:sz w:val="24"/>
    </w:rPr>
  </w:style>
  <w:style w:type="paragraph" w:styleId="Podtitul">
    <w:name w:val="Subtitle"/>
    <w:basedOn w:val="Normlny"/>
    <w:link w:val="PodtitulChar"/>
    <w:uiPriority w:val="99"/>
    <w:qFormat/>
    <w:rPr>
      <w:b/>
      <w:bCs/>
    </w:rPr>
  </w:style>
  <w:style w:type="character" w:customStyle="1" w:styleId="PodtitulChar">
    <w:name w:val="Podtitul Char"/>
    <w:basedOn w:val="Predvolenpsmoodseku"/>
    <w:link w:val="Podtitul"/>
    <w:uiPriority w:val="11"/>
    <w:locked/>
    <w:rPr>
      <w:rFonts w:ascii="Cambria" w:hAnsi="Cambria" w:cs="Times New Roman"/>
      <w:sz w:val="24"/>
    </w:rPr>
  </w:style>
  <w:style w:type="paragraph" w:customStyle="1" w:styleId="Zkladntext1">
    <w:name w:val="Základní text1"/>
    <w:uiPriority w:val="99"/>
    <w:rPr>
      <w:color w:val="000000"/>
      <w:sz w:val="24"/>
      <w:szCs w:val="24"/>
    </w:rPr>
  </w:style>
  <w:style w:type="paragraph" w:styleId="Zarkazkladnhotextu3">
    <w:name w:val="Body Text Indent 3"/>
    <w:basedOn w:val="Normlny"/>
    <w:link w:val="Zarkazkladnhotextu3Char"/>
    <w:uiPriority w:val="99"/>
    <w:pPr>
      <w:ind w:left="360" w:firstLine="348"/>
      <w:jc w:val="both"/>
    </w:pPr>
  </w:style>
  <w:style w:type="character" w:customStyle="1" w:styleId="Zarkazkladnhotextu3Char">
    <w:name w:val="Zarážka základného textu 3 Char"/>
    <w:basedOn w:val="Predvolenpsmoodseku"/>
    <w:link w:val="Zarkazkladnhotextu3"/>
    <w:uiPriority w:val="99"/>
    <w:semiHidden/>
    <w:locked/>
    <w:rPr>
      <w:rFonts w:cs="Times New Roman"/>
      <w:sz w:val="16"/>
    </w:rPr>
  </w:style>
  <w:style w:type="paragraph" w:styleId="Zkladntext3">
    <w:name w:val="Body Text 3"/>
    <w:basedOn w:val="Normlny"/>
    <w:link w:val="Zkladntext3Char"/>
    <w:uiPriority w:val="99"/>
    <w:pPr>
      <w:jc w:val="both"/>
    </w:pPr>
    <w:rPr>
      <w:rFonts w:ascii="Arial Narrow" w:hAnsi="Arial Narrow" w:cs="Arial Narrow"/>
      <w:b/>
      <w:bCs/>
      <w:sz w:val="22"/>
      <w:szCs w:val="22"/>
    </w:rPr>
  </w:style>
  <w:style w:type="character" w:customStyle="1" w:styleId="Zkladntext3Char">
    <w:name w:val="Základný text 3 Char"/>
    <w:basedOn w:val="Predvolenpsmoodseku"/>
    <w:link w:val="Zkladntext3"/>
    <w:uiPriority w:val="99"/>
    <w:semiHidden/>
    <w:locked/>
    <w:rPr>
      <w:rFonts w:cs="Times New Roman"/>
      <w:sz w:val="16"/>
    </w:rPr>
  </w:style>
  <w:style w:type="paragraph" w:customStyle="1" w:styleId="CarCharCharCharCharChar">
    <w:name w:val="Car Char Char Char Char Char"/>
    <w:basedOn w:val="Normlny"/>
    <w:rsid w:val="003F3CD8"/>
    <w:pPr>
      <w:spacing w:after="160" w:line="240" w:lineRule="exact"/>
    </w:pPr>
    <w:rPr>
      <w:rFonts w:ascii="Tahoma" w:hAnsi="Tahoma" w:cs="Tahoma"/>
      <w:sz w:val="20"/>
      <w:szCs w:val="20"/>
      <w:lang w:val="en-US" w:eastAsia="en-US"/>
    </w:rPr>
  </w:style>
  <w:style w:type="paragraph" w:styleId="Odsekzoznamu">
    <w:name w:val="List Paragraph"/>
    <w:aliases w:val="body,Odsek zoznamu2"/>
    <w:basedOn w:val="Normlny"/>
    <w:link w:val="OdsekzoznamuChar"/>
    <w:uiPriority w:val="34"/>
    <w:qFormat/>
    <w:rsid w:val="00DF58A1"/>
    <w:pPr>
      <w:ind w:left="720"/>
      <w:contextualSpacing/>
    </w:pPr>
  </w:style>
  <w:style w:type="paragraph" w:styleId="Textbubliny">
    <w:name w:val="Balloon Text"/>
    <w:basedOn w:val="Normlny"/>
    <w:link w:val="TextbublinyChar"/>
    <w:uiPriority w:val="99"/>
    <w:rsid w:val="003274C3"/>
    <w:rPr>
      <w:rFonts w:ascii="Segoe UI" w:hAnsi="Segoe UI" w:cs="Segoe UI"/>
      <w:sz w:val="18"/>
      <w:szCs w:val="18"/>
    </w:rPr>
  </w:style>
  <w:style w:type="character" w:customStyle="1" w:styleId="TextbublinyChar">
    <w:name w:val="Text bubliny Char"/>
    <w:basedOn w:val="Predvolenpsmoodseku"/>
    <w:link w:val="Textbubliny"/>
    <w:uiPriority w:val="99"/>
    <w:locked/>
    <w:rsid w:val="003274C3"/>
    <w:rPr>
      <w:rFonts w:ascii="Segoe UI" w:hAnsi="Segoe UI" w:cs="Times New Roman"/>
      <w:sz w:val="18"/>
    </w:rPr>
  </w:style>
  <w:style w:type="paragraph" w:styleId="Zarkazkladnhotextu">
    <w:name w:val="Body Text Indent"/>
    <w:basedOn w:val="Normlny"/>
    <w:link w:val="ZarkazkladnhotextuChar"/>
    <w:uiPriority w:val="99"/>
    <w:rsid w:val="005F44EF"/>
    <w:pPr>
      <w:spacing w:after="120"/>
      <w:ind w:left="283"/>
    </w:pPr>
  </w:style>
  <w:style w:type="character" w:customStyle="1" w:styleId="ZarkazkladnhotextuChar">
    <w:name w:val="Zarážka základného textu Char"/>
    <w:basedOn w:val="Predvolenpsmoodseku"/>
    <w:link w:val="Zarkazkladnhotextu"/>
    <w:uiPriority w:val="99"/>
    <w:locked/>
    <w:rsid w:val="005F44EF"/>
    <w:rPr>
      <w:rFonts w:cs="Times New Roman"/>
      <w:sz w:val="24"/>
    </w:rPr>
  </w:style>
  <w:style w:type="paragraph" w:styleId="Hlavika">
    <w:name w:val="header"/>
    <w:basedOn w:val="Normlny"/>
    <w:link w:val="HlavikaChar"/>
    <w:uiPriority w:val="99"/>
    <w:rsid w:val="002055C9"/>
    <w:pPr>
      <w:tabs>
        <w:tab w:val="center" w:pos="4536"/>
        <w:tab w:val="right" w:pos="9072"/>
      </w:tabs>
    </w:pPr>
  </w:style>
  <w:style w:type="character" w:customStyle="1" w:styleId="HlavikaChar">
    <w:name w:val="Hlavička Char"/>
    <w:basedOn w:val="Predvolenpsmoodseku"/>
    <w:link w:val="Hlavika"/>
    <w:uiPriority w:val="99"/>
    <w:locked/>
    <w:rsid w:val="002055C9"/>
    <w:rPr>
      <w:rFonts w:cs="Times New Roman"/>
      <w:sz w:val="24"/>
    </w:rPr>
  </w:style>
  <w:style w:type="paragraph" w:styleId="Pta">
    <w:name w:val="footer"/>
    <w:basedOn w:val="Normlny"/>
    <w:link w:val="PtaChar"/>
    <w:uiPriority w:val="99"/>
    <w:rsid w:val="002055C9"/>
    <w:pPr>
      <w:tabs>
        <w:tab w:val="center" w:pos="4536"/>
        <w:tab w:val="right" w:pos="9072"/>
      </w:tabs>
    </w:pPr>
  </w:style>
  <w:style w:type="character" w:customStyle="1" w:styleId="PtaChar">
    <w:name w:val="Päta Char"/>
    <w:basedOn w:val="Predvolenpsmoodseku"/>
    <w:link w:val="Pta"/>
    <w:uiPriority w:val="99"/>
    <w:locked/>
    <w:rsid w:val="002055C9"/>
    <w:rPr>
      <w:rFonts w:cs="Times New Roman"/>
      <w:sz w:val="24"/>
    </w:rPr>
  </w:style>
  <w:style w:type="paragraph" w:styleId="Textpoznmkypodiarou">
    <w:name w:val="footnote text"/>
    <w:basedOn w:val="Normlny"/>
    <w:link w:val="TextpoznmkypodiarouChar"/>
    <w:uiPriority w:val="99"/>
    <w:unhideWhenUsed/>
    <w:rsid w:val="001E13E0"/>
    <w:rPr>
      <w:rFonts w:ascii="Calibri" w:hAnsi="Calibri"/>
      <w:sz w:val="20"/>
      <w:szCs w:val="20"/>
      <w:lang w:eastAsia="en-US"/>
    </w:rPr>
  </w:style>
  <w:style w:type="character" w:customStyle="1" w:styleId="TextpoznmkypodiarouChar">
    <w:name w:val="Text poznámky pod čiarou Char"/>
    <w:basedOn w:val="Predvolenpsmoodseku"/>
    <w:link w:val="Textpoznmkypodiarou"/>
    <w:uiPriority w:val="99"/>
    <w:locked/>
    <w:rsid w:val="001E13E0"/>
    <w:rPr>
      <w:rFonts w:ascii="Calibri" w:hAnsi="Calibri" w:cs="Times New Roman"/>
      <w:lang w:val="x-none" w:eastAsia="en-US"/>
    </w:rPr>
  </w:style>
  <w:style w:type="character" w:styleId="Odkaznapoznmkupodiarou">
    <w:name w:val="footnote reference"/>
    <w:basedOn w:val="Predvolenpsmoodseku"/>
    <w:uiPriority w:val="99"/>
    <w:unhideWhenUsed/>
    <w:rsid w:val="001E13E0"/>
    <w:rPr>
      <w:rFonts w:cs="Times New Roman"/>
      <w:vertAlign w:val="superscript"/>
    </w:rPr>
  </w:style>
  <w:style w:type="character" w:customStyle="1" w:styleId="OdsekzoznamuChar">
    <w:name w:val="Odsek zoznamu Char"/>
    <w:aliases w:val="body Char,Odsek zoznamu2 Char"/>
    <w:link w:val="Odsekzoznamu"/>
    <w:uiPriority w:val="99"/>
    <w:locked/>
    <w:rsid w:val="00E4421C"/>
    <w:rPr>
      <w:sz w:val="24"/>
      <w:szCs w:val="24"/>
    </w:rPr>
  </w:style>
  <w:style w:type="paragraph" w:styleId="Obyajntext">
    <w:name w:val="Plain Text"/>
    <w:basedOn w:val="Normlny"/>
    <w:link w:val="ObyajntextChar"/>
    <w:uiPriority w:val="99"/>
    <w:unhideWhenUsed/>
    <w:rsid w:val="0061562B"/>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61562B"/>
    <w:rPr>
      <w:rFonts w:ascii="Calibri" w:eastAsiaTheme="minorHAnsi" w:hAnsi="Calibri" w:cstheme="minorBidi"/>
      <w:sz w:val="22"/>
      <w:szCs w:val="21"/>
      <w:lang w:eastAsia="en-US"/>
    </w:rPr>
  </w:style>
  <w:style w:type="table" w:styleId="Mriekatabuky">
    <w:name w:val="Table Grid"/>
    <w:basedOn w:val="Normlnatabuka"/>
    <w:uiPriority w:val="59"/>
    <w:rsid w:val="00C73A48"/>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15035">
      <w:bodyDiv w:val="1"/>
      <w:marLeft w:val="0"/>
      <w:marRight w:val="0"/>
      <w:marTop w:val="0"/>
      <w:marBottom w:val="0"/>
      <w:divBdr>
        <w:top w:val="none" w:sz="0" w:space="0" w:color="auto"/>
        <w:left w:val="none" w:sz="0" w:space="0" w:color="auto"/>
        <w:bottom w:val="none" w:sz="0" w:space="0" w:color="auto"/>
        <w:right w:val="none" w:sz="0" w:space="0" w:color="auto"/>
      </w:divBdr>
    </w:div>
    <w:div w:id="2042973841">
      <w:marLeft w:val="0"/>
      <w:marRight w:val="0"/>
      <w:marTop w:val="0"/>
      <w:marBottom w:val="0"/>
      <w:divBdr>
        <w:top w:val="none" w:sz="0" w:space="0" w:color="auto"/>
        <w:left w:val="none" w:sz="0" w:space="0" w:color="auto"/>
        <w:bottom w:val="none" w:sz="0" w:space="0" w:color="auto"/>
        <w:right w:val="none" w:sz="0" w:space="0" w:color="auto"/>
      </w:divBdr>
    </w:div>
    <w:div w:id="2042973842">
      <w:marLeft w:val="0"/>
      <w:marRight w:val="0"/>
      <w:marTop w:val="0"/>
      <w:marBottom w:val="0"/>
      <w:divBdr>
        <w:top w:val="none" w:sz="0" w:space="0" w:color="auto"/>
        <w:left w:val="none" w:sz="0" w:space="0" w:color="auto"/>
        <w:bottom w:val="none" w:sz="0" w:space="0" w:color="auto"/>
        <w:right w:val="none" w:sz="0" w:space="0" w:color="auto"/>
      </w:divBdr>
    </w:div>
    <w:div w:id="2042973843">
      <w:marLeft w:val="0"/>
      <w:marRight w:val="0"/>
      <w:marTop w:val="0"/>
      <w:marBottom w:val="0"/>
      <w:divBdr>
        <w:top w:val="none" w:sz="0" w:space="0" w:color="auto"/>
        <w:left w:val="none" w:sz="0" w:space="0" w:color="auto"/>
        <w:bottom w:val="none" w:sz="0" w:space="0" w:color="auto"/>
        <w:right w:val="none" w:sz="0" w:space="0" w:color="auto"/>
      </w:divBdr>
    </w:div>
    <w:div w:id="2042973844">
      <w:marLeft w:val="0"/>
      <w:marRight w:val="0"/>
      <w:marTop w:val="0"/>
      <w:marBottom w:val="0"/>
      <w:divBdr>
        <w:top w:val="none" w:sz="0" w:space="0" w:color="auto"/>
        <w:left w:val="none" w:sz="0" w:space="0" w:color="auto"/>
        <w:bottom w:val="none" w:sz="0" w:space="0" w:color="auto"/>
        <w:right w:val="none" w:sz="0" w:space="0" w:color="auto"/>
      </w:divBdr>
    </w:div>
    <w:div w:id="2042973845">
      <w:marLeft w:val="0"/>
      <w:marRight w:val="0"/>
      <w:marTop w:val="0"/>
      <w:marBottom w:val="0"/>
      <w:divBdr>
        <w:top w:val="none" w:sz="0" w:space="0" w:color="auto"/>
        <w:left w:val="none" w:sz="0" w:space="0" w:color="auto"/>
        <w:bottom w:val="none" w:sz="0" w:space="0" w:color="auto"/>
        <w:right w:val="none" w:sz="0" w:space="0" w:color="auto"/>
      </w:divBdr>
    </w:div>
    <w:div w:id="2042973846">
      <w:marLeft w:val="0"/>
      <w:marRight w:val="0"/>
      <w:marTop w:val="0"/>
      <w:marBottom w:val="0"/>
      <w:divBdr>
        <w:top w:val="none" w:sz="0" w:space="0" w:color="auto"/>
        <w:left w:val="none" w:sz="0" w:space="0" w:color="auto"/>
        <w:bottom w:val="none" w:sz="0" w:space="0" w:color="auto"/>
        <w:right w:val="none" w:sz="0" w:space="0" w:color="auto"/>
      </w:divBdr>
    </w:div>
    <w:div w:id="2042973847">
      <w:marLeft w:val="0"/>
      <w:marRight w:val="0"/>
      <w:marTop w:val="0"/>
      <w:marBottom w:val="0"/>
      <w:divBdr>
        <w:top w:val="none" w:sz="0" w:space="0" w:color="auto"/>
        <w:left w:val="none" w:sz="0" w:space="0" w:color="auto"/>
        <w:bottom w:val="none" w:sz="0" w:space="0" w:color="auto"/>
        <w:right w:val="none" w:sz="0" w:space="0" w:color="auto"/>
      </w:divBdr>
    </w:div>
    <w:div w:id="20429738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DBA43-020A-4E14-ADF8-3FDAD006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2891</Words>
  <Characters>16483</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Novela zákona č</vt:lpstr>
    </vt:vector>
  </TitlesOfParts>
  <Company>MFSR</Company>
  <LinksUpToDate>false</LinksUpToDate>
  <CharactersWithSpaces>19336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Novela zákona č</dc:title>
  <dc:subject/>
  <dc:creator>Marta Gulárová</dc:creator>
  <cp:keywords/>
  <dc:description/>
  <cp:lastModifiedBy>Droba Gabriel</cp:lastModifiedBy>
  <cp:revision>3</cp:revision>
  <cp:lastPrinted>2021-06-10T10:04:00Z</cp:lastPrinted>
  <dcterms:created xsi:type="dcterms:W3CDTF">2021-06-09T13:55:00Z</dcterms:created>
  <dcterms:modified xsi:type="dcterms:W3CDTF">2021-06-10T10:04:00Z</dcterms:modified>
</cp:coreProperties>
</file>