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393677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393677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93677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39367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7751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367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mení a dopĺňa zákon č. </w:t>
      </w:r>
      <w:r w:rsidR="00393677">
        <w:rPr>
          <w:rFonts w:cs="Arial"/>
          <w:szCs w:val="22"/>
        </w:rPr>
        <w:t>300/2005 Z. z. Trestný zákon v znení neskorších predpisov</w:t>
      </w:r>
      <w:r w:rsidR="00B277E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393677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85333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85333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 v gestorskom výbore </w:t>
      </w:r>
      <w:r w:rsidR="00185333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35149"/>
    <w:rsid w:val="00170CC8"/>
    <w:rsid w:val="00172B6D"/>
    <w:rsid w:val="00173C80"/>
    <w:rsid w:val="00177F9B"/>
    <w:rsid w:val="00185333"/>
    <w:rsid w:val="00186835"/>
    <w:rsid w:val="00192D80"/>
    <w:rsid w:val="001B18D1"/>
    <w:rsid w:val="001B1C43"/>
    <w:rsid w:val="001B26B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517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8557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2021-06-01T07:08:00Z</cp:lastPrinted>
  <dcterms:created xsi:type="dcterms:W3CDTF">2021-05-28T15:16:00Z</dcterms:created>
  <dcterms:modified xsi:type="dcterms:W3CDTF">2021-06-01T07:09:00Z</dcterms:modified>
</cp:coreProperties>
</file>