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898F0" w14:textId="77777777" w:rsidR="00FE67F3" w:rsidRPr="00FE67F3" w:rsidRDefault="00FE67F3" w:rsidP="00FE67F3">
      <w:pPr>
        <w:spacing w:after="0" w:line="240" w:lineRule="auto"/>
        <w:jc w:val="center"/>
        <w:rPr>
          <w:rFonts w:eastAsia="Times New Roman"/>
          <w:color w:val="000000"/>
          <w:sz w:val="27"/>
          <w:szCs w:val="27"/>
          <w:lang w:eastAsia="sk-SK"/>
        </w:rPr>
      </w:pPr>
      <w:r w:rsidRPr="00FE67F3">
        <w:rPr>
          <w:rFonts w:eastAsia="Times New Roman"/>
          <w:b/>
          <w:bCs/>
          <w:color w:val="000000"/>
          <w:lang w:eastAsia="sk-SK"/>
        </w:rPr>
        <w:t>D ô v o d o v á   s p r á v a</w:t>
      </w:r>
    </w:p>
    <w:p w14:paraId="70400308" w14:textId="5774AACB" w:rsidR="00FE67F3" w:rsidRPr="00FE67F3" w:rsidRDefault="00FE67F3" w:rsidP="00FE67F3">
      <w:pPr>
        <w:spacing w:before="240" w:after="120" w:line="240" w:lineRule="auto"/>
        <w:jc w:val="both"/>
        <w:rPr>
          <w:rFonts w:eastAsia="Times New Roman"/>
          <w:color w:val="000000"/>
          <w:sz w:val="27"/>
          <w:szCs w:val="27"/>
          <w:lang w:eastAsia="sk-SK"/>
        </w:rPr>
      </w:pPr>
      <w:r>
        <w:rPr>
          <w:rFonts w:eastAsia="Times New Roman"/>
          <w:b/>
          <w:bCs/>
          <w:color w:val="000000"/>
          <w:lang w:eastAsia="sk-SK"/>
        </w:rPr>
        <w:t xml:space="preserve">A. </w:t>
      </w:r>
      <w:r w:rsidRPr="00FE67F3">
        <w:rPr>
          <w:rFonts w:eastAsia="Times New Roman"/>
          <w:b/>
          <w:bCs/>
          <w:color w:val="000000"/>
          <w:lang w:eastAsia="sk-SK"/>
        </w:rPr>
        <w:t>Všeobecná časť</w:t>
      </w:r>
    </w:p>
    <w:p w14:paraId="62C12D8F" w14:textId="0A6B3708" w:rsidR="00FE67F3" w:rsidRDefault="00FE67F3" w:rsidP="00033A39">
      <w:pPr>
        <w:shd w:val="clear" w:color="auto" w:fill="FFFFFF"/>
        <w:spacing w:before="100" w:beforeAutospacing="1" w:after="0" w:line="240" w:lineRule="auto"/>
        <w:ind w:firstLine="708"/>
        <w:jc w:val="both"/>
        <w:rPr>
          <w:rFonts w:eastAsia="Times New Roman"/>
          <w:color w:val="000000"/>
          <w:lang w:eastAsia="sk-SK"/>
        </w:rPr>
      </w:pPr>
      <w:r w:rsidRPr="00FE67F3">
        <w:rPr>
          <w:rFonts w:eastAsia="Times New Roman"/>
          <w:color w:val="000000"/>
          <w:lang w:eastAsia="sk-SK"/>
        </w:rPr>
        <w:t>Návrh</w:t>
      </w:r>
      <w:r w:rsidRPr="00FE67F3">
        <w:rPr>
          <w:rFonts w:eastAsia="Times New Roman"/>
          <w:color w:val="000000"/>
          <w:spacing w:val="92"/>
          <w:lang w:eastAsia="sk-SK"/>
        </w:rPr>
        <w:t xml:space="preserve"> </w:t>
      </w:r>
      <w:r w:rsidRPr="00FE67F3">
        <w:rPr>
          <w:rFonts w:eastAsia="Times New Roman"/>
          <w:color w:val="000000"/>
          <w:lang w:eastAsia="sk-SK"/>
        </w:rPr>
        <w:t>zákona,</w:t>
      </w:r>
      <w:r w:rsidRPr="00FE67F3">
        <w:rPr>
          <w:rFonts w:eastAsia="Times New Roman"/>
          <w:color w:val="000000"/>
          <w:spacing w:val="92"/>
          <w:lang w:eastAsia="sk-SK"/>
        </w:rPr>
        <w:t xml:space="preserve"> </w:t>
      </w:r>
      <w:r w:rsidR="00DE29FE" w:rsidRPr="00DE29FE">
        <w:rPr>
          <w:rFonts w:eastAsia="Times New Roman"/>
          <w:color w:val="000000"/>
          <w:lang w:eastAsia="sk-SK"/>
        </w:rPr>
        <w:t xml:space="preserve">ktorým sa dopĺňa zákon č. 49/2002 Z. z. o ochrane pamiatkového fondu v znení neskorších predpisov a o doplnení </w:t>
      </w:r>
      <w:r w:rsidR="00123E1C">
        <w:rPr>
          <w:rFonts w:eastAsia="Times New Roman"/>
          <w:color w:val="000000"/>
          <w:lang w:eastAsia="sk-SK"/>
        </w:rPr>
        <w:t>zákona č. 326/2005 Z. z.</w:t>
      </w:r>
      <w:r w:rsidR="001C0900">
        <w:rPr>
          <w:rFonts w:eastAsia="Times New Roman"/>
          <w:color w:val="000000"/>
          <w:lang w:eastAsia="sk-SK"/>
        </w:rPr>
        <w:t xml:space="preserve"> o lesoch</w:t>
      </w:r>
      <w:r w:rsidR="00DE29FE" w:rsidRPr="00DE29FE">
        <w:rPr>
          <w:rFonts w:eastAsia="Times New Roman"/>
          <w:color w:val="000000"/>
          <w:lang w:eastAsia="sk-SK"/>
        </w:rPr>
        <w:t> v znení neskorších predpisov</w:t>
      </w:r>
      <w:r w:rsidR="00DE29FE">
        <w:rPr>
          <w:rFonts w:eastAsia="Times New Roman"/>
          <w:color w:val="000000"/>
          <w:lang w:eastAsia="sk-SK"/>
        </w:rPr>
        <w:t xml:space="preserve">  predkladá</w:t>
      </w:r>
      <w:r w:rsidRPr="00FE67F3">
        <w:rPr>
          <w:rFonts w:eastAsia="Times New Roman"/>
          <w:color w:val="000000"/>
          <w:lang w:eastAsia="sk-SK"/>
        </w:rPr>
        <w:t xml:space="preserve"> na rokovanie Národnej rady Slovenskej republiky </w:t>
      </w:r>
      <w:r w:rsidR="00A32BAC">
        <w:rPr>
          <w:rFonts w:eastAsia="Times New Roman"/>
          <w:color w:val="000000"/>
          <w:lang w:eastAsia="sk-SK"/>
        </w:rPr>
        <w:t xml:space="preserve">skupina poslancov. </w:t>
      </w:r>
    </w:p>
    <w:p w14:paraId="4E2AE73A" w14:textId="77777777" w:rsidR="00A32BAC" w:rsidRPr="00FE67F3" w:rsidRDefault="00A32BAC" w:rsidP="00033A39">
      <w:pPr>
        <w:shd w:val="clear" w:color="auto" w:fill="FFFFFF"/>
        <w:spacing w:before="100" w:beforeAutospacing="1" w:after="0" w:line="240" w:lineRule="auto"/>
        <w:ind w:firstLine="708"/>
        <w:jc w:val="both"/>
        <w:rPr>
          <w:rFonts w:eastAsia="Times New Roman"/>
          <w:color w:val="000000"/>
          <w:lang w:eastAsia="sk-SK"/>
        </w:rPr>
      </w:pPr>
    </w:p>
    <w:p w14:paraId="7E3430F9" w14:textId="0F10C3C2" w:rsidR="00DE29FE" w:rsidRDefault="00FE67F3" w:rsidP="003D3F62">
      <w:pPr>
        <w:keepNext/>
        <w:spacing w:after="0" w:line="240" w:lineRule="auto"/>
        <w:ind w:firstLine="709"/>
        <w:jc w:val="both"/>
        <w:rPr>
          <w:rFonts w:eastAsia="Calibri"/>
        </w:rPr>
      </w:pPr>
      <w:r w:rsidRPr="00FE67F3">
        <w:rPr>
          <w:rFonts w:eastAsia="Times New Roman"/>
          <w:color w:val="000000"/>
          <w:lang w:eastAsia="sk-SK"/>
        </w:rPr>
        <w:t>Cie</w:t>
      </w:r>
      <w:r w:rsidR="00DE29FE">
        <w:rPr>
          <w:rFonts w:eastAsia="Times New Roman"/>
          <w:color w:val="000000"/>
          <w:lang w:eastAsia="sk-SK"/>
        </w:rPr>
        <w:t xml:space="preserve">ľom predloženého návrhu zákona je </w:t>
      </w:r>
      <w:r w:rsidR="00033A39">
        <w:rPr>
          <w:rFonts w:eastAsia="Times New Roman"/>
          <w:color w:val="000000"/>
          <w:lang w:eastAsia="sk-SK"/>
        </w:rPr>
        <w:t>rozšíre</w:t>
      </w:r>
      <w:r w:rsidR="00DE29FE">
        <w:rPr>
          <w:rFonts w:eastAsia="Times New Roman"/>
          <w:color w:val="000000"/>
          <w:lang w:eastAsia="sk-SK"/>
        </w:rPr>
        <w:t xml:space="preserve">nie právnej úpravy </w:t>
      </w:r>
      <w:r w:rsidR="00033A39">
        <w:rPr>
          <w:rFonts w:eastAsia="Times New Roman"/>
          <w:color w:val="000000"/>
          <w:lang w:eastAsia="sk-SK"/>
        </w:rPr>
        <w:t>v</w:t>
      </w:r>
      <w:r w:rsidR="00033A39" w:rsidRPr="00033A39">
        <w:rPr>
          <w:rFonts w:eastAsia="Times New Roman"/>
          <w:color w:val="000000"/>
          <w:lang w:eastAsia="sk-SK"/>
        </w:rPr>
        <w:t>yužiti</w:t>
      </w:r>
      <w:r w:rsidR="00033A39">
        <w:rPr>
          <w:rFonts w:eastAsia="Times New Roman"/>
          <w:color w:val="000000"/>
          <w:lang w:eastAsia="sk-SK"/>
        </w:rPr>
        <w:t>a</w:t>
      </w:r>
      <w:r w:rsidR="00033A39" w:rsidRPr="00033A39">
        <w:rPr>
          <w:rFonts w:eastAsia="Times New Roman"/>
          <w:color w:val="000000"/>
          <w:lang w:eastAsia="sk-SK"/>
        </w:rPr>
        <w:t xml:space="preserve"> lesných pozemkov vo vlastníctve štátu</w:t>
      </w:r>
      <w:r w:rsidR="00033A39">
        <w:rPr>
          <w:rFonts w:eastAsia="Times New Roman"/>
          <w:color w:val="000000"/>
          <w:lang w:eastAsia="sk-SK"/>
        </w:rPr>
        <w:t xml:space="preserve"> a pozemkov tvoriacich ostatný majetok vo vlastníctve štátu</w:t>
      </w:r>
      <w:r w:rsidR="00033A39" w:rsidRPr="00033A39">
        <w:rPr>
          <w:rFonts w:eastAsia="Times New Roman"/>
          <w:color w:val="000000"/>
          <w:lang w:eastAsia="sk-SK"/>
        </w:rPr>
        <w:t xml:space="preserve"> na verejnoprospešné účely</w:t>
      </w:r>
      <w:r w:rsidR="00033A39">
        <w:rPr>
          <w:rFonts w:eastAsia="Times New Roman"/>
          <w:color w:val="000000"/>
          <w:lang w:eastAsia="sk-SK"/>
        </w:rPr>
        <w:t xml:space="preserve">, a to na verejnoprospešný účel, ktorým bude obnova hradu alebo </w:t>
      </w:r>
      <w:proofErr w:type="spellStart"/>
      <w:r w:rsidR="00033A39">
        <w:rPr>
          <w:rFonts w:eastAsia="Times New Roman"/>
          <w:color w:val="000000"/>
          <w:lang w:eastAsia="sk-SK"/>
        </w:rPr>
        <w:t>torzálnej</w:t>
      </w:r>
      <w:proofErr w:type="spellEnd"/>
      <w:r w:rsidR="00033A39">
        <w:rPr>
          <w:rFonts w:eastAsia="Times New Roman"/>
          <w:color w:val="000000"/>
          <w:lang w:eastAsia="sk-SK"/>
        </w:rPr>
        <w:t xml:space="preserve"> architektúry.</w:t>
      </w:r>
      <w:r w:rsidR="00DE29FE">
        <w:rPr>
          <w:rFonts w:eastAsia="Times New Roman"/>
          <w:color w:val="000000"/>
          <w:lang w:eastAsia="sk-SK"/>
        </w:rPr>
        <w:t xml:space="preserve"> </w:t>
      </w:r>
      <w:r w:rsidR="00033A39" w:rsidRPr="007D6D02">
        <w:t>V</w:t>
      </w:r>
      <w:r w:rsidR="00033A39">
        <w:t> čl. I sa na tento účel dopĺňa kompetencia krajského pamiatkového úradu. V čl.</w:t>
      </w:r>
      <w:r w:rsidR="00033A39" w:rsidRPr="007D6D02">
        <w:t xml:space="preserve"> </w:t>
      </w:r>
      <w:r w:rsidR="00535239">
        <w:t>II</w:t>
      </w:r>
      <w:r w:rsidR="00033A39">
        <w:t xml:space="preserve"> </w:t>
      </w:r>
      <w:r w:rsidR="00033A39" w:rsidRPr="007D6D02">
        <w:t xml:space="preserve">návrhu zákona sa </w:t>
      </w:r>
      <w:r w:rsidR="00033A39" w:rsidRPr="007D6D02">
        <w:rPr>
          <w:rFonts w:eastAsia="Calibri"/>
        </w:rPr>
        <w:t>zákon č. 326/2005 Z. z. o lesoch v znení neskorších predpisov dopĺňa osobitným § 50c</w:t>
      </w:r>
      <w:r w:rsidR="003D3F62">
        <w:rPr>
          <w:rFonts w:eastAsia="Calibri"/>
        </w:rPr>
        <w:t>,</w:t>
      </w:r>
      <w:r w:rsidR="00033A39" w:rsidRPr="007D6D02">
        <w:rPr>
          <w:rFonts w:eastAsia="Calibri"/>
        </w:rPr>
        <w:t xml:space="preserve"> ktorý upravuje vzťahy k lesnému majetku štátu (§50) a k o ostatnému majetku štátu (§ 50a) v prípadoch, ak sa na týchto pozemkoch nachádza stavba hradu, alebo jeho </w:t>
      </w:r>
      <w:proofErr w:type="spellStart"/>
      <w:r w:rsidR="00033A39" w:rsidRPr="007D6D02">
        <w:rPr>
          <w:rFonts w:eastAsia="Calibri"/>
        </w:rPr>
        <w:t>torzálna</w:t>
      </w:r>
      <w:proofErr w:type="spellEnd"/>
      <w:r w:rsidR="00033A39" w:rsidRPr="007D6D02">
        <w:rPr>
          <w:rFonts w:eastAsia="Calibri"/>
        </w:rPr>
        <w:t xml:space="preserve"> architektúra, národná</w:t>
      </w:r>
      <w:r w:rsidR="003D3F62">
        <w:rPr>
          <w:rFonts w:eastAsia="Calibri"/>
        </w:rPr>
        <w:t xml:space="preserve"> </w:t>
      </w:r>
      <w:r w:rsidR="00033A39" w:rsidRPr="007D6D02">
        <w:rPr>
          <w:rFonts w:eastAsia="Calibri"/>
        </w:rPr>
        <w:t xml:space="preserve">kultúrna pamiatka, pamiatková rezervácia alebo pamiatková zóna. Návrh konkretizuje postup správcu majetku štátu v prípadoch, ak starostlivosť o tieto objekty zabezpečuje obec, vyšší územný celok, občianske združenie alebo nezisková organizácia. Návrh nadväzuje na viacročnú prax na obnove hradov, ktorá sa začala v roku  2008 a odstraňuje prekážky, ktoré vyplynuli z doterajšej aplikačnej praxe, najmä určuje postupy osôb, ktoré zabezpečujú, resp. budú zabezpečovať záchranu, rekonštrukciu, alebo udržiavacie práce na stavbách hradov alebo ich </w:t>
      </w:r>
      <w:proofErr w:type="spellStart"/>
      <w:r w:rsidR="00033A39" w:rsidRPr="007D6D02">
        <w:rPr>
          <w:rFonts w:eastAsia="Calibri"/>
        </w:rPr>
        <w:t>torzálnej</w:t>
      </w:r>
      <w:proofErr w:type="spellEnd"/>
      <w:r w:rsidR="00033A39" w:rsidRPr="007D6D02">
        <w:rPr>
          <w:rFonts w:eastAsia="Calibri"/>
        </w:rPr>
        <w:t xml:space="preserve"> architektúre, na objektoch vyhlásených za národné kultúrne pamiatky, pamiatkové rezervácie alebo pamiatkové zóny nachádzajúcich sa na pozemkoch v správe štátnych organizácií lesného hospodárstva. Zároveň návrh určuje postup  správcu lesného majetku štátu v tomto procese, konkretizuje podmienky uplatnenia postupu a deklaruje, že uvedené činnosti sú vykonávané za verejnoprospešným účelom. Výsledkom uplatňovania doplnenia zákona o lesoch bude zabezpečenie zmluvného vzťahu k pozemku, na ktorom sa realizuje táto verejnoprospešná činnosť, čo následne umožní, aby osoby, ktoré túto činnosť vykonávajú mohli získať podporu z verejných alebo európskych zdrojov na jej realizáciu. </w:t>
      </w:r>
    </w:p>
    <w:p w14:paraId="5DAD5EF6" w14:textId="7B77B32B" w:rsidR="00EE72F2" w:rsidRDefault="00EE72F2" w:rsidP="00EE72F2">
      <w:pPr>
        <w:keepNext/>
        <w:spacing w:after="0" w:line="240" w:lineRule="auto"/>
        <w:ind w:firstLine="709"/>
        <w:jc w:val="both"/>
        <w:rPr>
          <w:rFonts w:eastAsia="Times New Roman"/>
          <w:color w:val="000000"/>
          <w:lang w:eastAsia="sk-SK"/>
        </w:rPr>
      </w:pPr>
      <w:r>
        <w:rPr>
          <w:rFonts w:eastAsia="Times New Roman"/>
          <w:color w:val="000000"/>
          <w:lang w:eastAsia="sk-SK"/>
        </w:rPr>
        <w:t xml:space="preserve">Navrhovaná úprava vychádza z </w:t>
      </w:r>
      <w:r w:rsidRPr="00CA4BA3">
        <w:rPr>
          <w:rFonts w:eastAsia="Times New Roman"/>
          <w:color w:val="000000"/>
          <w:lang w:eastAsia="sk-SK"/>
        </w:rPr>
        <w:t xml:space="preserve">princípu, že </w:t>
      </w:r>
      <w:r>
        <w:rPr>
          <w:rFonts w:eastAsia="Times New Roman"/>
          <w:color w:val="000000"/>
          <w:lang w:eastAsia="sk-SK"/>
        </w:rPr>
        <w:t>verejnoprospešná činnosť</w:t>
      </w:r>
      <w:r w:rsidRPr="00CA4BA3">
        <w:rPr>
          <w:rFonts w:eastAsia="Times New Roman"/>
          <w:color w:val="000000"/>
          <w:lang w:eastAsia="sk-SK"/>
        </w:rPr>
        <w:t xml:space="preserve"> realizovaná </w:t>
      </w:r>
      <w:r>
        <w:rPr>
          <w:rFonts w:eastAsia="Times New Roman"/>
          <w:color w:val="000000"/>
          <w:lang w:eastAsia="sk-SK"/>
        </w:rPr>
        <w:t xml:space="preserve">na </w:t>
      </w:r>
      <w:r w:rsidRPr="00CA4BA3">
        <w:rPr>
          <w:rFonts w:eastAsia="Times New Roman"/>
          <w:color w:val="000000"/>
          <w:lang w:eastAsia="sk-SK"/>
        </w:rPr>
        <w:t>o</w:t>
      </w:r>
      <w:r>
        <w:rPr>
          <w:rFonts w:eastAsia="Times New Roman"/>
          <w:color w:val="000000"/>
          <w:lang w:eastAsia="sk-SK"/>
        </w:rPr>
        <w:t>b</w:t>
      </w:r>
      <w:r w:rsidRPr="00CA4BA3">
        <w:rPr>
          <w:rFonts w:eastAsia="Times New Roman"/>
          <w:color w:val="000000"/>
          <w:lang w:eastAsia="sk-SK"/>
        </w:rPr>
        <w:t xml:space="preserve">jekte </w:t>
      </w:r>
      <w:r>
        <w:rPr>
          <w:rFonts w:eastAsia="Times New Roman"/>
          <w:color w:val="000000"/>
          <w:lang w:eastAsia="sk-SK"/>
        </w:rPr>
        <w:t>národnej kultúrnej pamiatky z</w:t>
      </w:r>
      <w:r w:rsidRPr="00CA4BA3">
        <w:rPr>
          <w:rFonts w:eastAsia="Times New Roman"/>
          <w:color w:val="000000"/>
          <w:lang w:eastAsia="sk-SK"/>
        </w:rPr>
        <w:t xml:space="preserve">veľadí tento štátny majetok, ktorý chátral. </w:t>
      </w:r>
      <w:r w:rsidR="00BF080D" w:rsidRPr="00FE67F3">
        <w:rPr>
          <w:rFonts w:eastAsia="Times New Roman"/>
          <w:color w:val="000000"/>
          <w:lang w:eastAsia="sk-SK"/>
        </w:rPr>
        <w:t>Návrh</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zákona</w:t>
      </w:r>
      <w:r w:rsidR="00BF080D" w:rsidRPr="00FE67F3">
        <w:rPr>
          <w:rFonts w:eastAsia="Times New Roman"/>
          <w:color w:val="000000"/>
          <w:spacing w:val="3"/>
          <w:lang w:eastAsia="sk-SK"/>
        </w:rPr>
        <w:t xml:space="preserve"> </w:t>
      </w:r>
      <w:r w:rsidR="00BF080D">
        <w:rPr>
          <w:rFonts w:eastAsia="Times New Roman"/>
          <w:color w:val="000000"/>
          <w:lang w:eastAsia="sk-SK"/>
        </w:rPr>
        <w:t>môže</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mať</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negatívny</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vplyv</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na</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rozpočet</w:t>
      </w:r>
      <w:r w:rsidR="00BF080D" w:rsidRPr="00FE67F3">
        <w:rPr>
          <w:rFonts w:eastAsia="Times New Roman"/>
          <w:color w:val="000000"/>
          <w:spacing w:val="3"/>
          <w:lang w:eastAsia="sk-SK"/>
        </w:rPr>
        <w:t xml:space="preserve"> </w:t>
      </w:r>
      <w:r w:rsidR="00BF080D" w:rsidRPr="00FE67F3">
        <w:rPr>
          <w:rFonts w:eastAsia="Times New Roman"/>
          <w:color w:val="000000"/>
          <w:lang w:eastAsia="sk-SK"/>
        </w:rPr>
        <w:t>verejnej</w:t>
      </w:r>
      <w:r w:rsidR="00BF080D" w:rsidRPr="00FE67F3">
        <w:rPr>
          <w:rFonts w:eastAsia="Times New Roman"/>
          <w:color w:val="000000"/>
          <w:spacing w:val="3"/>
          <w:lang w:eastAsia="sk-SK"/>
        </w:rPr>
        <w:t xml:space="preserve"> </w:t>
      </w:r>
      <w:r w:rsidR="00BF080D">
        <w:rPr>
          <w:rFonts w:eastAsia="Times New Roman"/>
          <w:color w:val="000000"/>
          <w:lang w:eastAsia="sk-SK"/>
        </w:rPr>
        <w:t xml:space="preserve">správy. </w:t>
      </w:r>
      <w:r w:rsidR="00C06E3C">
        <w:rPr>
          <w:rFonts w:eastAsia="Times New Roman"/>
          <w:color w:val="000000"/>
          <w:lang w:eastAsia="sk-SK"/>
        </w:rPr>
        <w:t>Avšak a</w:t>
      </w:r>
      <w:r w:rsidRPr="00CA4BA3">
        <w:rPr>
          <w:rFonts w:eastAsia="Times New Roman"/>
          <w:color w:val="000000"/>
          <w:lang w:eastAsia="sk-SK"/>
        </w:rPr>
        <w:t>j keď správc</w:t>
      </w:r>
      <w:r>
        <w:rPr>
          <w:rFonts w:eastAsia="Times New Roman"/>
          <w:color w:val="000000"/>
          <w:lang w:eastAsia="sk-SK"/>
        </w:rPr>
        <w:t>a majetku štátu, na základe tohto návrhu umožní bezodplatné užívanie tohto majetku štátu</w:t>
      </w:r>
      <w:r w:rsidR="00F747D0">
        <w:rPr>
          <w:rFonts w:eastAsia="Times New Roman"/>
          <w:color w:val="000000"/>
          <w:lang w:eastAsia="sk-SK"/>
        </w:rPr>
        <w:t xml:space="preserve"> napr. občianskemu združeniu</w:t>
      </w:r>
      <w:r>
        <w:rPr>
          <w:rFonts w:eastAsia="Times New Roman"/>
          <w:color w:val="000000"/>
          <w:lang w:eastAsia="sk-SK"/>
        </w:rPr>
        <w:t>, resp. jeho prevod</w:t>
      </w:r>
      <w:r w:rsidR="00F747D0">
        <w:rPr>
          <w:rFonts w:eastAsia="Times New Roman"/>
          <w:color w:val="000000"/>
          <w:lang w:eastAsia="sk-SK"/>
        </w:rPr>
        <w:t xml:space="preserve"> na obec alebo vyšší územný celok</w:t>
      </w:r>
      <w:r w:rsidRPr="00CA4BA3">
        <w:rPr>
          <w:rFonts w:eastAsia="Times New Roman"/>
          <w:color w:val="000000"/>
          <w:lang w:eastAsia="sk-SK"/>
        </w:rPr>
        <w:t xml:space="preserve">, na druhej strane </w:t>
      </w:r>
      <w:r w:rsidR="00C06E3C">
        <w:rPr>
          <w:rFonts w:eastAsia="Times New Roman"/>
          <w:color w:val="000000"/>
          <w:lang w:eastAsia="sk-SK"/>
        </w:rPr>
        <w:t xml:space="preserve">dôjde k pozitívnemu vplyvu </w:t>
      </w:r>
      <w:r w:rsidRPr="00CA4BA3">
        <w:rPr>
          <w:rFonts w:eastAsia="Times New Roman"/>
          <w:color w:val="000000"/>
          <w:lang w:eastAsia="sk-SK"/>
        </w:rPr>
        <w:t>zvýšení</w:t>
      </w:r>
      <w:r w:rsidR="00C06E3C">
        <w:rPr>
          <w:rFonts w:eastAsia="Times New Roman"/>
          <w:color w:val="000000"/>
          <w:lang w:eastAsia="sk-SK"/>
        </w:rPr>
        <w:t>m</w:t>
      </w:r>
      <w:r w:rsidRPr="00CA4BA3">
        <w:rPr>
          <w:rFonts w:eastAsia="Times New Roman"/>
          <w:color w:val="000000"/>
          <w:lang w:eastAsia="sk-SK"/>
        </w:rPr>
        <w:t xml:space="preserve"> hodnoty </w:t>
      </w:r>
      <w:r w:rsidR="00C06E3C">
        <w:rPr>
          <w:rFonts w:eastAsia="Times New Roman"/>
          <w:color w:val="000000"/>
          <w:lang w:eastAsia="sk-SK"/>
        </w:rPr>
        <w:t xml:space="preserve">týchto </w:t>
      </w:r>
      <w:r w:rsidRPr="00CA4BA3">
        <w:rPr>
          <w:rFonts w:eastAsia="Times New Roman"/>
          <w:color w:val="000000"/>
          <w:lang w:eastAsia="sk-SK"/>
        </w:rPr>
        <w:t>objektov, vrátane zvýšenia atraktivity územia s dôsledkom na cestovný ruch</w:t>
      </w:r>
      <w:r w:rsidR="00C06E3C">
        <w:rPr>
          <w:rFonts w:eastAsia="Times New Roman"/>
          <w:color w:val="000000"/>
          <w:lang w:eastAsia="sk-SK"/>
        </w:rPr>
        <w:t xml:space="preserve"> a podpory </w:t>
      </w:r>
      <w:r w:rsidR="00C06E3C" w:rsidRPr="00CA4BA3">
        <w:rPr>
          <w:rFonts w:eastAsia="Times New Roman"/>
          <w:color w:val="000000"/>
          <w:lang w:eastAsia="sk-SK"/>
        </w:rPr>
        <w:t>zamestnanosti</w:t>
      </w:r>
      <w:r w:rsidR="00C06E3C">
        <w:rPr>
          <w:rFonts w:eastAsia="Times New Roman"/>
          <w:color w:val="000000"/>
          <w:lang w:eastAsia="sk-SK"/>
        </w:rPr>
        <w:t xml:space="preserve"> v dotknutom regióne.</w:t>
      </w:r>
      <w:r w:rsidRPr="00CA4BA3">
        <w:t xml:space="preserve"> </w:t>
      </w:r>
      <w:r w:rsidRPr="00CA4BA3">
        <w:rPr>
          <w:rFonts w:eastAsia="Times New Roman"/>
          <w:color w:val="000000"/>
          <w:lang w:eastAsia="sk-SK"/>
        </w:rPr>
        <w:t>Uvedené je potvrdené aj aplikačnou praxou</w:t>
      </w:r>
      <w:r>
        <w:rPr>
          <w:rFonts w:eastAsia="Times New Roman"/>
          <w:color w:val="000000"/>
          <w:lang w:eastAsia="sk-SK"/>
        </w:rPr>
        <w:t xml:space="preserve"> v tejto oblasti</w:t>
      </w:r>
      <w:r w:rsidRPr="00CA4BA3">
        <w:rPr>
          <w:rFonts w:eastAsia="Times New Roman"/>
          <w:color w:val="000000"/>
          <w:lang w:eastAsia="sk-SK"/>
        </w:rPr>
        <w:t>, ktorá začala v roku 2008 z podnetu Ministerstva kultúry Slovenskej republiky.</w:t>
      </w:r>
    </w:p>
    <w:p w14:paraId="10608FF3" w14:textId="46374CB1" w:rsidR="00FE67F3" w:rsidRPr="00FE67F3" w:rsidRDefault="00FE67F3" w:rsidP="00FE67F3">
      <w:pPr>
        <w:spacing w:after="0" w:line="240" w:lineRule="auto"/>
        <w:ind w:firstLine="567"/>
        <w:jc w:val="both"/>
        <w:rPr>
          <w:rFonts w:eastAsia="Times New Roman"/>
          <w:color w:val="000000"/>
          <w:sz w:val="27"/>
          <w:szCs w:val="27"/>
          <w:lang w:eastAsia="sk-SK"/>
        </w:rPr>
      </w:pPr>
      <w:r w:rsidRPr="00FE67F3">
        <w:rPr>
          <w:rFonts w:eastAsia="Times New Roman"/>
          <w:color w:val="000000"/>
          <w:lang w:eastAsia="sk-SK"/>
        </w:rPr>
        <w:t>Návrh</w:t>
      </w:r>
      <w:r w:rsidRPr="00FE67F3">
        <w:rPr>
          <w:rFonts w:eastAsia="Times New Roman"/>
          <w:color w:val="000000"/>
          <w:spacing w:val="3"/>
          <w:lang w:eastAsia="sk-SK"/>
        </w:rPr>
        <w:t xml:space="preserve"> </w:t>
      </w:r>
      <w:r w:rsidRPr="00FE67F3">
        <w:rPr>
          <w:rFonts w:eastAsia="Times New Roman"/>
          <w:color w:val="000000"/>
          <w:lang w:eastAsia="sk-SK"/>
        </w:rPr>
        <w:t>zákona</w:t>
      </w:r>
      <w:r w:rsidRPr="00FE67F3">
        <w:rPr>
          <w:rFonts w:eastAsia="Times New Roman"/>
          <w:color w:val="000000"/>
          <w:spacing w:val="3"/>
          <w:lang w:eastAsia="sk-SK"/>
        </w:rPr>
        <w:t xml:space="preserve"> </w:t>
      </w:r>
      <w:r w:rsidRPr="00FE67F3">
        <w:rPr>
          <w:rFonts w:eastAsia="Times New Roman"/>
          <w:color w:val="000000"/>
          <w:lang w:eastAsia="sk-SK"/>
        </w:rPr>
        <w:t>bude</w:t>
      </w:r>
      <w:r w:rsidRPr="00FE67F3">
        <w:rPr>
          <w:rFonts w:eastAsia="Times New Roman"/>
          <w:color w:val="000000"/>
          <w:spacing w:val="3"/>
          <w:lang w:eastAsia="sk-SK"/>
        </w:rPr>
        <w:t xml:space="preserve"> </w:t>
      </w:r>
      <w:r w:rsidRPr="00FE67F3">
        <w:rPr>
          <w:rFonts w:eastAsia="Times New Roman"/>
          <w:color w:val="000000"/>
          <w:lang w:eastAsia="sk-SK"/>
        </w:rPr>
        <w:t xml:space="preserve">mať </w:t>
      </w:r>
      <w:r w:rsidR="009B1DF3">
        <w:rPr>
          <w:rFonts w:eastAsia="Times New Roman"/>
          <w:color w:val="000000"/>
          <w:lang w:eastAsia="sk-SK"/>
        </w:rPr>
        <w:t>pozi</w:t>
      </w:r>
      <w:r w:rsidRPr="00FE67F3">
        <w:rPr>
          <w:rFonts w:eastAsia="Times New Roman"/>
          <w:color w:val="000000"/>
          <w:lang w:eastAsia="sk-SK"/>
        </w:rPr>
        <w:t>tívny</w:t>
      </w:r>
      <w:r w:rsidRPr="00FE67F3">
        <w:rPr>
          <w:rFonts w:eastAsia="Times New Roman"/>
          <w:color w:val="000000"/>
          <w:spacing w:val="66"/>
          <w:lang w:eastAsia="sk-SK"/>
        </w:rPr>
        <w:t xml:space="preserve"> </w:t>
      </w:r>
      <w:r w:rsidRPr="00FE67F3">
        <w:rPr>
          <w:rFonts w:eastAsia="Times New Roman"/>
          <w:color w:val="000000"/>
          <w:lang w:eastAsia="sk-SK"/>
        </w:rPr>
        <w:t>vplyv</w:t>
      </w:r>
      <w:r w:rsidRPr="00FE67F3">
        <w:rPr>
          <w:rFonts w:eastAsia="Times New Roman"/>
          <w:color w:val="000000"/>
          <w:spacing w:val="66"/>
          <w:lang w:eastAsia="sk-SK"/>
        </w:rPr>
        <w:t xml:space="preserve"> </w:t>
      </w:r>
      <w:r w:rsidRPr="00FE67F3">
        <w:rPr>
          <w:rFonts w:eastAsia="Times New Roman"/>
          <w:color w:val="000000"/>
          <w:lang w:eastAsia="sk-SK"/>
        </w:rPr>
        <w:t>na</w:t>
      </w:r>
      <w:r w:rsidRPr="00FE67F3">
        <w:rPr>
          <w:rFonts w:eastAsia="Times New Roman"/>
          <w:color w:val="000000"/>
          <w:spacing w:val="66"/>
          <w:lang w:eastAsia="sk-SK"/>
        </w:rPr>
        <w:t xml:space="preserve"> </w:t>
      </w:r>
      <w:r w:rsidRPr="00FE67F3">
        <w:rPr>
          <w:rFonts w:eastAsia="Times New Roman"/>
          <w:color w:val="000000"/>
          <w:lang w:eastAsia="sk-SK"/>
        </w:rPr>
        <w:t>podnikateľské</w:t>
      </w:r>
      <w:r w:rsidRPr="00FE67F3">
        <w:rPr>
          <w:rFonts w:eastAsia="Times New Roman"/>
          <w:color w:val="000000"/>
          <w:spacing w:val="66"/>
          <w:lang w:eastAsia="sk-SK"/>
        </w:rPr>
        <w:t xml:space="preserve"> </w:t>
      </w:r>
      <w:r w:rsidRPr="00FE67F3">
        <w:rPr>
          <w:rFonts w:eastAsia="Times New Roman"/>
          <w:color w:val="000000"/>
          <w:lang w:eastAsia="sk-SK"/>
        </w:rPr>
        <w:t>prostredie</w:t>
      </w:r>
      <w:r w:rsidR="00C06E3C">
        <w:rPr>
          <w:rFonts w:eastAsia="Times New Roman"/>
          <w:color w:val="000000"/>
          <w:lang w:eastAsia="sk-SK"/>
        </w:rPr>
        <w:t xml:space="preserve"> a pozitívne sociálne vplyvy</w:t>
      </w:r>
      <w:r w:rsidRPr="00FE67F3">
        <w:rPr>
          <w:rFonts w:eastAsia="Times New Roman"/>
          <w:color w:val="000000"/>
          <w:lang w:eastAsia="sk-SK"/>
        </w:rPr>
        <w:t>,</w:t>
      </w:r>
      <w:r w:rsidRPr="00FE67F3">
        <w:rPr>
          <w:rFonts w:eastAsia="Times New Roman"/>
          <w:color w:val="000000"/>
          <w:spacing w:val="66"/>
          <w:lang w:eastAsia="sk-SK"/>
        </w:rPr>
        <w:t xml:space="preserve"> </w:t>
      </w:r>
      <w:r w:rsidRPr="00FE67F3">
        <w:rPr>
          <w:rFonts w:eastAsia="Times New Roman"/>
          <w:color w:val="000000"/>
          <w:lang w:eastAsia="sk-SK"/>
        </w:rPr>
        <w:t>nebude</w:t>
      </w:r>
      <w:r w:rsidRPr="00FE67F3">
        <w:rPr>
          <w:rFonts w:eastAsia="Times New Roman"/>
          <w:color w:val="000000"/>
          <w:spacing w:val="66"/>
          <w:lang w:eastAsia="sk-SK"/>
        </w:rPr>
        <w:t xml:space="preserve"> </w:t>
      </w:r>
      <w:r w:rsidRPr="00FE67F3">
        <w:rPr>
          <w:rFonts w:eastAsia="Times New Roman"/>
          <w:color w:val="000000"/>
          <w:lang w:eastAsia="sk-SK"/>
        </w:rPr>
        <w:t>mať</w:t>
      </w:r>
      <w:r w:rsidRPr="00FE67F3">
        <w:rPr>
          <w:rFonts w:eastAsia="Times New Roman"/>
          <w:color w:val="000000"/>
          <w:spacing w:val="66"/>
          <w:lang w:eastAsia="sk-SK"/>
        </w:rPr>
        <w:t xml:space="preserve"> </w:t>
      </w:r>
      <w:r w:rsidRPr="00FE67F3">
        <w:rPr>
          <w:rFonts w:eastAsia="Times New Roman"/>
          <w:color w:val="000000"/>
          <w:lang w:eastAsia="sk-SK"/>
        </w:rPr>
        <w:t>negatívny</w:t>
      </w:r>
      <w:r w:rsidRPr="00FE67F3">
        <w:rPr>
          <w:rFonts w:eastAsia="Times New Roman"/>
          <w:color w:val="000000"/>
          <w:spacing w:val="66"/>
          <w:lang w:eastAsia="sk-SK"/>
        </w:rPr>
        <w:t xml:space="preserve"> </w:t>
      </w:r>
      <w:r w:rsidRPr="00FE67F3">
        <w:rPr>
          <w:rFonts w:eastAsia="Times New Roman"/>
          <w:color w:val="000000"/>
          <w:lang w:eastAsia="sk-SK"/>
        </w:rPr>
        <w:t>vplyv</w:t>
      </w:r>
      <w:r w:rsidRPr="00FE67F3">
        <w:rPr>
          <w:rFonts w:eastAsia="Times New Roman"/>
          <w:color w:val="000000"/>
          <w:spacing w:val="66"/>
          <w:lang w:eastAsia="sk-SK"/>
        </w:rPr>
        <w:t xml:space="preserve"> </w:t>
      </w:r>
      <w:r w:rsidRPr="00FE67F3">
        <w:rPr>
          <w:rFonts w:eastAsia="Times New Roman"/>
          <w:color w:val="000000"/>
          <w:lang w:eastAsia="sk-SK"/>
        </w:rPr>
        <w:t>na</w:t>
      </w:r>
      <w:r w:rsidRPr="00FE67F3">
        <w:rPr>
          <w:rFonts w:eastAsia="Times New Roman"/>
          <w:color w:val="000000"/>
          <w:spacing w:val="66"/>
          <w:lang w:eastAsia="sk-SK"/>
        </w:rPr>
        <w:t xml:space="preserve"> </w:t>
      </w:r>
      <w:r w:rsidRPr="00FE67F3">
        <w:rPr>
          <w:rFonts w:eastAsia="Times New Roman"/>
          <w:color w:val="000000"/>
          <w:lang w:eastAsia="sk-SK"/>
        </w:rPr>
        <w:t>životné prostredie</w:t>
      </w:r>
      <w:r w:rsidRPr="00FE67F3">
        <w:rPr>
          <w:rFonts w:eastAsia="Times New Roman"/>
          <w:color w:val="000000"/>
          <w:spacing w:val="34"/>
          <w:lang w:eastAsia="sk-SK"/>
        </w:rPr>
        <w:t xml:space="preserve"> </w:t>
      </w:r>
      <w:r w:rsidRPr="00FE67F3">
        <w:rPr>
          <w:rFonts w:eastAsia="Times New Roman"/>
          <w:color w:val="000000"/>
          <w:lang w:eastAsia="sk-SK"/>
        </w:rPr>
        <w:t>ani</w:t>
      </w:r>
      <w:r w:rsidRPr="00FE67F3">
        <w:rPr>
          <w:rFonts w:eastAsia="Times New Roman"/>
          <w:color w:val="000000"/>
          <w:spacing w:val="34"/>
          <w:lang w:eastAsia="sk-SK"/>
        </w:rPr>
        <w:t xml:space="preserve"> </w:t>
      </w:r>
      <w:r w:rsidRPr="00FE67F3">
        <w:rPr>
          <w:rFonts w:eastAsia="Times New Roman"/>
          <w:color w:val="000000"/>
          <w:lang w:eastAsia="sk-SK"/>
        </w:rPr>
        <w:t>na</w:t>
      </w:r>
      <w:r w:rsidRPr="00FE67F3">
        <w:rPr>
          <w:rFonts w:eastAsia="Times New Roman"/>
          <w:color w:val="000000"/>
          <w:spacing w:val="34"/>
          <w:lang w:eastAsia="sk-SK"/>
        </w:rPr>
        <w:t xml:space="preserve"> </w:t>
      </w:r>
      <w:r w:rsidRPr="00FE67F3">
        <w:rPr>
          <w:rFonts w:eastAsia="Times New Roman"/>
          <w:color w:val="000000"/>
          <w:lang w:eastAsia="sk-SK"/>
        </w:rPr>
        <w:t>informatizáciu</w:t>
      </w:r>
      <w:r w:rsidRPr="00FE67F3">
        <w:rPr>
          <w:rFonts w:eastAsia="Times New Roman"/>
          <w:color w:val="000000"/>
          <w:spacing w:val="34"/>
          <w:lang w:eastAsia="sk-SK"/>
        </w:rPr>
        <w:t xml:space="preserve"> </w:t>
      </w:r>
      <w:r w:rsidRPr="00FE67F3">
        <w:rPr>
          <w:rFonts w:eastAsia="Times New Roman"/>
          <w:color w:val="000000"/>
          <w:lang w:eastAsia="sk-SK"/>
        </w:rPr>
        <w:t>spoločnosti.</w:t>
      </w:r>
      <w:r w:rsidRPr="00FE67F3">
        <w:rPr>
          <w:rFonts w:eastAsia="Times New Roman"/>
          <w:color w:val="000000"/>
          <w:spacing w:val="34"/>
          <w:lang w:eastAsia="sk-SK"/>
        </w:rPr>
        <w:t xml:space="preserve"> </w:t>
      </w:r>
      <w:r w:rsidRPr="00FE67F3">
        <w:rPr>
          <w:rFonts w:eastAsia="Times New Roman"/>
          <w:color w:val="000000"/>
          <w:lang w:eastAsia="sk-SK"/>
        </w:rPr>
        <w:t>Rovnako</w:t>
      </w:r>
      <w:r w:rsidRPr="00FE67F3">
        <w:rPr>
          <w:rFonts w:eastAsia="Times New Roman"/>
          <w:color w:val="000000"/>
          <w:spacing w:val="34"/>
          <w:lang w:eastAsia="sk-SK"/>
        </w:rPr>
        <w:t xml:space="preserve"> </w:t>
      </w:r>
      <w:r w:rsidRPr="00FE67F3">
        <w:rPr>
          <w:rFonts w:eastAsia="Times New Roman"/>
          <w:color w:val="000000"/>
          <w:lang w:eastAsia="sk-SK"/>
        </w:rPr>
        <w:t>nebude</w:t>
      </w:r>
      <w:r w:rsidRPr="00FE67F3">
        <w:rPr>
          <w:rFonts w:eastAsia="Times New Roman"/>
          <w:color w:val="000000"/>
          <w:spacing w:val="34"/>
          <w:lang w:eastAsia="sk-SK"/>
        </w:rPr>
        <w:t xml:space="preserve"> </w:t>
      </w:r>
      <w:r w:rsidRPr="00FE67F3">
        <w:rPr>
          <w:rFonts w:eastAsia="Times New Roman"/>
          <w:color w:val="000000"/>
          <w:lang w:eastAsia="sk-SK"/>
        </w:rPr>
        <w:t>mať</w:t>
      </w:r>
      <w:r w:rsidRPr="00FE67F3">
        <w:rPr>
          <w:rFonts w:eastAsia="Times New Roman"/>
          <w:color w:val="000000"/>
          <w:spacing w:val="34"/>
          <w:lang w:eastAsia="sk-SK"/>
        </w:rPr>
        <w:t xml:space="preserve"> </w:t>
      </w:r>
      <w:r w:rsidRPr="00FE67F3">
        <w:rPr>
          <w:rFonts w:eastAsia="Times New Roman"/>
          <w:color w:val="000000"/>
          <w:lang w:eastAsia="sk-SK"/>
        </w:rPr>
        <w:t>návrh</w:t>
      </w:r>
      <w:r w:rsidRPr="00FE67F3">
        <w:rPr>
          <w:rFonts w:eastAsia="Times New Roman"/>
          <w:color w:val="000000"/>
          <w:spacing w:val="34"/>
          <w:lang w:eastAsia="sk-SK"/>
        </w:rPr>
        <w:t xml:space="preserve"> </w:t>
      </w:r>
      <w:r w:rsidRPr="00FE67F3">
        <w:rPr>
          <w:rFonts w:eastAsia="Times New Roman"/>
          <w:color w:val="000000"/>
          <w:lang w:eastAsia="sk-SK"/>
        </w:rPr>
        <w:t xml:space="preserve">zákona  žiadne vplyvy na manželstvo, rodičovstvo a rodinu. </w:t>
      </w:r>
    </w:p>
    <w:p w14:paraId="637F0A4F" w14:textId="77777777" w:rsidR="00FE67F3" w:rsidRPr="00FE67F3" w:rsidRDefault="00FE67F3" w:rsidP="00FE67F3">
      <w:pPr>
        <w:spacing w:after="0" w:line="240" w:lineRule="auto"/>
        <w:ind w:firstLine="567"/>
        <w:jc w:val="both"/>
        <w:rPr>
          <w:rFonts w:eastAsia="Times New Roman"/>
          <w:color w:val="000000"/>
          <w:sz w:val="27"/>
          <w:szCs w:val="27"/>
          <w:lang w:eastAsia="sk-SK"/>
        </w:rPr>
      </w:pPr>
      <w:r w:rsidRPr="00FE67F3">
        <w:rPr>
          <w:rFonts w:eastAsia="Times New Roman"/>
          <w:color w:val="000000"/>
          <w:lang w:eastAsia="sk-SK"/>
        </w:rPr>
        <w:t>Návrh</w:t>
      </w:r>
      <w:r w:rsidRPr="00FE67F3">
        <w:rPr>
          <w:rFonts w:eastAsia="Times New Roman"/>
          <w:color w:val="000000"/>
          <w:spacing w:val="42"/>
          <w:lang w:eastAsia="sk-SK"/>
        </w:rPr>
        <w:t xml:space="preserve"> </w:t>
      </w:r>
      <w:r w:rsidRPr="00FE67F3">
        <w:rPr>
          <w:rFonts w:eastAsia="Times New Roman"/>
          <w:color w:val="000000"/>
          <w:lang w:eastAsia="sk-SK"/>
        </w:rPr>
        <w:t>zákona</w:t>
      </w:r>
      <w:r w:rsidRPr="00FE67F3">
        <w:rPr>
          <w:rFonts w:eastAsia="Times New Roman"/>
          <w:color w:val="000000"/>
          <w:spacing w:val="42"/>
          <w:lang w:eastAsia="sk-SK"/>
        </w:rPr>
        <w:t xml:space="preserve"> </w:t>
      </w:r>
      <w:r w:rsidRPr="00FE67F3">
        <w:rPr>
          <w:rFonts w:eastAsia="Times New Roman"/>
          <w:color w:val="000000"/>
          <w:lang w:eastAsia="sk-SK"/>
        </w:rPr>
        <w:t>je</w:t>
      </w:r>
      <w:r w:rsidRPr="00FE67F3">
        <w:rPr>
          <w:rFonts w:eastAsia="Times New Roman"/>
          <w:color w:val="000000"/>
          <w:spacing w:val="42"/>
          <w:lang w:eastAsia="sk-SK"/>
        </w:rPr>
        <w:t xml:space="preserve"> </w:t>
      </w:r>
      <w:r w:rsidRPr="00FE67F3">
        <w:rPr>
          <w:rFonts w:eastAsia="Times New Roman"/>
          <w:color w:val="000000"/>
          <w:lang w:eastAsia="sk-SK"/>
        </w:rPr>
        <w:t>v</w:t>
      </w:r>
      <w:r w:rsidRPr="00FE67F3">
        <w:rPr>
          <w:rFonts w:eastAsia="Times New Roman"/>
          <w:color w:val="000000"/>
          <w:spacing w:val="42"/>
          <w:lang w:eastAsia="sk-SK"/>
        </w:rPr>
        <w:t xml:space="preserve"> </w:t>
      </w:r>
      <w:r w:rsidRPr="00FE67F3">
        <w:rPr>
          <w:rFonts w:eastAsia="Times New Roman"/>
          <w:color w:val="000000"/>
          <w:lang w:eastAsia="sk-SK"/>
        </w:rPr>
        <w:t>súlade</w:t>
      </w:r>
      <w:r w:rsidRPr="00FE67F3">
        <w:rPr>
          <w:rFonts w:eastAsia="Times New Roman"/>
          <w:color w:val="000000"/>
          <w:spacing w:val="42"/>
          <w:lang w:eastAsia="sk-SK"/>
        </w:rPr>
        <w:t xml:space="preserve"> </w:t>
      </w:r>
      <w:r w:rsidRPr="00FE67F3">
        <w:rPr>
          <w:rFonts w:eastAsia="Times New Roman"/>
          <w:color w:val="000000"/>
          <w:lang w:eastAsia="sk-SK"/>
        </w:rPr>
        <w:t>s</w:t>
      </w:r>
      <w:r w:rsidRPr="00FE67F3">
        <w:rPr>
          <w:rFonts w:eastAsia="Times New Roman"/>
          <w:color w:val="000000"/>
          <w:spacing w:val="42"/>
          <w:lang w:eastAsia="sk-SK"/>
        </w:rPr>
        <w:t xml:space="preserve"> </w:t>
      </w:r>
      <w:r w:rsidRPr="00FE67F3">
        <w:rPr>
          <w:rFonts w:eastAsia="Times New Roman"/>
          <w:color w:val="000000"/>
          <w:lang w:eastAsia="sk-SK"/>
        </w:rPr>
        <w:t>Ústavou</w:t>
      </w:r>
      <w:r w:rsidRPr="00FE67F3">
        <w:rPr>
          <w:rFonts w:eastAsia="Times New Roman"/>
          <w:color w:val="000000"/>
          <w:spacing w:val="42"/>
          <w:lang w:eastAsia="sk-SK"/>
        </w:rPr>
        <w:t xml:space="preserve"> </w:t>
      </w:r>
      <w:r w:rsidRPr="00FE67F3">
        <w:rPr>
          <w:rFonts w:eastAsia="Times New Roman"/>
          <w:color w:val="000000"/>
          <w:lang w:eastAsia="sk-SK"/>
        </w:rPr>
        <w:t>Slovenskej</w:t>
      </w:r>
      <w:r w:rsidRPr="00FE67F3">
        <w:rPr>
          <w:rFonts w:eastAsia="Times New Roman"/>
          <w:color w:val="000000"/>
          <w:spacing w:val="42"/>
          <w:lang w:eastAsia="sk-SK"/>
        </w:rPr>
        <w:t xml:space="preserve"> </w:t>
      </w:r>
      <w:r w:rsidRPr="00FE67F3">
        <w:rPr>
          <w:rFonts w:eastAsia="Times New Roman"/>
          <w:color w:val="000000"/>
          <w:lang w:eastAsia="sk-SK"/>
        </w:rPr>
        <w:t>republiky,</w:t>
      </w:r>
      <w:r w:rsidRPr="00FE67F3">
        <w:rPr>
          <w:rFonts w:eastAsia="Times New Roman"/>
          <w:color w:val="000000"/>
          <w:spacing w:val="42"/>
          <w:lang w:eastAsia="sk-SK"/>
        </w:rPr>
        <w:t xml:space="preserve"> </w:t>
      </w:r>
      <w:r w:rsidRPr="00FE67F3">
        <w:rPr>
          <w:rFonts w:eastAsia="Times New Roman"/>
          <w:color w:val="000000"/>
          <w:lang w:eastAsia="sk-SK"/>
        </w:rPr>
        <w:t>ústavnými</w:t>
      </w:r>
      <w:r w:rsidRPr="00FE67F3">
        <w:rPr>
          <w:rFonts w:eastAsia="Times New Roman"/>
          <w:color w:val="000000"/>
          <w:spacing w:val="42"/>
          <w:lang w:eastAsia="sk-SK"/>
        </w:rPr>
        <w:t xml:space="preserve"> </w:t>
      </w:r>
      <w:r w:rsidRPr="00FE67F3">
        <w:rPr>
          <w:rFonts w:eastAsia="Times New Roman"/>
          <w:color w:val="000000"/>
          <w:lang w:eastAsia="sk-SK"/>
        </w:rPr>
        <w:t>zákonmi</w:t>
      </w:r>
      <w:r w:rsidRPr="00FE67F3">
        <w:rPr>
          <w:rFonts w:eastAsia="Times New Roman"/>
          <w:color w:val="000000"/>
          <w:spacing w:val="42"/>
          <w:lang w:eastAsia="sk-SK"/>
        </w:rPr>
        <w:t xml:space="preserve"> </w:t>
      </w:r>
      <w:r w:rsidRPr="00FE67F3">
        <w:rPr>
          <w:rFonts w:eastAsia="Times New Roman"/>
          <w:color w:val="000000"/>
          <w:lang w:eastAsia="sk-SK"/>
        </w:rPr>
        <w:t>a ostatnými</w:t>
      </w:r>
      <w:r w:rsidRPr="00FE67F3">
        <w:rPr>
          <w:rFonts w:eastAsia="Times New Roman"/>
          <w:color w:val="000000"/>
          <w:spacing w:val="-9"/>
          <w:lang w:eastAsia="sk-SK"/>
        </w:rPr>
        <w:t xml:space="preserve"> </w:t>
      </w:r>
      <w:r w:rsidRPr="00FE67F3">
        <w:rPr>
          <w:rFonts w:eastAsia="Times New Roman"/>
          <w:color w:val="000000"/>
          <w:lang w:eastAsia="sk-SK"/>
        </w:rPr>
        <w:t>všeobecne</w:t>
      </w:r>
      <w:r w:rsidRPr="00FE67F3">
        <w:rPr>
          <w:rFonts w:eastAsia="Times New Roman"/>
          <w:color w:val="000000"/>
          <w:spacing w:val="-9"/>
          <w:lang w:eastAsia="sk-SK"/>
        </w:rPr>
        <w:t xml:space="preserve"> </w:t>
      </w:r>
      <w:r w:rsidRPr="00FE67F3">
        <w:rPr>
          <w:rFonts w:eastAsia="Times New Roman"/>
          <w:color w:val="000000"/>
          <w:lang w:eastAsia="sk-SK"/>
        </w:rPr>
        <w:t>záväznými</w:t>
      </w:r>
      <w:r w:rsidRPr="00FE67F3">
        <w:rPr>
          <w:rFonts w:eastAsia="Times New Roman"/>
          <w:color w:val="000000"/>
          <w:spacing w:val="-9"/>
          <w:lang w:eastAsia="sk-SK"/>
        </w:rPr>
        <w:t xml:space="preserve"> </w:t>
      </w:r>
      <w:r w:rsidRPr="00FE67F3">
        <w:rPr>
          <w:rFonts w:eastAsia="Times New Roman"/>
          <w:color w:val="000000"/>
          <w:lang w:eastAsia="sk-SK"/>
        </w:rPr>
        <w:t>právnymi</w:t>
      </w:r>
      <w:r w:rsidRPr="00FE67F3">
        <w:rPr>
          <w:rFonts w:eastAsia="Times New Roman"/>
          <w:color w:val="000000"/>
          <w:spacing w:val="-9"/>
          <w:lang w:eastAsia="sk-SK"/>
        </w:rPr>
        <w:t xml:space="preserve"> </w:t>
      </w:r>
      <w:r w:rsidRPr="00FE67F3">
        <w:rPr>
          <w:rFonts w:eastAsia="Times New Roman"/>
          <w:color w:val="000000"/>
          <w:lang w:eastAsia="sk-SK"/>
        </w:rPr>
        <w:t>predpismi</w:t>
      </w:r>
      <w:r w:rsidRPr="00FE67F3">
        <w:rPr>
          <w:rFonts w:eastAsia="Times New Roman"/>
          <w:color w:val="000000"/>
          <w:spacing w:val="-9"/>
          <w:lang w:eastAsia="sk-SK"/>
        </w:rPr>
        <w:t xml:space="preserve"> </w:t>
      </w:r>
      <w:r w:rsidRPr="00FE67F3">
        <w:rPr>
          <w:rFonts w:eastAsia="Times New Roman"/>
          <w:color w:val="000000"/>
          <w:lang w:eastAsia="sk-SK"/>
        </w:rPr>
        <w:t>Slovenskej</w:t>
      </w:r>
      <w:r w:rsidRPr="00FE67F3">
        <w:rPr>
          <w:rFonts w:eastAsia="Times New Roman"/>
          <w:color w:val="000000"/>
          <w:spacing w:val="-9"/>
          <w:lang w:eastAsia="sk-SK"/>
        </w:rPr>
        <w:t xml:space="preserve"> </w:t>
      </w:r>
      <w:r w:rsidRPr="00FE67F3">
        <w:rPr>
          <w:rFonts w:eastAsia="Times New Roman"/>
          <w:color w:val="000000"/>
          <w:lang w:eastAsia="sk-SK"/>
        </w:rPr>
        <w:t>republiky,</w:t>
      </w:r>
      <w:r w:rsidRPr="00FE67F3">
        <w:rPr>
          <w:rFonts w:eastAsia="Times New Roman"/>
          <w:color w:val="000000"/>
          <w:spacing w:val="-9"/>
          <w:lang w:eastAsia="sk-SK"/>
        </w:rPr>
        <w:t xml:space="preserve"> </w:t>
      </w:r>
      <w:r w:rsidRPr="00FE67F3">
        <w:rPr>
          <w:rFonts w:eastAsia="Times New Roman"/>
          <w:color w:val="000000"/>
          <w:lang w:eastAsia="sk-SK"/>
        </w:rPr>
        <w:t>medzinárodnými zmluvami</w:t>
      </w:r>
      <w:r w:rsidRPr="00FE67F3">
        <w:rPr>
          <w:rFonts w:eastAsia="Times New Roman"/>
          <w:color w:val="000000"/>
          <w:spacing w:val="21"/>
          <w:lang w:eastAsia="sk-SK"/>
        </w:rPr>
        <w:t xml:space="preserve"> </w:t>
      </w:r>
      <w:r w:rsidRPr="00FE67F3">
        <w:rPr>
          <w:rFonts w:eastAsia="Times New Roman"/>
          <w:color w:val="000000"/>
          <w:lang w:eastAsia="sk-SK"/>
        </w:rPr>
        <w:t>a</w:t>
      </w:r>
      <w:r w:rsidRPr="00FE67F3">
        <w:rPr>
          <w:rFonts w:eastAsia="Times New Roman"/>
          <w:color w:val="000000"/>
          <w:spacing w:val="21"/>
          <w:lang w:eastAsia="sk-SK"/>
        </w:rPr>
        <w:t xml:space="preserve"> </w:t>
      </w:r>
      <w:r w:rsidRPr="00FE67F3">
        <w:rPr>
          <w:rFonts w:eastAsia="Times New Roman"/>
          <w:color w:val="000000"/>
          <w:lang w:eastAsia="sk-SK"/>
        </w:rPr>
        <w:t>inými</w:t>
      </w:r>
      <w:r w:rsidRPr="00FE67F3">
        <w:rPr>
          <w:rFonts w:eastAsia="Times New Roman"/>
          <w:color w:val="000000"/>
          <w:spacing w:val="21"/>
          <w:lang w:eastAsia="sk-SK"/>
        </w:rPr>
        <w:t xml:space="preserve"> </w:t>
      </w:r>
      <w:r w:rsidRPr="00FE67F3">
        <w:rPr>
          <w:rFonts w:eastAsia="Times New Roman"/>
          <w:color w:val="000000"/>
          <w:lang w:eastAsia="sk-SK"/>
        </w:rPr>
        <w:t>medzinárodnými</w:t>
      </w:r>
      <w:r w:rsidRPr="00FE67F3">
        <w:rPr>
          <w:rFonts w:eastAsia="Times New Roman"/>
          <w:color w:val="000000"/>
          <w:spacing w:val="21"/>
          <w:lang w:eastAsia="sk-SK"/>
        </w:rPr>
        <w:t xml:space="preserve"> </w:t>
      </w:r>
      <w:r w:rsidRPr="00FE67F3">
        <w:rPr>
          <w:rFonts w:eastAsia="Times New Roman"/>
          <w:color w:val="000000"/>
          <w:lang w:eastAsia="sk-SK"/>
        </w:rPr>
        <w:t>dokumentmi,</w:t>
      </w:r>
      <w:r w:rsidRPr="00FE67F3">
        <w:rPr>
          <w:rFonts w:eastAsia="Times New Roman"/>
          <w:color w:val="000000"/>
          <w:spacing w:val="21"/>
          <w:lang w:eastAsia="sk-SK"/>
        </w:rPr>
        <w:t xml:space="preserve"> </w:t>
      </w:r>
      <w:r w:rsidRPr="00FE67F3">
        <w:rPr>
          <w:rFonts w:eastAsia="Times New Roman"/>
          <w:color w:val="000000"/>
          <w:lang w:eastAsia="sk-SK"/>
        </w:rPr>
        <w:t>ktorými</w:t>
      </w:r>
      <w:r w:rsidRPr="00FE67F3">
        <w:rPr>
          <w:rFonts w:eastAsia="Times New Roman"/>
          <w:color w:val="000000"/>
          <w:spacing w:val="21"/>
          <w:lang w:eastAsia="sk-SK"/>
        </w:rPr>
        <w:t xml:space="preserve"> </w:t>
      </w:r>
      <w:r w:rsidRPr="00FE67F3">
        <w:rPr>
          <w:rFonts w:eastAsia="Times New Roman"/>
          <w:color w:val="000000"/>
          <w:lang w:eastAsia="sk-SK"/>
        </w:rPr>
        <w:t>je</w:t>
      </w:r>
      <w:r w:rsidRPr="00FE67F3">
        <w:rPr>
          <w:rFonts w:eastAsia="Times New Roman"/>
          <w:color w:val="000000"/>
          <w:spacing w:val="21"/>
          <w:lang w:eastAsia="sk-SK"/>
        </w:rPr>
        <w:t xml:space="preserve"> </w:t>
      </w:r>
      <w:r w:rsidRPr="00FE67F3">
        <w:rPr>
          <w:rFonts w:eastAsia="Times New Roman"/>
          <w:color w:val="000000"/>
          <w:lang w:eastAsia="sk-SK"/>
        </w:rPr>
        <w:t>Slovenská</w:t>
      </w:r>
      <w:r w:rsidRPr="00FE67F3">
        <w:rPr>
          <w:rFonts w:eastAsia="Times New Roman"/>
          <w:color w:val="000000"/>
          <w:spacing w:val="21"/>
          <w:lang w:eastAsia="sk-SK"/>
        </w:rPr>
        <w:t xml:space="preserve"> </w:t>
      </w:r>
      <w:r w:rsidRPr="00FE67F3">
        <w:rPr>
          <w:rFonts w:eastAsia="Times New Roman"/>
          <w:color w:val="000000"/>
          <w:lang w:eastAsia="sk-SK"/>
        </w:rPr>
        <w:t>republika</w:t>
      </w:r>
      <w:r w:rsidRPr="00FE67F3">
        <w:rPr>
          <w:rFonts w:eastAsia="Times New Roman"/>
          <w:color w:val="000000"/>
          <w:spacing w:val="21"/>
          <w:lang w:eastAsia="sk-SK"/>
        </w:rPr>
        <w:t xml:space="preserve"> </w:t>
      </w:r>
      <w:r w:rsidRPr="00FE67F3">
        <w:rPr>
          <w:rFonts w:eastAsia="Times New Roman"/>
          <w:color w:val="000000"/>
          <w:lang w:eastAsia="sk-SK"/>
        </w:rPr>
        <w:t>viazaná, ako aj s právom Európskej únie.</w:t>
      </w:r>
    </w:p>
    <w:p w14:paraId="46CF7AC2" w14:textId="77777777" w:rsidR="00866D6B" w:rsidRDefault="00866D6B" w:rsidP="00FE67F3">
      <w:pPr>
        <w:spacing w:before="240" w:after="120" w:line="240" w:lineRule="auto"/>
        <w:jc w:val="both"/>
        <w:rPr>
          <w:rFonts w:eastAsia="Times New Roman"/>
          <w:b/>
          <w:bCs/>
          <w:color w:val="000000"/>
          <w:lang w:eastAsia="sk-SK"/>
        </w:rPr>
      </w:pPr>
    </w:p>
    <w:p w14:paraId="1BBB58E9" w14:textId="2CD6036C" w:rsidR="00FE67F3" w:rsidRPr="00FE67F3" w:rsidRDefault="00FE67F3" w:rsidP="00FE67F3">
      <w:pPr>
        <w:spacing w:before="240" w:after="120" w:line="240" w:lineRule="auto"/>
        <w:jc w:val="both"/>
        <w:rPr>
          <w:rFonts w:eastAsia="Times New Roman"/>
          <w:color w:val="000000"/>
          <w:sz w:val="27"/>
          <w:szCs w:val="27"/>
          <w:lang w:eastAsia="sk-SK"/>
        </w:rPr>
      </w:pPr>
      <w:r w:rsidRPr="00FE67F3">
        <w:rPr>
          <w:rFonts w:eastAsia="Times New Roman"/>
          <w:b/>
          <w:bCs/>
          <w:color w:val="000000"/>
          <w:lang w:eastAsia="sk-SK"/>
        </w:rPr>
        <w:lastRenderedPageBreak/>
        <w:t>B.</w:t>
      </w:r>
      <w:r>
        <w:rPr>
          <w:rFonts w:eastAsia="Times New Roman"/>
          <w:b/>
          <w:bCs/>
          <w:color w:val="000000"/>
          <w:lang w:eastAsia="sk-SK"/>
        </w:rPr>
        <w:t xml:space="preserve"> </w:t>
      </w:r>
      <w:r w:rsidRPr="00FE67F3">
        <w:rPr>
          <w:rFonts w:eastAsia="Times New Roman"/>
          <w:b/>
          <w:bCs/>
          <w:color w:val="000000"/>
          <w:lang w:eastAsia="sk-SK"/>
        </w:rPr>
        <w:t xml:space="preserve">Osobitná časť </w:t>
      </w:r>
    </w:p>
    <w:p w14:paraId="7D4E9ECF" w14:textId="77777777" w:rsidR="00FE67F3" w:rsidRPr="00FE67F3" w:rsidRDefault="00FE67F3" w:rsidP="00FE67F3">
      <w:pPr>
        <w:spacing w:before="120" w:after="0" w:line="240" w:lineRule="auto"/>
        <w:jc w:val="both"/>
        <w:rPr>
          <w:rFonts w:eastAsia="Times New Roman"/>
          <w:color w:val="000000"/>
          <w:sz w:val="27"/>
          <w:szCs w:val="27"/>
          <w:lang w:eastAsia="sk-SK"/>
        </w:rPr>
      </w:pPr>
      <w:r w:rsidRPr="00FE67F3">
        <w:rPr>
          <w:rFonts w:eastAsia="Times New Roman"/>
          <w:b/>
          <w:bCs/>
          <w:color w:val="000000"/>
          <w:lang w:eastAsia="sk-SK"/>
        </w:rPr>
        <w:t>K čl. I</w:t>
      </w:r>
    </w:p>
    <w:p w14:paraId="516649AE" w14:textId="00DA803A" w:rsidR="00FE67F3" w:rsidRPr="009A6D25" w:rsidRDefault="00FE67F3" w:rsidP="009A6D25">
      <w:pPr>
        <w:spacing w:line="240" w:lineRule="auto"/>
        <w:ind w:firstLine="708"/>
        <w:jc w:val="both"/>
        <w:rPr>
          <w:rFonts w:eastAsia="Times New Roman"/>
          <w:color w:val="000000"/>
          <w:sz w:val="27"/>
          <w:szCs w:val="27"/>
          <w:lang w:eastAsia="sk-SK"/>
        </w:rPr>
      </w:pPr>
      <w:r w:rsidRPr="009A6D25">
        <w:rPr>
          <w:rFonts w:eastAsia="Times New Roman"/>
          <w:color w:val="000000"/>
          <w:lang w:eastAsia="sk-SK"/>
        </w:rPr>
        <w:t xml:space="preserve">V </w:t>
      </w:r>
      <w:r w:rsidR="003D3F62" w:rsidRPr="009A6D25">
        <w:rPr>
          <w:rFonts w:eastAsia="Times New Roman"/>
          <w:color w:val="000000"/>
          <w:lang w:eastAsia="sk-SK"/>
        </w:rPr>
        <w:t>§ 11 ods. 2 písm. d) sa dopĺňa kompetencia krajského pamiatkového úradu na vydanie záväzného stanoviska</w:t>
      </w:r>
      <w:r w:rsidR="009A6D25" w:rsidRPr="009A6D25">
        <w:rPr>
          <w:rFonts w:eastAsia="Times New Roman"/>
          <w:color w:val="000000"/>
          <w:lang w:eastAsia="sk-SK"/>
        </w:rPr>
        <w:t xml:space="preserve">, v ktorom sa na </w:t>
      </w:r>
      <w:r w:rsidR="00AC121B">
        <w:rPr>
          <w:rFonts w:eastAsia="Times New Roman"/>
          <w:color w:val="000000"/>
          <w:lang w:eastAsia="sk-SK"/>
        </w:rPr>
        <w:t xml:space="preserve">účel podľa čl. </w:t>
      </w:r>
      <w:r w:rsidR="009A6D25" w:rsidRPr="009A6D25">
        <w:rPr>
          <w:rFonts w:eastAsia="Times New Roman"/>
          <w:color w:val="000000"/>
          <w:lang w:eastAsia="sk-SK"/>
        </w:rPr>
        <w:t>II</w:t>
      </w:r>
      <w:r w:rsidR="003D3F62" w:rsidRPr="009A6D25">
        <w:rPr>
          <w:rFonts w:eastAsia="Times New Roman"/>
          <w:color w:val="000000"/>
          <w:lang w:eastAsia="sk-SK"/>
        </w:rPr>
        <w:t xml:space="preserve"> </w:t>
      </w:r>
      <w:r w:rsidR="009A6D25" w:rsidRPr="009A6D25">
        <w:rPr>
          <w:rFonts w:eastAsia="Times New Roman"/>
          <w:lang w:eastAsia="sk-SK"/>
        </w:rPr>
        <w:t xml:space="preserve">vymedzí územie národnej kultúrnej pamiatky určenej na obnovu, určia </w:t>
      </w:r>
      <w:r w:rsidR="009A6D25">
        <w:rPr>
          <w:rFonts w:eastAsia="Times New Roman"/>
          <w:lang w:eastAsia="sk-SK"/>
        </w:rPr>
        <w:t xml:space="preserve">sa </w:t>
      </w:r>
      <w:r w:rsidR="009A6D25" w:rsidRPr="009A6D25">
        <w:rPr>
          <w:rFonts w:eastAsia="Times New Roman"/>
          <w:lang w:eastAsia="sk-SK"/>
        </w:rPr>
        <w:t>podmienky realizácie obnovy národnej kultúrnej pamiatky, požiadavky na prieskum územia okolia národnej kultúrnej pamiatky, prípadne spôsob a rozsah výkonu kontroly.</w:t>
      </w:r>
      <w:r w:rsidR="00F747D0">
        <w:rPr>
          <w:rFonts w:eastAsia="Times New Roman"/>
          <w:lang w:eastAsia="sk-SK"/>
        </w:rPr>
        <w:t xml:space="preserve"> Zároveň, v záujme minimalizácie prevodu národných kultúrnych pamiatok z majetku obce alebo vyššieho územného celku na tretiu osobu sa dopĺňa </w:t>
      </w:r>
      <w:r w:rsidR="00F747D0" w:rsidRPr="00A32BAC">
        <w:rPr>
          <w:rFonts w:eastAsia="Times New Roman"/>
          <w:lang w:eastAsia="sk-SK"/>
        </w:rPr>
        <w:t>gescia</w:t>
      </w:r>
      <w:r w:rsidR="00DB0D45" w:rsidRPr="00A32BAC">
        <w:rPr>
          <w:rFonts w:eastAsia="Times New Roman"/>
          <w:lang w:eastAsia="sk-SK"/>
        </w:rPr>
        <w:t xml:space="preserve"> krajského </w:t>
      </w:r>
      <w:r w:rsidR="00F747D0">
        <w:rPr>
          <w:rFonts w:eastAsia="Times New Roman"/>
          <w:lang w:eastAsia="sk-SK"/>
        </w:rPr>
        <w:t>pamiatkového úradu nad takýmto prevodom národnej kultúrnej pamiatky, ku ktorému sa bude vyžadovať jeho súhlas.</w:t>
      </w:r>
    </w:p>
    <w:p w14:paraId="5E9617D7" w14:textId="45A6F51E" w:rsidR="003D3F62" w:rsidRDefault="00DD7406" w:rsidP="00FE67F3">
      <w:pPr>
        <w:spacing w:before="120" w:after="0" w:line="240" w:lineRule="auto"/>
        <w:jc w:val="both"/>
        <w:rPr>
          <w:rFonts w:eastAsia="Times New Roman"/>
          <w:b/>
          <w:bCs/>
          <w:color w:val="000000"/>
          <w:lang w:eastAsia="sk-SK"/>
        </w:rPr>
      </w:pPr>
      <w:r>
        <w:rPr>
          <w:rFonts w:eastAsia="Times New Roman"/>
          <w:b/>
          <w:bCs/>
          <w:color w:val="000000"/>
          <w:lang w:eastAsia="sk-SK"/>
        </w:rPr>
        <w:t>K čl. II</w:t>
      </w:r>
    </w:p>
    <w:p w14:paraId="15B6D2BB" w14:textId="77283485" w:rsidR="00535239" w:rsidRDefault="00535239" w:rsidP="00535239">
      <w:pPr>
        <w:widowControl w:val="0"/>
        <w:tabs>
          <w:tab w:val="left" w:pos="993"/>
        </w:tabs>
        <w:spacing w:line="276" w:lineRule="auto"/>
        <w:jc w:val="both"/>
        <w:rPr>
          <w:rFonts w:eastAsia="Times New Roman"/>
          <w:b/>
          <w:bCs/>
          <w:color w:val="000000"/>
          <w:lang w:eastAsia="sk-SK"/>
        </w:rPr>
      </w:pPr>
      <w:r>
        <w:rPr>
          <w:rFonts w:eastAsia="Times New Roman"/>
          <w:b/>
          <w:bCs/>
          <w:color w:val="000000"/>
          <w:lang w:eastAsia="sk-SK"/>
        </w:rPr>
        <w:t>K bodu 1</w:t>
      </w:r>
      <w:r w:rsidR="00EA0D9A">
        <w:rPr>
          <w:rFonts w:eastAsia="Times New Roman"/>
          <w:b/>
          <w:bCs/>
          <w:color w:val="000000"/>
          <w:lang w:eastAsia="sk-SK"/>
        </w:rPr>
        <w:tab/>
      </w:r>
    </w:p>
    <w:p w14:paraId="378DAE00" w14:textId="51E257A0" w:rsidR="00EA0D9A" w:rsidRPr="007357AD" w:rsidRDefault="00EA0D9A" w:rsidP="00EA0D9A">
      <w:pPr>
        <w:widowControl w:val="0"/>
        <w:tabs>
          <w:tab w:val="left" w:pos="993"/>
        </w:tabs>
        <w:spacing w:line="276" w:lineRule="auto"/>
        <w:ind w:firstLine="709"/>
        <w:jc w:val="both"/>
      </w:pPr>
      <w:r w:rsidRPr="007357AD">
        <w:t>Za účelom zabezpečenia výkonu činností, ktoré súvisia so záchranou, rekonštrukciou alebo udržiavaním národných kultúrnych pamiatok nachádzajúcich sa na lesných pozemkoch</w:t>
      </w:r>
      <w:r w:rsidR="00F747D0">
        <w:t xml:space="preserve"> vo vlastníctve štátu</w:t>
      </w:r>
      <w:r w:rsidRPr="007357AD">
        <w:t>, alebo na pozemkoch tvoriacich ostatný majetok štátu v zmysle §</w:t>
      </w:r>
      <w:r w:rsidR="00F747D0">
        <w:t xml:space="preserve"> 50 a § </w:t>
      </w:r>
      <w:r w:rsidRPr="007357AD">
        <w:t xml:space="preserve">50a zákona </w:t>
      </w:r>
      <w:r>
        <w:t xml:space="preserve">č. 326/2005 Z. z. </w:t>
      </w:r>
      <w:r w:rsidRPr="007357AD">
        <w:t xml:space="preserve">o lesoch </w:t>
      </w:r>
      <w:r w:rsidR="00F747D0">
        <w:t xml:space="preserve"> v znení neskorších predpisov  (ďalej len „zákon o lesoch“)</w:t>
      </w:r>
      <w:r w:rsidR="00723751">
        <w:t>,</w:t>
      </w:r>
      <w:r w:rsidR="00F747D0">
        <w:t xml:space="preserve"> </w:t>
      </w:r>
      <w:r w:rsidRPr="007357AD">
        <w:t>sa navrhol postup, ktorý vychádza z úzkej spolupráce štátnej správy na ochranu pamiatkového fondu, správcov pozemkov a osôb – subjektov vykonávajúcich tieto práce. Návrh rešpektuje princípy ochrany lesných pozemkov vyplývajúcich z § 5 a</w:t>
      </w:r>
      <w:r>
        <w:t> </w:t>
      </w:r>
      <w:r w:rsidRPr="007357AD">
        <w:t>nasl</w:t>
      </w:r>
      <w:r>
        <w:t>edujúcich ustanovení</w:t>
      </w:r>
      <w:r w:rsidRPr="007357AD">
        <w:t xml:space="preserve"> zákona o lesoch a určuje, že rozsah územia, na ktorom </w:t>
      </w:r>
      <w:r>
        <w:t xml:space="preserve">sa </w:t>
      </w:r>
      <w:r w:rsidRPr="007357AD">
        <w:t>uvedené práce majú realizovať</w:t>
      </w:r>
      <w:r>
        <w:t>,</w:t>
      </w:r>
      <w:r w:rsidRPr="007357AD">
        <w:t xml:space="preserve"> bude určený štátnou správou na ochranu pamiatkového fondu v rámci jej kompetencie vyplývajúcej zo zákona č. 49/2002 Z. z. o ochrane pamiatkového fondu v znení neskorších predpisov</w:t>
      </w:r>
      <w:r>
        <w:t xml:space="preserve"> (ďalej len „zákon č. 49/2002 Z. z.“)</w:t>
      </w:r>
      <w:r w:rsidRPr="007357AD">
        <w:t xml:space="preserve">. </w:t>
      </w:r>
      <w:r>
        <w:rPr>
          <w:rFonts w:ascii="Times" w:hAnsi="Times" w:cs="Times"/>
          <w:sz w:val="25"/>
          <w:szCs w:val="25"/>
        </w:rPr>
        <w:t>Ochrana a obnova</w:t>
      </w:r>
      <w:r w:rsidRPr="007357AD" w:rsidDel="00731FC3">
        <w:t xml:space="preserve"> </w:t>
      </w:r>
      <w:r w:rsidRPr="007357AD">
        <w:t xml:space="preserve">národnej kultúrnej pamiatky je považovaná za verejnoprospešný účel, a to sa týka aj stavieb hradov alebo ich </w:t>
      </w:r>
      <w:proofErr w:type="spellStart"/>
      <w:r w:rsidRPr="007357AD">
        <w:t>torzálnej</w:t>
      </w:r>
      <w:proofErr w:type="spellEnd"/>
      <w:r w:rsidRPr="007357AD">
        <w:t xml:space="preserve"> architektúry aj v prípade, ak nie sú tieto objekty vyhlásené za národnú kultúrnu pamiatku (ďalej len „objekty“), pamiatkovej rezervácie a pamiatkovej zóny.</w:t>
      </w:r>
    </w:p>
    <w:p w14:paraId="2C249429" w14:textId="1A124408" w:rsidR="00AC121B" w:rsidRDefault="00EA0D9A" w:rsidP="00AC121B">
      <w:pPr>
        <w:widowControl w:val="0"/>
        <w:tabs>
          <w:tab w:val="left" w:pos="993"/>
        </w:tabs>
        <w:spacing w:line="276" w:lineRule="auto"/>
        <w:ind w:firstLine="709"/>
        <w:jc w:val="both"/>
      </w:pPr>
      <w:r w:rsidRPr="007357AD">
        <w:t>Za účelom zabezpečenia právnej istoty pri realizácii uvedených činností sa navrhuje možnosť, aby správca lesného alebo ostatného majetku štátu – štátna organizácia lesného hospodárstva</w:t>
      </w:r>
      <w:r>
        <w:t>,</w:t>
      </w:r>
      <w:r w:rsidRPr="007357AD">
        <w:t xml:space="preserve"> uzavrel s obcou alebo vyšším územným celkom zmluvu o bezodplatnom prevode vlastníctva pozemku s objektom, alebo môže s občianskym združením alebo neziskovou organizáciou uzavrieť zmluvu o bezodplatnom práve užívať pozemok s objektom. Podmienkou pre uzatvorenie zmluvy je v oboch prípadoch vykonávanie uvedeného verejnoprospešného účelu a splnenia ďalších podmienok nevyhnutných na uzavretie zmluvy; tieto podmienky sú v návrhu doplnenia zákona konkretizované.</w:t>
      </w:r>
      <w:r w:rsidR="00AC121B" w:rsidRPr="00AC121B">
        <w:t xml:space="preserve"> </w:t>
      </w:r>
      <w:r w:rsidR="00AC121B">
        <w:t xml:space="preserve">Z uvedeného dôvodu návrh uvádza aj spôsob účtovného vysporiadania sa s takýmto prevodom majetku štátu, ktorý zabezpečí, že správca sa s týmto prípadom účtovne vysporiada na ťarchu základného imania a nie oproti hospodárskemu výsledku. </w:t>
      </w:r>
      <w:r w:rsidR="00AC121B" w:rsidRPr="00AC121B">
        <w:t>Pre zabezpečenie jednoznačnosti tohto postupu sa pre tento účel vylúčila pôsobnosť osobitných zákonov všeobecne upravujúcich podmienky prevodu majetku štátu, resp. správu majetku štátu. Keďže následne realizovaná činnosť zasiahne do prostredia, na ktorom sa činnosť bude vykonávať bez možnosti jeho prinavrátenia do pôvodného stavu, t.</w:t>
      </w:r>
      <w:r w:rsidR="00AC121B">
        <w:t xml:space="preserve"> </w:t>
      </w:r>
      <w:r w:rsidR="00AC121B" w:rsidRPr="00AC121B">
        <w:t xml:space="preserve">j. do stavu lesných pozemkov v mnohých prípadoch s lesnými porastmi, uplatnenie inštitútu (bezplatnej) výpožičky tohto majetku štátu, nie je možné. Aj z uvedeného dôvodu sa spôsob riešenia problematiky sanácie národných kultúrnych pamiatok na v súčasnosti lesných pozemkoch </w:t>
      </w:r>
      <w:r w:rsidR="00AC121B" w:rsidRPr="00AC121B">
        <w:lastRenderedPageBreak/>
        <w:t>navrhol tak, ako je uvedené v návrhu tohto zákona.</w:t>
      </w:r>
    </w:p>
    <w:p w14:paraId="5EA7F4F6" w14:textId="5C920775" w:rsidR="00EA0D9A" w:rsidRPr="007357AD" w:rsidRDefault="00EA0D9A" w:rsidP="00EA0D9A">
      <w:pPr>
        <w:widowControl w:val="0"/>
        <w:tabs>
          <w:tab w:val="left" w:pos="993"/>
        </w:tabs>
        <w:spacing w:line="276" w:lineRule="auto"/>
        <w:ind w:firstLine="709"/>
        <w:jc w:val="both"/>
      </w:pPr>
      <w:r w:rsidRPr="007357AD">
        <w:t>Bezodplatnosť prevodu dotknutého majetku štá</w:t>
      </w:r>
      <w:r>
        <w:t>tu, alebo práva</w:t>
      </w:r>
      <w:r w:rsidR="00723751">
        <w:t xml:space="preserve"> jeho </w:t>
      </w:r>
      <w:r>
        <w:t>užívania a práva</w:t>
      </w:r>
      <w:r w:rsidRPr="007357AD">
        <w:t xml:space="preserve"> realizovať na tomto majetku uvedený verejnoprospešný účel vychádza z princípu, že následne realizovaná činnosť na objekte zveľadí tento </w:t>
      </w:r>
      <w:r w:rsidR="00AC121B">
        <w:t xml:space="preserve">štátny </w:t>
      </w:r>
      <w:r w:rsidRPr="007357AD">
        <w:t xml:space="preserve">majetok, ktorý chátral. Zároveň </w:t>
      </w:r>
      <w:r>
        <w:t>uvedený návrh môže prispieť k</w:t>
      </w:r>
      <w:r w:rsidRPr="007357AD">
        <w:t xml:space="preserve"> podpor</w:t>
      </w:r>
      <w:r>
        <w:t>e</w:t>
      </w:r>
      <w:r w:rsidRPr="007357AD">
        <w:t xml:space="preserve"> zamestnanos</w:t>
      </w:r>
      <w:r>
        <w:t>ti</w:t>
      </w:r>
      <w:r w:rsidRPr="007357AD">
        <w:t xml:space="preserve"> v dotknutom regióne. Z uvedeného dôvodu, aj keď u správcov majetku štátu dôjde k zníženiu imania štátu, na druhej strane štát získa na zamestnanosti a na zvýšení hodnoty objektov, vrátane zvýšenia atraktivity územia s dôsledkom na cestovný ruch. Uvedené je potvrdené aj aplikačnou praxou, ktorá začala v roku 2008 z podnetu Ministerstva kultúry S</w:t>
      </w:r>
      <w:r>
        <w:t>lovenskej republiky</w:t>
      </w:r>
      <w:r w:rsidRPr="007357AD">
        <w:t xml:space="preserve">. </w:t>
      </w:r>
    </w:p>
    <w:p w14:paraId="6C6D5E20" w14:textId="31773B34" w:rsidR="00EA0D9A" w:rsidRDefault="00EA0D9A" w:rsidP="00EA0D9A">
      <w:pPr>
        <w:widowControl w:val="0"/>
        <w:tabs>
          <w:tab w:val="left" w:pos="993"/>
        </w:tabs>
        <w:spacing w:line="276" w:lineRule="auto"/>
        <w:ind w:firstLine="709"/>
        <w:jc w:val="both"/>
      </w:pPr>
      <w:r w:rsidRPr="007357AD">
        <w:t xml:space="preserve">Kontrola dodržiavania plnenia verejnoprospešného účelu je zabezpečená prostredníctvom výkonu kompetencie dozoru orgánom štátnej správy na ochranu pamiatkového fondu v spolupráci so štátnou organizáciou lesného hospodárstva, ako správcom dotknutého územia s dôsledkami na zánik zmluvy uzatvorenej podľa tohto návrhu. Z dôvodu kontinuity jednotlivých ustanovení zákona o lesoch sa určuje, že zmluvy o prevode ostatného majetku štátu, ako aj zmluvy o práve užívania územia podľa tohto návrhu budú podliehať súhlasu </w:t>
      </w:r>
      <w:r>
        <w:t>M</w:t>
      </w:r>
      <w:r w:rsidRPr="007357AD">
        <w:t>inisterstva</w:t>
      </w:r>
      <w:r>
        <w:t xml:space="preserve"> pôdohospodárstva a rozvoja vidieka Slovenskej republiky</w:t>
      </w:r>
      <w:r w:rsidRPr="007357AD">
        <w:t>, podobne ako iné zmluvy o prevode vlastníctva štátu v zmysle § 50a ods. 2 zákona o lesoch. Keďže táto kontinuita nebola pri ustanovení zákona o lesoch týkajúcom sa podpory výstavby nájomných bytov alebo výstavby iných verejnoprospešných stavieb v § 50b zabezpečená, týmto návrhom sa tento nedostatok odstraňuje.</w:t>
      </w:r>
    </w:p>
    <w:p w14:paraId="3AC0ECE2" w14:textId="3B5DA798" w:rsidR="00EA0D9A" w:rsidRDefault="00EA0D9A" w:rsidP="00EA0D9A">
      <w:pPr>
        <w:widowControl w:val="0"/>
        <w:tabs>
          <w:tab w:val="left" w:pos="993"/>
        </w:tabs>
        <w:spacing w:line="276" w:lineRule="auto"/>
        <w:ind w:firstLine="709"/>
        <w:jc w:val="both"/>
      </w:pPr>
      <w:r>
        <w:t xml:space="preserve">Navrhovaná právna úprava sa bude primerane vzťahovať aj na </w:t>
      </w:r>
      <w:r w:rsidRPr="00A63288">
        <w:t xml:space="preserve">stavbu hradu alebo </w:t>
      </w:r>
      <w:proofErr w:type="spellStart"/>
      <w:r w:rsidRPr="00A63288">
        <w:t>torzálnu</w:t>
      </w:r>
      <w:proofErr w:type="spellEnd"/>
      <w:r w:rsidRPr="00A63288">
        <w:t xml:space="preserve"> architektúru, ktorá nie je vyhlásená za národnú kultúrnu pamiatku, na pamiatkovú rezerváciu a pamiatkovú zónu.</w:t>
      </w:r>
      <w:r>
        <w:t xml:space="preserve"> Pamiatková rezervácia a pamiatková zóna sú vymedzené v zákone č. 49/2002 Z. z. a podliehajú procesu vyhlasovania podľa § 16 až 20</w:t>
      </w:r>
      <w:r w:rsidRPr="00EA0D9A">
        <w:t xml:space="preserve"> </w:t>
      </w:r>
      <w:r>
        <w:t xml:space="preserve">zákona </w:t>
      </w:r>
      <w:r w:rsidR="00866D6B">
        <w:t xml:space="preserve">                    </w:t>
      </w:r>
      <w:r>
        <w:t xml:space="preserve">č. 49/2002 Z. z. vrátane ich ochranných pásiem. Cieľom navrhovanej právnej úpravy je zároveň obnova </w:t>
      </w:r>
      <w:r w:rsidRPr="00A63288">
        <w:t>stavb</w:t>
      </w:r>
      <w:r>
        <w:t>y</w:t>
      </w:r>
      <w:r w:rsidRPr="00A63288">
        <w:t xml:space="preserve"> h</w:t>
      </w:r>
      <w:r>
        <w:t xml:space="preserve">radu alebo </w:t>
      </w:r>
      <w:proofErr w:type="spellStart"/>
      <w:r>
        <w:t>torzálnej</w:t>
      </w:r>
      <w:proofErr w:type="spellEnd"/>
      <w:r>
        <w:t xml:space="preserve"> architektúry, ktoré neboli predmetom vyhlasovania orgánu </w:t>
      </w:r>
      <w:r w:rsidRPr="003B5178">
        <w:t>štátnej správy na ochranu pamiatkového fondu</w:t>
      </w:r>
      <w:r>
        <w:t xml:space="preserve"> a nie sú súčasťou pamiatkového fondu. Pamiatkovú hodnotu týchto objektov posúdi orgán </w:t>
      </w:r>
      <w:r w:rsidRPr="003B5178">
        <w:t>štátnej správy na ochranu pamiatkového fondu</w:t>
      </w:r>
      <w:r>
        <w:t xml:space="preserve"> v rámci záväzného stanoviska, ktoré vypracuje podľa odseku 5.</w:t>
      </w:r>
    </w:p>
    <w:p w14:paraId="6C2638DA" w14:textId="77777777" w:rsidR="006A241D" w:rsidRDefault="006A241D" w:rsidP="006A241D">
      <w:pPr>
        <w:widowControl w:val="0"/>
        <w:tabs>
          <w:tab w:val="left" w:pos="993"/>
        </w:tabs>
        <w:spacing w:line="276" w:lineRule="auto"/>
        <w:ind w:firstLine="709"/>
        <w:jc w:val="both"/>
      </w:pPr>
      <w:r>
        <w:t>S ohľadom na špecifiká využívania lesných pozemkov vo vlastníctve štátu a ostatného majetku vo vlastníctve štátu nachádzajúcich sa vo vojenských obvodoch a v územiach slúžiacich na zabezpečenie obrany štátu, sa v návrhu zákona deklaruje, že v týchto územiach sa týmto zákonom navrhované ustanovenia nebudú uplatňovať.</w:t>
      </w:r>
    </w:p>
    <w:p w14:paraId="1EFBBFEC" w14:textId="77777777" w:rsidR="00535239" w:rsidRPr="001D471B" w:rsidRDefault="00535239" w:rsidP="00535239">
      <w:pPr>
        <w:widowControl w:val="0"/>
        <w:tabs>
          <w:tab w:val="left" w:pos="993"/>
        </w:tabs>
        <w:spacing w:line="276" w:lineRule="auto"/>
        <w:rPr>
          <w:b/>
        </w:rPr>
      </w:pPr>
      <w:r w:rsidRPr="001D471B">
        <w:rPr>
          <w:b/>
        </w:rPr>
        <w:t xml:space="preserve">K bodu 2 </w:t>
      </w:r>
    </w:p>
    <w:p w14:paraId="3AFE7975" w14:textId="77777777" w:rsidR="00535239" w:rsidRPr="0084246F" w:rsidRDefault="00535239" w:rsidP="00535239">
      <w:pPr>
        <w:widowControl w:val="0"/>
        <w:spacing w:line="276" w:lineRule="auto"/>
        <w:ind w:firstLine="708"/>
        <w:jc w:val="both"/>
      </w:pPr>
      <w:r w:rsidRPr="001C7F00">
        <w:t xml:space="preserve">Dopĺňa sa kompetencia </w:t>
      </w:r>
      <w:r>
        <w:t>M</w:t>
      </w:r>
      <w:r w:rsidRPr="001C7F00">
        <w:t>inisterstva</w:t>
      </w:r>
      <w:r>
        <w:t xml:space="preserve"> pôdohospodárstva a rozvoja vidieka Slovenskej republiky</w:t>
      </w:r>
      <w:r w:rsidRPr="001C7F00">
        <w:t xml:space="preserve"> </w:t>
      </w:r>
      <w:r w:rsidRPr="0084246F">
        <w:t>ako ústredného</w:t>
      </w:r>
      <w:r w:rsidRPr="001C7F00">
        <w:t xml:space="preserve"> orgán</w:t>
      </w:r>
      <w:r>
        <w:t>u</w:t>
      </w:r>
      <w:r w:rsidRPr="001C7F00">
        <w:t xml:space="preserve"> štátnej správy lesného hospodárstva</w:t>
      </w:r>
      <w:r>
        <w:t xml:space="preserve"> vzhľadom na novú právnu úpravu uvedenú v predchádzajúcom bode.</w:t>
      </w:r>
    </w:p>
    <w:p w14:paraId="156CB286" w14:textId="19DEFAD3" w:rsidR="009A6D25" w:rsidRPr="003D3F62" w:rsidRDefault="00DD7406" w:rsidP="00FE67F3">
      <w:pPr>
        <w:spacing w:before="120" w:after="0" w:line="240" w:lineRule="auto"/>
        <w:jc w:val="both"/>
        <w:rPr>
          <w:rFonts w:eastAsia="Times New Roman"/>
          <w:b/>
          <w:color w:val="000000"/>
          <w:sz w:val="27"/>
          <w:szCs w:val="27"/>
          <w:lang w:eastAsia="sk-SK"/>
        </w:rPr>
      </w:pPr>
      <w:r>
        <w:rPr>
          <w:rFonts w:eastAsia="Times New Roman"/>
          <w:b/>
          <w:bCs/>
          <w:color w:val="000000"/>
          <w:lang w:eastAsia="sk-SK"/>
        </w:rPr>
        <w:t>K čl. III</w:t>
      </w:r>
    </w:p>
    <w:p w14:paraId="68C1FC59" w14:textId="029CB217" w:rsidR="00FE67F3" w:rsidRDefault="00231ADC" w:rsidP="00FE67F3">
      <w:pPr>
        <w:spacing w:line="240" w:lineRule="auto"/>
        <w:ind w:firstLine="567"/>
        <w:jc w:val="both"/>
        <w:rPr>
          <w:rFonts w:eastAsia="Times New Roman"/>
          <w:color w:val="000000"/>
          <w:lang w:eastAsia="sk-SK"/>
        </w:rPr>
      </w:pPr>
      <w:r>
        <w:rPr>
          <w:rFonts w:eastAsia="Times New Roman"/>
          <w:color w:val="000000"/>
          <w:lang w:eastAsia="sk-SK"/>
        </w:rPr>
        <w:t>Nadobudnutie</w:t>
      </w:r>
      <w:r w:rsidR="00ED5801">
        <w:rPr>
          <w:rFonts w:eastAsia="Times New Roman"/>
          <w:color w:val="000000"/>
          <w:lang w:eastAsia="sk-SK"/>
        </w:rPr>
        <w:t xml:space="preserve"> ú</w:t>
      </w:r>
      <w:r w:rsidR="00FE67F3" w:rsidRPr="00FE67F3">
        <w:rPr>
          <w:rFonts w:eastAsia="Times New Roman"/>
          <w:color w:val="000000"/>
          <w:lang w:eastAsia="sk-SK"/>
        </w:rPr>
        <w:t>činnos</w:t>
      </w:r>
      <w:r w:rsidR="00ED5801">
        <w:rPr>
          <w:rFonts w:eastAsia="Times New Roman"/>
          <w:color w:val="000000"/>
          <w:lang w:eastAsia="sk-SK"/>
        </w:rPr>
        <w:t>ti</w:t>
      </w:r>
      <w:r w:rsidR="00FE67F3" w:rsidRPr="00FE67F3">
        <w:rPr>
          <w:rFonts w:eastAsia="Times New Roman"/>
          <w:color w:val="000000"/>
          <w:lang w:eastAsia="sk-SK"/>
        </w:rPr>
        <w:t xml:space="preserve"> </w:t>
      </w:r>
      <w:r>
        <w:rPr>
          <w:rFonts w:eastAsia="Times New Roman"/>
          <w:color w:val="000000"/>
          <w:lang w:eastAsia="sk-SK"/>
        </w:rPr>
        <w:t xml:space="preserve">návrhu zákona sa navrhuje </w:t>
      </w:r>
      <w:r w:rsidRPr="00231ADC">
        <w:rPr>
          <w:rFonts w:eastAsia="Times New Roman"/>
          <w:color w:val="000000"/>
          <w:lang w:eastAsia="sk-SK"/>
        </w:rPr>
        <w:t>so zohľadnením </w:t>
      </w:r>
      <w:proofErr w:type="spellStart"/>
      <w:r w:rsidRPr="00231ADC">
        <w:rPr>
          <w:rFonts w:eastAsia="Times New Roman"/>
          <w:color w:val="000000"/>
          <w:lang w:eastAsia="sk-SK"/>
        </w:rPr>
        <w:t>legisvakančnej</w:t>
      </w:r>
      <w:proofErr w:type="spellEnd"/>
      <w:r w:rsidRPr="00231ADC">
        <w:rPr>
          <w:rFonts w:eastAsia="Times New Roman"/>
          <w:color w:val="000000"/>
          <w:lang w:eastAsia="sk-SK"/>
        </w:rPr>
        <w:t xml:space="preserve"> lehoty</w:t>
      </w:r>
      <w:r>
        <w:rPr>
          <w:rFonts w:eastAsia="Times New Roman"/>
          <w:color w:val="000000"/>
          <w:lang w:eastAsia="sk-SK"/>
        </w:rPr>
        <w:t>.</w:t>
      </w:r>
    </w:p>
    <w:p w14:paraId="43742EF7" w14:textId="77777777" w:rsidR="00530780" w:rsidRDefault="00530780" w:rsidP="00530780">
      <w:pPr>
        <w:spacing w:after="0" w:line="240" w:lineRule="auto"/>
        <w:jc w:val="center"/>
        <w:rPr>
          <w:b/>
          <w:bCs/>
          <w:caps/>
          <w:spacing w:val="30"/>
        </w:rPr>
      </w:pPr>
      <w:r>
        <w:rPr>
          <w:b/>
          <w:bCs/>
          <w:caps/>
          <w:spacing w:val="30"/>
        </w:rPr>
        <w:lastRenderedPageBreak/>
        <w:t>Doložka zlučiteľnosti</w:t>
      </w:r>
    </w:p>
    <w:p w14:paraId="5B3A9644" w14:textId="77777777" w:rsidR="00530780" w:rsidRDefault="00530780" w:rsidP="00530780">
      <w:pPr>
        <w:spacing w:after="0" w:line="240" w:lineRule="auto"/>
        <w:jc w:val="center"/>
        <w:rPr>
          <w:b/>
          <w:bCs/>
        </w:rPr>
      </w:pPr>
      <w:r>
        <w:rPr>
          <w:b/>
          <w:bCs/>
        </w:rPr>
        <w:t>právneho predpisu s právom Európskej únie </w:t>
      </w:r>
    </w:p>
    <w:p w14:paraId="71A3950D" w14:textId="77777777" w:rsidR="00530780" w:rsidRDefault="00530780" w:rsidP="00530780">
      <w:pPr>
        <w:spacing w:after="0" w:line="240" w:lineRule="auto"/>
      </w:pPr>
    </w:p>
    <w:p w14:paraId="2B9A1892" w14:textId="77777777" w:rsidR="00530780" w:rsidRDefault="00530780" w:rsidP="00530780">
      <w:pPr>
        <w:spacing w:after="0" w:line="240" w:lineRule="auto"/>
      </w:pPr>
    </w:p>
    <w:p w14:paraId="51AD74D3" w14:textId="41D0E7DF" w:rsidR="00530780" w:rsidRDefault="00530780" w:rsidP="00530780">
      <w:pPr>
        <w:spacing w:after="0" w:line="240" w:lineRule="auto"/>
        <w:ind w:left="360" w:hanging="360"/>
        <w:rPr>
          <w:b/>
          <w:bCs/>
        </w:rPr>
      </w:pPr>
      <w:r>
        <w:rPr>
          <w:b/>
          <w:bCs/>
        </w:rPr>
        <w:t>1.</w:t>
      </w:r>
      <w:r>
        <w:rPr>
          <w:b/>
          <w:bCs/>
        </w:rPr>
        <w:tab/>
        <w:t>Predkladateľ právneho predpisu:</w:t>
      </w:r>
      <w:r>
        <w:t xml:space="preserve"> Skupina poslancov  Národnej rady Slovenskej republiky. </w:t>
      </w:r>
    </w:p>
    <w:p w14:paraId="0667B00D" w14:textId="77777777" w:rsidR="00530780" w:rsidRDefault="00530780" w:rsidP="00530780">
      <w:pPr>
        <w:tabs>
          <w:tab w:val="left" w:pos="360"/>
        </w:tabs>
        <w:spacing w:after="0" w:line="240" w:lineRule="auto"/>
        <w:ind w:left="360"/>
      </w:pPr>
      <w:r>
        <w:t xml:space="preserve"> </w:t>
      </w:r>
    </w:p>
    <w:p w14:paraId="52D99DB1" w14:textId="77777777" w:rsidR="00530780" w:rsidRDefault="00530780" w:rsidP="00530780">
      <w:pPr>
        <w:spacing w:after="0"/>
        <w:jc w:val="both"/>
      </w:pPr>
      <w:r>
        <w:rPr>
          <w:b/>
          <w:bCs/>
        </w:rPr>
        <w:t xml:space="preserve">2.   Názov návrhu právneho </w:t>
      </w:r>
      <w:r w:rsidRPr="004A2541">
        <w:rPr>
          <w:b/>
          <w:bCs/>
        </w:rPr>
        <w:t>predpisu:</w:t>
      </w:r>
      <w:r w:rsidRPr="004A2541">
        <w:t xml:space="preserve"> </w:t>
      </w:r>
      <w:r>
        <w:t xml:space="preserve">                                   </w:t>
      </w:r>
    </w:p>
    <w:p w14:paraId="01836745" w14:textId="77777777" w:rsidR="00530780" w:rsidRPr="00C94975" w:rsidRDefault="00530780" w:rsidP="00530780">
      <w:pPr>
        <w:spacing w:after="0"/>
        <w:jc w:val="both"/>
        <w:rPr>
          <w:bCs/>
        </w:rPr>
      </w:pPr>
      <w:r w:rsidRPr="00E87D65">
        <w:rPr>
          <w:bCs/>
        </w:rPr>
        <w:t>Návrh zákona, ktorým sa dopĺňa zákon č. 49/2002 Z. z. o ochrane pamiatkového fondu v znení neskorších predpisov a o doplnení zákona č. 326/2005 Z. z. o lesoch v znení neskorších predpisov</w:t>
      </w:r>
    </w:p>
    <w:p w14:paraId="291D7EFC" w14:textId="77777777" w:rsidR="00530780" w:rsidRDefault="00530780" w:rsidP="00530780">
      <w:pPr>
        <w:spacing w:after="0" w:line="240" w:lineRule="auto"/>
        <w:ind w:left="360" w:hanging="360"/>
      </w:pPr>
    </w:p>
    <w:p w14:paraId="6B9D56DF" w14:textId="77777777" w:rsidR="00530780" w:rsidRDefault="00530780" w:rsidP="00530780">
      <w:pPr>
        <w:spacing w:after="0" w:line="240" w:lineRule="auto"/>
        <w:ind w:left="360" w:hanging="360"/>
        <w:jc w:val="both"/>
      </w:pPr>
    </w:p>
    <w:p w14:paraId="0E1A9FBD" w14:textId="77777777" w:rsidR="00530780" w:rsidRDefault="00530780" w:rsidP="00530780">
      <w:pPr>
        <w:spacing w:after="0" w:line="240" w:lineRule="auto"/>
        <w:ind w:left="360" w:hanging="360"/>
        <w:rPr>
          <w:b/>
          <w:bCs/>
        </w:rPr>
      </w:pPr>
      <w:r>
        <w:rPr>
          <w:b/>
          <w:bCs/>
        </w:rPr>
        <w:t>3.</w:t>
      </w:r>
      <w:r>
        <w:rPr>
          <w:b/>
          <w:bCs/>
        </w:rPr>
        <w:tab/>
        <w:t>Problematika návrhu právneho predpisu:</w:t>
      </w:r>
    </w:p>
    <w:p w14:paraId="2E6ED520" w14:textId="77777777" w:rsidR="00530780" w:rsidRDefault="00530780" w:rsidP="00530780">
      <w:pPr>
        <w:spacing w:after="0" w:line="240" w:lineRule="auto"/>
        <w:ind w:firstLine="360"/>
      </w:pPr>
    </w:p>
    <w:p w14:paraId="6CF300B1" w14:textId="77777777" w:rsidR="00530780" w:rsidRDefault="00530780" w:rsidP="00530780">
      <w:pPr>
        <w:spacing w:after="0" w:line="240" w:lineRule="auto"/>
        <w:ind w:left="709" w:hanging="349"/>
      </w:pPr>
      <w:r>
        <w:t>a)</w:t>
      </w:r>
      <w:r>
        <w:tab/>
        <w:t>nie je upravená v práve Európskej únie</w:t>
      </w:r>
    </w:p>
    <w:p w14:paraId="416E7EDC" w14:textId="77777777" w:rsidR="00530780" w:rsidRDefault="00530780" w:rsidP="00530780">
      <w:pPr>
        <w:spacing w:after="0" w:line="240" w:lineRule="auto"/>
        <w:ind w:left="709" w:hanging="349"/>
      </w:pPr>
    </w:p>
    <w:p w14:paraId="4705A1CD" w14:textId="77777777" w:rsidR="00530780" w:rsidRDefault="00530780" w:rsidP="00530780">
      <w:pPr>
        <w:spacing w:after="0" w:line="240" w:lineRule="auto"/>
        <w:ind w:left="709" w:hanging="349"/>
      </w:pPr>
      <w:r>
        <w:t>b)</w:t>
      </w:r>
      <w:r>
        <w:tab/>
        <w:t>nie je obsiahnutá v judikatúre Súdneho dvora Európskej únie.</w:t>
      </w:r>
    </w:p>
    <w:p w14:paraId="3E1D142F" w14:textId="77777777" w:rsidR="00530780" w:rsidRDefault="00530780" w:rsidP="00530780">
      <w:pPr>
        <w:spacing w:after="0" w:line="240" w:lineRule="auto"/>
        <w:ind w:left="709" w:hanging="349"/>
      </w:pPr>
    </w:p>
    <w:p w14:paraId="7C9C1953" w14:textId="77777777" w:rsidR="00530780" w:rsidRDefault="00530780" w:rsidP="00530780">
      <w:pPr>
        <w:spacing w:after="0" w:line="240" w:lineRule="auto"/>
        <w:ind w:left="360" w:hanging="360"/>
        <w:rPr>
          <w:b/>
          <w:bCs/>
        </w:rPr>
      </w:pPr>
      <w:r>
        <w:rPr>
          <w:b/>
          <w:bCs/>
        </w:rPr>
        <w:t>4.</w:t>
      </w:r>
      <w:r>
        <w:rPr>
          <w:b/>
          <w:bCs/>
        </w:rPr>
        <w:tab/>
        <w:t xml:space="preserve">Záväzky Slovenskej republiky vo vzťahu k Európskej únii: </w:t>
      </w:r>
    </w:p>
    <w:p w14:paraId="0B848595" w14:textId="77777777" w:rsidR="00530780" w:rsidRDefault="00530780" w:rsidP="00530780">
      <w:pPr>
        <w:spacing w:after="0" w:line="240" w:lineRule="auto"/>
      </w:pPr>
    </w:p>
    <w:p w14:paraId="7605657D" w14:textId="77777777" w:rsidR="00530780" w:rsidRDefault="00530780" w:rsidP="00530780">
      <w:pPr>
        <w:spacing w:after="0" w:line="240" w:lineRule="auto"/>
        <w:ind w:firstLine="360"/>
      </w:pPr>
      <w:r>
        <w:t>bezpredmetné </w:t>
      </w:r>
    </w:p>
    <w:p w14:paraId="48136DBC" w14:textId="77777777" w:rsidR="00530780" w:rsidRDefault="00530780" w:rsidP="00530780">
      <w:pPr>
        <w:spacing w:after="0" w:line="240" w:lineRule="auto"/>
        <w:ind w:firstLine="708"/>
      </w:pPr>
    </w:p>
    <w:p w14:paraId="2C65B2EB" w14:textId="77777777" w:rsidR="00530780" w:rsidRDefault="00530780" w:rsidP="00530780">
      <w:pPr>
        <w:spacing w:after="0" w:line="240" w:lineRule="auto"/>
        <w:ind w:left="360" w:hanging="360"/>
        <w:rPr>
          <w:b/>
          <w:bCs/>
        </w:rPr>
      </w:pPr>
      <w:r>
        <w:rPr>
          <w:b/>
          <w:bCs/>
        </w:rPr>
        <w:t>5.</w:t>
      </w:r>
      <w:r>
        <w:rPr>
          <w:b/>
          <w:bCs/>
        </w:rPr>
        <w:tab/>
        <w:t>Stupeň zlučiteľnosti návrhu právneho predpisu s právom Európskej únie:</w:t>
      </w:r>
    </w:p>
    <w:p w14:paraId="548DB13E" w14:textId="77777777" w:rsidR="00530780" w:rsidRDefault="00530780" w:rsidP="00530780">
      <w:pPr>
        <w:spacing w:after="0" w:line="240" w:lineRule="auto"/>
      </w:pPr>
    </w:p>
    <w:p w14:paraId="5AD5897D" w14:textId="77777777" w:rsidR="00530780" w:rsidRDefault="00530780" w:rsidP="00530780">
      <w:pPr>
        <w:spacing w:after="0" w:line="240" w:lineRule="auto"/>
        <w:ind w:firstLine="360"/>
      </w:pPr>
      <w:r>
        <w:t>Stupeň zlučiteľnosti - úplný </w:t>
      </w:r>
    </w:p>
    <w:p w14:paraId="4D0864D0" w14:textId="77777777" w:rsidR="00530780" w:rsidRDefault="00530780" w:rsidP="00530780">
      <w:pPr>
        <w:tabs>
          <w:tab w:val="left" w:pos="360"/>
        </w:tabs>
        <w:spacing w:after="0" w:line="240" w:lineRule="auto"/>
        <w:ind w:left="360"/>
      </w:pPr>
      <w:r>
        <w:br/>
      </w:r>
    </w:p>
    <w:p w14:paraId="561068B0" w14:textId="77777777" w:rsidR="00530780" w:rsidRDefault="00530780" w:rsidP="00530780">
      <w:pPr>
        <w:ind w:right="-108"/>
        <w:jc w:val="center"/>
        <w:outlineLvl w:val="0"/>
        <w:rPr>
          <w:b/>
          <w:bCs/>
          <w:sz w:val="28"/>
          <w:szCs w:val="28"/>
        </w:rPr>
      </w:pPr>
    </w:p>
    <w:p w14:paraId="4E8CFBB5" w14:textId="77777777" w:rsidR="00530780" w:rsidRDefault="00530780" w:rsidP="00530780">
      <w:pPr>
        <w:ind w:right="-108"/>
        <w:jc w:val="center"/>
        <w:outlineLvl w:val="0"/>
        <w:rPr>
          <w:b/>
          <w:bCs/>
          <w:sz w:val="28"/>
          <w:szCs w:val="28"/>
        </w:rPr>
      </w:pPr>
    </w:p>
    <w:p w14:paraId="11A12B71" w14:textId="77777777" w:rsidR="00530780" w:rsidRDefault="00530780" w:rsidP="00530780">
      <w:pPr>
        <w:ind w:right="-108"/>
        <w:jc w:val="center"/>
        <w:outlineLvl w:val="0"/>
        <w:rPr>
          <w:b/>
          <w:bCs/>
          <w:sz w:val="28"/>
          <w:szCs w:val="28"/>
        </w:rPr>
      </w:pPr>
    </w:p>
    <w:p w14:paraId="6F0C5BF9" w14:textId="77777777" w:rsidR="00530780" w:rsidRDefault="00530780" w:rsidP="00530780">
      <w:pPr>
        <w:ind w:right="-108"/>
        <w:jc w:val="center"/>
        <w:outlineLvl w:val="0"/>
        <w:rPr>
          <w:b/>
          <w:bCs/>
          <w:sz w:val="28"/>
          <w:szCs w:val="28"/>
        </w:rPr>
      </w:pPr>
    </w:p>
    <w:p w14:paraId="48315C10" w14:textId="77777777" w:rsidR="00530780" w:rsidRDefault="00530780" w:rsidP="00530780">
      <w:pPr>
        <w:ind w:right="-108"/>
        <w:jc w:val="center"/>
        <w:outlineLvl w:val="0"/>
        <w:rPr>
          <w:b/>
          <w:bCs/>
          <w:sz w:val="28"/>
          <w:szCs w:val="28"/>
        </w:rPr>
      </w:pPr>
    </w:p>
    <w:p w14:paraId="28A5AE5A" w14:textId="77777777" w:rsidR="00530780" w:rsidRDefault="00530780" w:rsidP="00530780">
      <w:pPr>
        <w:ind w:right="-108"/>
        <w:jc w:val="center"/>
        <w:outlineLvl w:val="0"/>
        <w:rPr>
          <w:b/>
          <w:bCs/>
          <w:sz w:val="28"/>
          <w:szCs w:val="28"/>
        </w:rPr>
      </w:pPr>
    </w:p>
    <w:p w14:paraId="771E72AE" w14:textId="77777777" w:rsidR="00530780" w:rsidRDefault="00530780" w:rsidP="00530780">
      <w:pPr>
        <w:ind w:right="-108"/>
        <w:jc w:val="center"/>
        <w:outlineLvl w:val="0"/>
        <w:rPr>
          <w:b/>
          <w:bCs/>
          <w:sz w:val="28"/>
          <w:szCs w:val="28"/>
        </w:rPr>
      </w:pPr>
    </w:p>
    <w:p w14:paraId="6622820F" w14:textId="77777777" w:rsidR="00530780" w:rsidRDefault="00530780" w:rsidP="00530780">
      <w:pPr>
        <w:ind w:right="-108"/>
        <w:jc w:val="center"/>
        <w:outlineLvl w:val="0"/>
        <w:rPr>
          <w:b/>
          <w:bCs/>
          <w:sz w:val="28"/>
          <w:szCs w:val="28"/>
        </w:rPr>
      </w:pPr>
    </w:p>
    <w:p w14:paraId="54E4553C" w14:textId="77777777" w:rsidR="00530780" w:rsidRDefault="00530780" w:rsidP="00530780">
      <w:pPr>
        <w:ind w:right="-108"/>
        <w:jc w:val="center"/>
        <w:outlineLvl w:val="0"/>
        <w:rPr>
          <w:b/>
          <w:bCs/>
          <w:sz w:val="28"/>
          <w:szCs w:val="28"/>
        </w:rPr>
      </w:pPr>
    </w:p>
    <w:p w14:paraId="56A6CC31" w14:textId="77777777" w:rsidR="00530780" w:rsidRDefault="00530780" w:rsidP="00530780">
      <w:pPr>
        <w:ind w:right="-108"/>
        <w:jc w:val="center"/>
        <w:outlineLvl w:val="0"/>
        <w:rPr>
          <w:b/>
          <w:bCs/>
          <w:sz w:val="28"/>
          <w:szCs w:val="28"/>
        </w:rPr>
      </w:pPr>
    </w:p>
    <w:p w14:paraId="57F45522" w14:textId="77777777" w:rsidR="00530780" w:rsidRDefault="00530780" w:rsidP="00530780">
      <w:pPr>
        <w:ind w:right="-108"/>
        <w:jc w:val="center"/>
        <w:outlineLvl w:val="0"/>
        <w:rPr>
          <w:b/>
          <w:bCs/>
          <w:sz w:val="28"/>
          <w:szCs w:val="28"/>
        </w:rPr>
      </w:pPr>
    </w:p>
    <w:p w14:paraId="78AFF9A3" w14:textId="77777777" w:rsidR="00A32BAC" w:rsidRDefault="00A32BAC" w:rsidP="00530780">
      <w:pPr>
        <w:ind w:right="-108"/>
        <w:jc w:val="center"/>
        <w:outlineLvl w:val="0"/>
        <w:rPr>
          <w:b/>
          <w:bCs/>
          <w:sz w:val="28"/>
          <w:szCs w:val="28"/>
        </w:rPr>
      </w:pPr>
    </w:p>
    <w:p w14:paraId="5372D151" w14:textId="1EE6008E" w:rsidR="00530780" w:rsidRDefault="00530780" w:rsidP="00530780">
      <w:pPr>
        <w:ind w:right="-108"/>
        <w:jc w:val="center"/>
        <w:outlineLvl w:val="0"/>
        <w:rPr>
          <w:b/>
          <w:bCs/>
          <w:sz w:val="28"/>
          <w:szCs w:val="28"/>
        </w:rPr>
      </w:pPr>
      <w:r>
        <w:rPr>
          <w:b/>
          <w:bCs/>
          <w:sz w:val="28"/>
          <w:szCs w:val="28"/>
        </w:rPr>
        <w:lastRenderedPageBreak/>
        <w:t>Doložka vybraných vplyvov</w:t>
      </w:r>
    </w:p>
    <w:p w14:paraId="76D4F3B4" w14:textId="77777777" w:rsidR="00530780" w:rsidRPr="00C94975" w:rsidRDefault="00530780" w:rsidP="00530780">
      <w:pPr>
        <w:spacing w:after="0"/>
        <w:jc w:val="both"/>
        <w:rPr>
          <w:bCs/>
        </w:rPr>
      </w:pPr>
      <w:r>
        <w:rPr>
          <w:b/>
          <w:bCs/>
        </w:rPr>
        <w:t>A.1. Názov materiálu</w:t>
      </w:r>
      <w:r w:rsidRPr="004A2541">
        <w:rPr>
          <w:b/>
          <w:bCs/>
        </w:rPr>
        <w:t xml:space="preserve">: </w:t>
      </w:r>
      <w:r w:rsidRPr="00E87D65">
        <w:rPr>
          <w:bCs/>
        </w:rPr>
        <w:t>Návrh zákona, ktorým sa dopĺňa zákon č. 49/2002 Z. z. o ochrane pamiatkového fondu v znení neskorších predpisov a o doplnení zákona č. 326/2005 Z. z.              o lesoch v znení neskorších predpisov</w:t>
      </w:r>
    </w:p>
    <w:p w14:paraId="62963414" w14:textId="77777777" w:rsidR="00530780" w:rsidRPr="00122611" w:rsidRDefault="00530780" w:rsidP="00530780">
      <w:pPr>
        <w:spacing w:after="0" w:line="240" w:lineRule="auto"/>
        <w:ind w:left="360" w:hanging="360"/>
        <w:jc w:val="both"/>
        <w:rPr>
          <w:sz w:val="28"/>
        </w:rPr>
      </w:pPr>
    </w:p>
    <w:p w14:paraId="3758CE7D" w14:textId="77777777" w:rsidR="00530780" w:rsidRDefault="00530780" w:rsidP="00530780">
      <w:pPr>
        <w:spacing w:line="240" w:lineRule="auto"/>
        <w:outlineLvl w:val="0"/>
        <w:rPr>
          <w:b/>
          <w:bCs/>
        </w:rPr>
      </w:pPr>
      <w:r>
        <w:rPr>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530780" w14:paraId="45697D4C" w14:textId="77777777" w:rsidTr="00A456D9">
        <w:trPr>
          <w:trHeight w:val="432"/>
        </w:trPr>
        <w:tc>
          <w:tcPr>
            <w:tcW w:w="3737" w:type="dxa"/>
            <w:tcBorders>
              <w:top w:val="single" w:sz="4" w:space="0" w:color="auto"/>
              <w:left w:val="single" w:sz="4" w:space="0" w:color="auto"/>
              <w:bottom w:val="single" w:sz="4" w:space="0" w:color="auto"/>
              <w:right w:val="single" w:sz="4" w:space="0" w:color="auto"/>
            </w:tcBorders>
          </w:tcPr>
          <w:p w14:paraId="64F6687A" w14:textId="77777777" w:rsidR="00530780" w:rsidRDefault="00530780" w:rsidP="00A456D9">
            <w:pPr>
              <w:spacing w:line="240" w:lineRule="auto"/>
            </w:pPr>
          </w:p>
        </w:tc>
        <w:tc>
          <w:tcPr>
            <w:tcW w:w="1245" w:type="dxa"/>
            <w:tcBorders>
              <w:top w:val="single" w:sz="4" w:space="0" w:color="auto"/>
              <w:left w:val="single" w:sz="4" w:space="0" w:color="auto"/>
              <w:bottom w:val="single" w:sz="4" w:space="0" w:color="auto"/>
              <w:right w:val="single" w:sz="4" w:space="0" w:color="auto"/>
            </w:tcBorders>
            <w:vAlign w:val="center"/>
            <w:hideMark/>
          </w:tcPr>
          <w:p w14:paraId="5C12ECB5" w14:textId="77777777" w:rsidR="00530780" w:rsidRDefault="00530780" w:rsidP="00A456D9">
            <w:pPr>
              <w:spacing w:line="240" w:lineRule="auto"/>
              <w:jc w:val="center"/>
            </w:pPr>
            <w:r>
              <w:t>Pozitívne</w:t>
            </w:r>
            <w:r>
              <w:rPr>
                <w:vertAlign w:val="superscript"/>
              </w:rPr>
              <w:t>*</w:t>
            </w:r>
            <w:r>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D0FB42B" w14:textId="77777777" w:rsidR="00530780" w:rsidRDefault="00530780" w:rsidP="00A456D9">
            <w:pPr>
              <w:spacing w:line="240" w:lineRule="auto"/>
              <w:jc w:val="center"/>
            </w:pPr>
            <w:r>
              <w:t>Žiadne</w:t>
            </w:r>
            <w:r>
              <w:rPr>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E7FBC59" w14:textId="77777777" w:rsidR="00530780" w:rsidRDefault="00530780" w:rsidP="00A456D9">
            <w:pPr>
              <w:spacing w:line="240" w:lineRule="auto"/>
              <w:jc w:val="center"/>
            </w:pPr>
            <w:r>
              <w:t>Negatívne</w:t>
            </w:r>
            <w:r>
              <w:rPr>
                <w:vertAlign w:val="superscript"/>
              </w:rPr>
              <w:t>*</w:t>
            </w:r>
          </w:p>
        </w:tc>
      </w:tr>
      <w:tr w:rsidR="00530780" w14:paraId="71172ADB" w14:textId="77777777" w:rsidTr="00A456D9">
        <w:trPr>
          <w:trHeight w:val="829"/>
        </w:trPr>
        <w:tc>
          <w:tcPr>
            <w:tcW w:w="3737" w:type="dxa"/>
            <w:tcBorders>
              <w:top w:val="single" w:sz="4" w:space="0" w:color="auto"/>
              <w:left w:val="single" w:sz="4" w:space="0" w:color="auto"/>
              <w:bottom w:val="single" w:sz="4" w:space="0" w:color="auto"/>
              <w:right w:val="single" w:sz="4" w:space="0" w:color="auto"/>
            </w:tcBorders>
          </w:tcPr>
          <w:p w14:paraId="7AF893B7" w14:textId="77777777" w:rsidR="00530780" w:rsidRDefault="00530780" w:rsidP="00A456D9">
            <w:pPr>
              <w:spacing w:line="240" w:lineRule="auto"/>
              <w:rPr>
                <w:sz w:val="20"/>
                <w:szCs w:val="20"/>
              </w:rPr>
            </w:pPr>
            <w:r>
              <w:rPr>
                <w:sz w:val="20"/>
                <w:szCs w:val="20"/>
              </w:rPr>
              <w:t>1. Vplyvy na rozpočet verejnej správy</w:t>
            </w:r>
          </w:p>
          <w:p w14:paraId="2D47BBC8" w14:textId="77777777" w:rsidR="00530780" w:rsidRDefault="00530780" w:rsidP="00A456D9">
            <w:pPr>
              <w:spacing w:line="240" w:lineRule="auto"/>
              <w:rPr>
                <w:i/>
                <w:iCs/>
                <w:sz w:val="20"/>
                <w:szCs w:val="20"/>
              </w:rPr>
            </w:pPr>
          </w:p>
        </w:tc>
        <w:tc>
          <w:tcPr>
            <w:tcW w:w="1245" w:type="dxa"/>
            <w:tcBorders>
              <w:top w:val="single" w:sz="4" w:space="0" w:color="auto"/>
              <w:left w:val="single" w:sz="4" w:space="0" w:color="auto"/>
              <w:bottom w:val="single" w:sz="4" w:space="0" w:color="auto"/>
              <w:right w:val="single" w:sz="4" w:space="0" w:color="auto"/>
            </w:tcBorders>
          </w:tcPr>
          <w:p w14:paraId="33FBBB81" w14:textId="77777777" w:rsidR="00530780" w:rsidRDefault="00530780" w:rsidP="00A456D9">
            <w:pPr>
              <w:spacing w:line="240" w:lineRule="auto"/>
              <w:jc w:val="center"/>
              <w:rPr>
                <w:sz w:val="20"/>
                <w:szCs w:val="20"/>
              </w:rPr>
            </w:pPr>
            <w:r>
              <w:rPr>
                <w:sz w:val="20"/>
                <w:szCs w:val="20"/>
              </w:rPr>
              <w:t>X</w:t>
            </w:r>
          </w:p>
        </w:tc>
        <w:tc>
          <w:tcPr>
            <w:tcW w:w="1263" w:type="dxa"/>
            <w:tcBorders>
              <w:top w:val="single" w:sz="4" w:space="0" w:color="auto"/>
              <w:left w:val="single" w:sz="4" w:space="0" w:color="auto"/>
              <w:bottom w:val="single" w:sz="4" w:space="0" w:color="auto"/>
              <w:right w:val="single" w:sz="4" w:space="0" w:color="auto"/>
            </w:tcBorders>
            <w:hideMark/>
          </w:tcPr>
          <w:p w14:paraId="5B550127" w14:textId="77777777" w:rsidR="00530780" w:rsidRDefault="00530780" w:rsidP="00A456D9">
            <w:pPr>
              <w:spacing w:line="240" w:lineRule="auto"/>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671A2555" w14:textId="77777777" w:rsidR="00530780" w:rsidRDefault="00530780" w:rsidP="00A456D9">
            <w:pPr>
              <w:spacing w:line="240" w:lineRule="auto"/>
              <w:jc w:val="center"/>
            </w:pPr>
            <w:r>
              <w:rPr>
                <w:sz w:val="20"/>
                <w:szCs w:val="20"/>
              </w:rPr>
              <w:t>X</w:t>
            </w:r>
          </w:p>
        </w:tc>
      </w:tr>
      <w:tr w:rsidR="00530780" w14:paraId="170E34AD" w14:textId="77777777" w:rsidTr="00A456D9">
        <w:trPr>
          <w:trHeight w:val="864"/>
        </w:trPr>
        <w:tc>
          <w:tcPr>
            <w:tcW w:w="3737" w:type="dxa"/>
            <w:tcBorders>
              <w:top w:val="single" w:sz="4" w:space="0" w:color="auto"/>
              <w:left w:val="single" w:sz="4" w:space="0" w:color="auto"/>
              <w:bottom w:val="single" w:sz="4" w:space="0" w:color="auto"/>
              <w:right w:val="single" w:sz="4" w:space="0" w:color="auto"/>
            </w:tcBorders>
            <w:hideMark/>
          </w:tcPr>
          <w:p w14:paraId="20D412DD" w14:textId="77777777" w:rsidR="00530780" w:rsidRDefault="00530780" w:rsidP="00A456D9">
            <w:pPr>
              <w:spacing w:line="240" w:lineRule="auto"/>
              <w:rPr>
                <w:sz w:val="20"/>
                <w:szCs w:val="20"/>
              </w:rPr>
            </w:pPr>
            <w:r>
              <w:rPr>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14:paraId="02E47324" w14:textId="77777777" w:rsidR="00530780" w:rsidRDefault="00530780" w:rsidP="00A456D9">
            <w:pPr>
              <w:jc w:val="center"/>
              <w:rPr>
                <w:sz w:val="20"/>
                <w:szCs w:val="20"/>
              </w:rPr>
            </w:pPr>
            <w:r>
              <w:rPr>
                <w:sz w:val="20"/>
                <w:szCs w:val="20"/>
              </w:rPr>
              <w:t>X</w:t>
            </w:r>
          </w:p>
        </w:tc>
        <w:tc>
          <w:tcPr>
            <w:tcW w:w="1263" w:type="dxa"/>
            <w:tcBorders>
              <w:top w:val="single" w:sz="4" w:space="0" w:color="auto"/>
              <w:left w:val="single" w:sz="4" w:space="0" w:color="auto"/>
              <w:bottom w:val="single" w:sz="4" w:space="0" w:color="auto"/>
              <w:right w:val="single" w:sz="4" w:space="0" w:color="auto"/>
            </w:tcBorders>
            <w:hideMark/>
          </w:tcPr>
          <w:p w14:paraId="1121F12A" w14:textId="77777777" w:rsidR="00530780" w:rsidRDefault="00530780" w:rsidP="00A456D9">
            <w:pPr>
              <w:spacing w:line="240" w:lineRule="auto"/>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5E2D9DDE" w14:textId="77777777" w:rsidR="00530780" w:rsidRDefault="00530780" w:rsidP="00A456D9">
            <w:pPr>
              <w:spacing w:line="240" w:lineRule="auto"/>
              <w:jc w:val="center"/>
            </w:pPr>
          </w:p>
        </w:tc>
      </w:tr>
      <w:tr w:rsidR="00530780" w14:paraId="04BEA578" w14:textId="77777777" w:rsidTr="00A456D9">
        <w:trPr>
          <w:trHeight w:val="1881"/>
        </w:trPr>
        <w:tc>
          <w:tcPr>
            <w:tcW w:w="3737" w:type="dxa"/>
            <w:tcBorders>
              <w:top w:val="single" w:sz="4" w:space="0" w:color="auto"/>
              <w:left w:val="single" w:sz="4" w:space="0" w:color="auto"/>
              <w:bottom w:val="single" w:sz="4" w:space="0" w:color="auto"/>
              <w:right w:val="single" w:sz="4" w:space="0" w:color="auto"/>
            </w:tcBorders>
            <w:hideMark/>
          </w:tcPr>
          <w:p w14:paraId="1707A153" w14:textId="77777777" w:rsidR="00530780" w:rsidRDefault="00530780" w:rsidP="00A456D9">
            <w:pPr>
              <w:spacing w:line="240" w:lineRule="auto"/>
              <w:rPr>
                <w:sz w:val="20"/>
                <w:szCs w:val="20"/>
              </w:rPr>
            </w:pPr>
            <w:r>
              <w:rPr>
                <w:sz w:val="20"/>
                <w:szCs w:val="20"/>
              </w:rPr>
              <w:t xml:space="preserve">3, Sociálne vplyvy </w:t>
            </w:r>
          </w:p>
          <w:p w14:paraId="1AC4A3C7" w14:textId="77777777" w:rsidR="00530780" w:rsidRDefault="00530780" w:rsidP="00A456D9">
            <w:pPr>
              <w:spacing w:line="240" w:lineRule="auto"/>
              <w:rPr>
                <w:sz w:val="20"/>
                <w:szCs w:val="20"/>
              </w:rPr>
            </w:pPr>
            <w:r>
              <w:rPr>
                <w:sz w:val="20"/>
                <w:szCs w:val="20"/>
              </w:rPr>
              <w:t>– vplyvy  na hospodárenie obyvateľstva,</w:t>
            </w:r>
          </w:p>
          <w:p w14:paraId="04CBCCBB" w14:textId="77777777" w:rsidR="00530780" w:rsidRDefault="00530780" w:rsidP="00A456D9">
            <w:pPr>
              <w:spacing w:line="240" w:lineRule="auto"/>
              <w:rPr>
                <w:sz w:val="20"/>
                <w:szCs w:val="20"/>
              </w:rPr>
            </w:pPr>
            <w:r>
              <w:rPr>
                <w:sz w:val="20"/>
                <w:szCs w:val="20"/>
              </w:rPr>
              <w:t xml:space="preserve">-sociálnu </w:t>
            </w:r>
            <w:proofErr w:type="spellStart"/>
            <w:r>
              <w:rPr>
                <w:sz w:val="20"/>
                <w:szCs w:val="20"/>
              </w:rPr>
              <w:t>exklúziu</w:t>
            </w:r>
            <w:proofErr w:type="spellEnd"/>
            <w:r>
              <w:rPr>
                <w:sz w:val="20"/>
                <w:szCs w:val="20"/>
              </w:rPr>
              <w:t>,</w:t>
            </w:r>
          </w:p>
          <w:p w14:paraId="1979E7B2" w14:textId="77777777" w:rsidR="00530780" w:rsidRDefault="00530780" w:rsidP="00A456D9">
            <w:pPr>
              <w:spacing w:line="240" w:lineRule="auto"/>
              <w:rPr>
                <w:sz w:val="20"/>
                <w:szCs w:val="20"/>
              </w:rPr>
            </w:pPr>
            <w:r>
              <w:rPr>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14:paraId="74BA4F42" w14:textId="77777777" w:rsidR="00530780" w:rsidRDefault="00530780" w:rsidP="00A456D9">
            <w:pPr>
              <w:spacing w:line="240" w:lineRule="auto"/>
              <w:jc w:val="center"/>
              <w:rPr>
                <w:sz w:val="20"/>
                <w:szCs w:val="20"/>
              </w:rPr>
            </w:pPr>
            <w:r>
              <w:rPr>
                <w:sz w:val="20"/>
                <w:szCs w:val="20"/>
              </w:rPr>
              <w:t>X</w:t>
            </w:r>
          </w:p>
          <w:p w14:paraId="2A7F8EA4" w14:textId="77777777" w:rsidR="00530780" w:rsidRDefault="00530780" w:rsidP="00A456D9">
            <w:pPr>
              <w:spacing w:line="240" w:lineRule="auto"/>
              <w:jc w:val="center"/>
              <w:rPr>
                <w:sz w:val="20"/>
                <w:szCs w:val="20"/>
              </w:rPr>
            </w:pPr>
          </w:p>
          <w:p w14:paraId="7A8FE033" w14:textId="77777777" w:rsidR="00530780" w:rsidRDefault="00530780" w:rsidP="00A456D9">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7C98EE53" w14:textId="77777777" w:rsidR="00530780" w:rsidRDefault="00530780" w:rsidP="00A456D9">
            <w:pPr>
              <w:spacing w:line="240" w:lineRule="auto"/>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11FBD247" w14:textId="77777777" w:rsidR="00530780" w:rsidRDefault="00530780" w:rsidP="00A456D9">
            <w:pPr>
              <w:spacing w:line="240" w:lineRule="auto"/>
              <w:jc w:val="center"/>
            </w:pPr>
          </w:p>
        </w:tc>
      </w:tr>
      <w:tr w:rsidR="00530780" w14:paraId="388A90A5" w14:textId="77777777" w:rsidTr="00A456D9">
        <w:trPr>
          <w:trHeight w:val="432"/>
        </w:trPr>
        <w:tc>
          <w:tcPr>
            <w:tcW w:w="3737" w:type="dxa"/>
            <w:tcBorders>
              <w:top w:val="single" w:sz="4" w:space="0" w:color="auto"/>
              <w:left w:val="single" w:sz="4" w:space="0" w:color="auto"/>
              <w:bottom w:val="single" w:sz="4" w:space="0" w:color="auto"/>
              <w:right w:val="single" w:sz="4" w:space="0" w:color="auto"/>
            </w:tcBorders>
            <w:hideMark/>
          </w:tcPr>
          <w:p w14:paraId="20DE9E80" w14:textId="77777777" w:rsidR="00530780" w:rsidRDefault="00530780" w:rsidP="00A456D9">
            <w:pPr>
              <w:spacing w:line="240" w:lineRule="auto"/>
              <w:rPr>
                <w:sz w:val="20"/>
                <w:szCs w:val="20"/>
              </w:rPr>
            </w:pPr>
            <w:r>
              <w:rPr>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14:paraId="177346EE" w14:textId="77777777" w:rsidR="00530780" w:rsidRDefault="00530780" w:rsidP="00A456D9">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3C74D54E" w14:textId="77777777" w:rsidR="00530780" w:rsidRDefault="00530780" w:rsidP="00A456D9">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6927D7B1" w14:textId="77777777" w:rsidR="00530780" w:rsidRDefault="00530780" w:rsidP="00A456D9">
            <w:pPr>
              <w:spacing w:line="240" w:lineRule="auto"/>
              <w:jc w:val="center"/>
            </w:pPr>
          </w:p>
        </w:tc>
      </w:tr>
      <w:tr w:rsidR="00530780" w14:paraId="691B677B" w14:textId="77777777" w:rsidTr="00A456D9">
        <w:trPr>
          <w:trHeight w:val="548"/>
        </w:trPr>
        <w:tc>
          <w:tcPr>
            <w:tcW w:w="3737" w:type="dxa"/>
            <w:tcBorders>
              <w:top w:val="single" w:sz="4" w:space="0" w:color="auto"/>
              <w:left w:val="single" w:sz="4" w:space="0" w:color="auto"/>
              <w:bottom w:val="single" w:sz="4" w:space="0" w:color="auto"/>
              <w:right w:val="single" w:sz="4" w:space="0" w:color="auto"/>
            </w:tcBorders>
            <w:hideMark/>
          </w:tcPr>
          <w:p w14:paraId="36DBE0A2" w14:textId="77777777" w:rsidR="00530780" w:rsidRDefault="00530780" w:rsidP="00A456D9">
            <w:pPr>
              <w:spacing w:line="240" w:lineRule="auto"/>
              <w:rPr>
                <w:sz w:val="20"/>
                <w:szCs w:val="20"/>
              </w:rPr>
            </w:pPr>
            <w:r>
              <w:rPr>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14:paraId="2C4586C3" w14:textId="77777777" w:rsidR="00530780" w:rsidRDefault="00530780" w:rsidP="00A456D9">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024FAD80" w14:textId="77777777" w:rsidR="00530780" w:rsidRDefault="00530780" w:rsidP="00A456D9">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45BFC5FD" w14:textId="77777777" w:rsidR="00530780" w:rsidRDefault="00530780" w:rsidP="00A456D9">
            <w:pPr>
              <w:spacing w:line="240" w:lineRule="auto"/>
              <w:jc w:val="center"/>
            </w:pPr>
          </w:p>
        </w:tc>
      </w:tr>
      <w:tr w:rsidR="00530780" w14:paraId="3F2607A6" w14:textId="77777777" w:rsidTr="00A456D9">
        <w:trPr>
          <w:trHeight w:val="742"/>
        </w:trPr>
        <w:tc>
          <w:tcPr>
            <w:tcW w:w="3737" w:type="dxa"/>
            <w:tcBorders>
              <w:top w:val="single" w:sz="4" w:space="0" w:color="auto"/>
              <w:left w:val="single" w:sz="4" w:space="0" w:color="auto"/>
              <w:bottom w:val="single" w:sz="4" w:space="0" w:color="auto"/>
              <w:right w:val="single" w:sz="4" w:space="0" w:color="auto"/>
            </w:tcBorders>
            <w:hideMark/>
          </w:tcPr>
          <w:p w14:paraId="5B5DD218" w14:textId="77777777" w:rsidR="00530780" w:rsidRDefault="00530780" w:rsidP="00A456D9">
            <w:pPr>
              <w:spacing w:line="240" w:lineRule="auto"/>
              <w:rPr>
                <w:sz w:val="20"/>
                <w:szCs w:val="20"/>
              </w:rPr>
            </w:pPr>
            <w:r>
              <w:rPr>
                <w:sz w:val="20"/>
                <w:szCs w:val="20"/>
              </w:rPr>
              <w:t>6. Vplyvy na manželstvo, rodičovstvo a rodinu</w:t>
            </w:r>
          </w:p>
        </w:tc>
        <w:tc>
          <w:tcPr>
            <w:tcW w:w="1245" w:type="dxa"/>
            <w:tcBorders>
              <w:top w:val="single" w:sz="4" w:space="0" w:color="auto"/>
              <w:left w:val="single" w:sz="4" w:space="0" w:color="auto"/>
              <w:bottom w:val="single" w:sz="4" w:space="0" w:color="auto"/>
              <w:right w:val="single" w:sz="4" w:space="0" w:color="auto"/>
            </w:tcBorders>
          </w:tcPr>
          <w:p w14:paraId="3951B896" w14:textId="77777777" w:rsidR="00530780" w:rsidRDefault="00530780" w:rsidP="00A456D9">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0F23327B" w14:textId="77777777" w:rsidR="00530780" w:rsidRDefault="00530780" w:rsidP="00A456D9">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54543FF2" w14:textId="77777777" w:rsidR="00530780" w:rsidRDefault="00530780" w:rsidP="00A456D9">
            <w:pPr>
              <w:spacing w:line="240" w:lineRule="auto"/>
              <w:jc w:val="center"/>
            </w:pPr>
          </w:p>
        </w:tc>
      </w:tr>
      <w:tr w:rsidR="00530780" w14:paraId="45066F13" w14:textId="77777777" w:rsidTr="00A456D9">
        <w:trPr>
          <w:trHeight w:val="742"/>
        </w:trPr>
        <w:tc>
          <w:tcPr>
            <w:tcW w:w="3737" w:type="dxa"/>
            <w:tcBorders>
              <w:top w:val="single" w:sz="4" w:space="0" w:color="auto"/>
              <w:left w:val="single" w:sz="4" w:space="0" w:color="auto"/>
              <w:bottom w:val="single" w:sz="4" w:space="0" w:color="auto"/>
              <w:right w:val="single" w:sz="4" w:space="0" w:color="auto"/>
            </w:tcBorders>
          </w:tcPr>
          <w:p w14:paraId="310031E3" w14:textId="77777777" w:rsidR="00530780" w:rsidRDefault="00530780" w:rsidP="00A456D9">
            <w:pPr>
              <w:spacing w:line="240" w:lineRule="auto"/>
              <w:rPr>
                <w:sz w:val="20"/>
                <w:szCs w:val="20"/>
              </w:rPr>
            </w:pPr>
            <w:r>
              <w:rPr>
                <w:sz w:val="20"/>
                <w:szCs w:val="20"/>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tcPr>
          <w:p w14:paraId="6F86AF59" w14:textId="77777777" w:rsidR="00530780" w:rsidRDefault="00530780" w:rsidP="00A456D9">
            <w:pPr>
              <w:spacing w:line="240" w:lineRule="auto"/>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1D01DA07" w14:textId="77777777" w:rsidR="00530780" w:rsidRDefault="00530780" w:rsidP="00A456D9">
            <w:pPr>
              <w:spacing w:line="240" w:lineRule="auto"/>
              <w:jc w:val="center"/>
              <w:rPr>
                <w:sz w:val="20"/>
                <w:szCs w:val="20"/>
              </w:rPr>
            </w:pPr>
            <w:r>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6B15F936" w14:textId="77777777" w:rsidR="00530780" w:rsidRDefault="00530780" w:rsidP="00A456D9">
            <w:pPr>
              <w:spacing w:line="240" w:lineRule="auto"/>
              <w:jc w:val="center"/>
            </w:pPr>
          </w:p>
        </w:tc>
      </w:tr>
    </w:tbl>
    <w:p w14:paraId="22DFF975" w14:textId="77777777" w:rsidR="00530780" w:rsidRDefault="00530780" w:rsidP="00530780">
      <w:pPr>
        <w:pStyle w:val="Zkladntext"/>
        <w:jc w:val="both"/>
        <w:rPr>
          <w:rFonts w:ascii="Times New Roman" w:hAnsi="Times New Roman" w:cs="Times New Roman"/>
          <w:b/>
          <w:bCs/>
          <w:u w:val="single"/>
        </w:rPr>
      </w:pPr>
      <w:r>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0571B0E9" w14:textId="77777777" w:rsidR="00530780" w:rsidRDefault="00530780" w:rsidP="00530780">
      <w:pPr>
        <w:pStyle w:val="Zkladntext"/>
        <w:jc w:val="both"/>
        <w:rPr>
          <w:rFonts w:ascii="Times New Roman" w:hAnsi="Times New Roman" w:cs="Times New Roman"/>
          <w:b/>
          <w:bCs/>
          <w:sz w:val="16"/>
          <w:szCs w:val="16"/>
        </w:rPr>
      </w:pPr>
    </w:p>
    <w:p w14:paraId="759C7EFB" w14:textId="77777777" w:rsidR="00530780" w:rsidRDefault="00530780" w:rsidP="00530780">
      <w:pPr>
        <w:pStyle w:val="Zkladntext"/>
        <w:jc w:val="both"/>
        <w:outlineLvl w:val="0"/>
        <w:rPr>
          <w:rFonts w:ascii="Times New Roman" w:hAnsi="Times New Roman" w:cs="Times New Roman"/>
          <w:b/>
          <w:bCs/>
        </w:rPr>
      </w:pPr>
      <w:r>
        <w:rPr>
          <w:rFonts w:ascii="Times New Roman" w:hAnsi="Times New Roman" w:cs="Times New Roman"/>
          <w:b/>
          <w:bCs/>
        </w:rPr>
        <w:t>A.3. Poznámky</w:t>
      </w:r>
    </w:p>
    <w:p w14:paraId="0FC06710" w14:textId="77777777" w:rsidR="00530780" w:rsidRDefault="00530780" w:rsidP="00530780">
      <w:r>
        <w:t xml:space="preserve">Bezpredmetné </w:t>
      </w:r>
    </w:p>
    <w:p w14:paraId="633E784C" w14:textId="77777777" w:rsidR="00530780" w:rsidRDefault="00530780" w:rsidP="00530780">
      <w:pPr>
        <w:pStyle w:val="Zkladntext"/>
        <w:jc w:val="both"/>
        <w:outlineLvl w:val="0"/>
        <w:rPr>
          <w:rFonts w:ascii="Times New Roman" w:hAnsi="Times New Roman" w:cs="Times New Roman"/>
          <w:b/>
          <w:bCs/>
        </w:rPr>
      </w:pPr>
      <w:r>
        <w:rPr>
          <w:rFonts w:ascii="Times New Roman" w:hAnsi="Times New Roman" w:cs="Times New Roman"/>
          <w:b/>
          <w:bCs/>
        </w:rPr>
        <w:t>A.4. Alternatívne riešenia</w:t>
      </w:r>
    </w:p>
    <w:p w14:paraId="6E99F13F" w14:textId="77777777" w:rsidR="00530780" w:rsidRDefault="00530780" w:rsidP="00530780">
      <w:pPr>
        <w:pStyle w:val="Zkladntext"/>
        <w:jc w:val="both"/>
        <w:rPr>
          <w:rFonts w:ascii="Times New Roman" w:hAnsi="Times New Roman" w:cs="Times New Roman"/>
        </w:rPr>
      </w:pPr>
      <w:r>
        <w:rPr>
          <w:rFonts w:ascii="Times New Roman" w:hAnsi="Times New Roman" w:cs="Times New Roman"/>
        </w:rPr>
        <w:t xml:space="preserve">Nepredkladajú sa. </w:t>
      </w:r>
    </w:p>
    <w:p w14:paraId="22C8DE79" w14:textId="77777777" w:rsidR="00530780" w:rsidRDefault="00530780" w:rsidP="00530780">
      <w:pPr>
        <w:pStyle w:val="Zkladntext2"/>
        <w:spacing w:line="240" w:lineRule="auto"/>
        <w:outlineLvl w:val="0"/>
        <w:rPr>
          <w:b/>
          <w:bCs/>
        </w:rPr>
      </w:pPr>
    </w:p>
    <w:p w14:paraId="0F0B80AE" w14:textId="77777777" w:rsidR="00530780" w:rsidRDefault="00530780" w:rsidP="00530780">
      <w:pPr>
        <w:pStyle w:val="Zkladntext2"/>
        <w:spacing w:line="240" w:lineRule="auto"/>
        <w:outlineLvl w:val="0"/>
        <w:rPr>
          <w:b/>
          <w:bCs/>
        </w:rPr>
      </w:pPr>
      <w:r>
        <w:rPr>
          <w:b/>
          <w:bCs/>
        </w:rPr>
        <w:t xml:space="preserve">A.5. </w:t>
      </w:r>
      <w:proofErr w:type="spellStart"/>
      <w:r>
        <w:rPr>
          <w:b/>
          <w:bCs/>
        </w:rPr>
        <w:t>Stanovisko</w:t>
      </w:r>
      <w:proofErr w:type="spellEnd"/>
      <w:r>
        <w:rPr>
          <w:b/>
          <w:bCs/>
        </w:rPr>
        <w:t xml:space="preserve"> </w:t>
      </w:r>
      <w:proofErr w:type="spellStart"/>
      <w:r>
        <w:rPr>
          <w:b/>
          <w:bCs/>
        </w:rPr>
        <w:t>gestorov</w:t>
      </w:r>
      <w:proofErr w:type="spellEnd"/>
      <w:r>
        <w:rPr>
          <w:b/>
          <w:bCs/>
        </w:rPr>
        <w:t xml:space="preserve"> </w:t>
      </w:r>
    </w:p>
    <w:p w14:paraId="5068D42D" w14:textId="1FB915A8" w:rsidR="00530780" w:rsidRPr="00FE67F3" w:rsidRDefault="00530780" w:rsidP="00A11E50">
      <w:pPr>
        <w:rPr>
          <w:rFonts w:eastAsia="Times New Roman"/>
          <w:color w:val="000000"/>
          <w:sz w:val="27"/>
          <w:szCs w:val="27"/>
          <w:lang w:eastAsia="sk-SK"/>
        </w:rPr>
      </w:pPr>
      <w:r>
        <w:t xml:space="preserve">Bezpredmetné </w:t>
      </w:r>
      <w:bookmarkStart w:id="0" w:name="_GoBack"/>
      <w:bookmarkEnd w:id="0"/>
    </w:p>
    <w:sectPr w:rsidR="00530780" w:rsidRPr="00FE67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0A4B" w14:textId="77777777" w:rsidR="00722F1F" w:rsidRDefault="00722F1F" w:rsidP="00ED5801">
      <w:pPr>
        <w:spacing w:after="0" w:line="240" w:lineRule="auto"/>
      </w:pPr>
      <w:r>
        <w:separator/>
      </w:r>
    </w:p>
  </w:endnote>
  <w:endnote w:type="continuationSeparator" w:id="0">
    <w:p w14:paraId="0F6308FC" w14:textId="77777777" w:rsidR="00722F1F" w:rsidRDefault="00722F1F"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AB37B" w14:textId="09F1DE33"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D6CDD" w14:textId="77777777" w:rsidR="00722F1F" w:rsidRDefault="00722F1F" w:rsidP="00ED5801">
      <w:pPr>
        <w:spacing w:after="0" w:line="240" w:lineRule="auto"/>
      </w:pPr>
      <w:r>
        <w:separator/>
      </w:r>
    </w:p>
  </w:footnote>
  <w:footnote w:type="continuationSeparator" w:id="0">
    <w:p w14:paraId="2D937C2F" w14:textId="77777777" w:rsidR="00722F1F" w:rsidRDefault="00722F1F"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03F0B29"/>
    <w:multiLevelType w:val="hybridMultilevel"/>
    <w:tmpl w:val="AB9CEBC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23F8F"/>
    <w:rsid w:val="00026D93"/>
    <w:rsid w:val="00033A39"/>
    <w:rsid w:val="00123E1C"/>
    <w:rsid w:val="00131D67"/>
    <w:rsid w:val="0014328A"/>
    <w:rsid w:val="001C0900"/>
    <w:rsid w:val="00231ADC"/>
    <w:rsid w:val="00257935"/>
    <w:rsid w:val="00281FD0"/>
    <w:rsid w:val="0035518C"/>
    <w:rsid w:val="003D3F62"/>
    <w:rsid w:val="0046189A"/>
    <w:rsid w:val="004A610C"/>
    <w:rsid w:val="00530780"/>
    <w:rsid w:val="00535239"/>
    <w:rsid w:val="006152ED"/>
    <w:rsid w:val="006610A6"/>
    <w:rsid w:val="006A241D"/>
    <w:rsid w:val="00722F1F"/>
    <w:rsid w:val="00723751"/>
    <w:rsid w:val="007C2047"/>
    <w:rsid w:val="007C57D2"/>
    <w:rsid w:val="00823F27"/>
    <w:rsid w:val="00866D6B"/>
    <w:rsid w:val="00950873"/>
    <w:rsid w:val="009A6D25"/>
    <w:rsid w:val="009B1DF3"/>
    <w:rsid w:val="00A11E50"/>
    <w:rsid w:val="00A14F72"/>
    <w:rsid w:val="00A32BAC"/>
    <w:rsid w:val="00AC121B"/>
    <w:rsid w:val="00AF708D"/>
    <w:rsid w:val="00BD27E1"/>
    <w:rsid w:val="00BF080D"/>
    <w:rsid w:val="00C06E3C"/>
    <w:rsid w:val="00C66C34"/>
    <w:rsid w:val="00D22433"/>
    <w:rsid w:val="00DB0D45"/>
    <w:rsid w:val="00DD220B"/>
    <w:rsid w:val="00DD7406"/>
    <w:rsid w:val="00DE24CC"/>
    <w:rsid w:val="00DE29FE"/>
    <w:rsid w:val="00E1724D"/>
    <w:rsid w:val="00EA0D9A"/>
    <w:rsid w:val="00ED5801"/>
    <w:rsid w:val="00EE72F2"/>
    <w:rsid w:val="00F747D0"/>
    <w:rsid w:val="00F90457"/>
    <w:rsid w:val="00FE6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docId w15:val="{CBA8D0CF-CB8B-4EC4-AD63-CA58C11D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Zvraznenie">
    <w:name w:val="Emphasis"/>
    <w:basedOn w:val="Predvolenpsmoodseku"/>
    <w:uiPriority w:val="20"/>
    <w:qFormat/>
    <w:rsid w:val="00231ADC"/>
    <w:rPr>
      <w:i/>
      <w:iCs/>
    </w:rPr>
  </w:style>
  <w:style w:type="paragraph" w:styleId="Zkladntext">
    <w:name w:val="Body Text"/>
    <w:basedOn w:val="Normlny"/>
    <w:link w:val="ZkladntextChar"/>
    <w:uiPriority w:val="99"/>
    <w:semiHidden/>
    <w:unhideWhenUsed/>
    <w:rsid w:val="00530780"/>
    <w:pPr>
      <w:spacing w:after="120" w:line="240" w:lineRule="auto"/>
    </w:pPr>
    <w:rPr>
      <w:rFonts w:ascii="Calibri" w:eastAsia="Calibri" w:hAnsi="Calibri" w:cs="Calibri"/>
      <w:lang w:eastAsia="sk-SK"/>
    </w:rPr>
  </w:style>
  <w:style w:type="character" w:customStyle="1" w:styleId="ZkladntextChar">
    <w:name w:val="Základný text Char"/>
    <w:basedOn w:val="Predvolenpsmoodseku"/>
    <w:link w:val="Zkladntext"/>
    <w:uiPriority w:val="99"/>
    <w:semiHidden/>
    <w:rsid w:val="00530780"/>
    <w:rPr>
      <w:rFonts w:ascii="Calibri" w:eastAsia="Calibri" w:hAnsi="Calibri" w:cs="Calibri"/>
      <w:lang w:eastAsia="sk-SK"/>
    </w:rPr>
  </w:style>
  <w:style w:type="paragraph" w:styleId="Zkladntext2">
    <w:name w:val="Body Text 2"/>
    <w:basedOn w:val="Normlny"/>
    <w:link w:val="Zkladntext2Char1"/>
    <w:uiPriority w:val="99"/>
    <w:semiHidden/>
    <w:unhideWhenUsed/>
    <w:rsid w:val="00530780"/>
    <w:pPr>
      <w:spacing w:after="120" w:line="480" w:lineRule="auto"/>
    </w:pPr>
    <w:rPr>
      <w:rFonts w:eastAsia="Calibri"/>
      <w:lang w:val="en-US" w:eastAsia="sk-SK"/>
    </w:rPr>
  </w:style>
  <w:style w:type="character" w:customStyle="1" w:styleId="Zkladntext2Char">
    <w:name w:val="Základný text 2 Char"/>
    <w:basedOn w:val="Predvolenpsmoodseku"/>
    <w:uiPriority w:val="99"/>
    <w:semiHidden/>
    <w:rsid w:val="00530780"/>
  </w:style>
  <w:style w:type="character" w:customStyle="1" w:styleId="Zkladntext2Char1">
    <w:name w:val="Základný text 2 Char1"/>
    <w:link w:val="Zkladntext2"/>
    <w:uiPriority w:val="99"/>
    <w:semiHidden/>
    <w:locked/>
    <w:rsid w:val="00530780"/>
    <w:rPr>
      <w:rFonts w:eastAsia="Calibri"/>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1799</Words>
  <Characters>10258</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admin</cp:lastModifiedBy>
  <cp:revision>5</cp:revision>
  <dcterms:created xsi:type="dcterms:W3CDTF">2021-05-28T11:33:00Z</dcterms:created>
  <dcterms:modified xsi:type="dcterms:W3CDTF">2021-05-28T11:39:00Z</dcterms:modified>
</cp:coreProperties>
</file>