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55" w:rsidRPr="000603AB" w:rsidRDefault="0045237E" w:rsidP="00E12AEE">
      <w:pPr>
        <w:spacing w:after="0" w:line="264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16E36">
        <w:rPr>
          <w:rFonts w:ascii="Times New Roman" w:hAnsi="Times New Roman"/>
          <w:b/>
          <w:sz w:val="28"/>
          <w:szCs w:val="28"/>
        </w:rPr>
        <w:t>DÔVODOVÁ SPRÁVA</w:t>
      </w:r>
    </w:p>
    <w:p w:rsidR="00843855" w:rsidRDefault="00843855" w:rsidP="00E12AEE">
      <w:pPr>
        <w:spacing w:line="264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5237E" w:rsidRPr="0045237E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7E">
        <w:rPr>
          <w:rFonts w:ascii="Times New Roman" w:hAnsi="Times New Roman" w:cs="Times New Roman"/>
          <w:b/>
          <w:sz w:val="24"/>
          <w:szCs w:val="24"/>
        </w:rPr>
        <w:t>A. Všeobecná časť</w:t>
      </w:r>
    </w:p>
    <w:p w:rsidR="0045237E" w:rsidRPr="0045237E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237E" w:rsidRPr="0045237E" w:rsidRDefault="0014728E" w:rsidP="00E12AEE">
      <w:pPr>
        <w:pStyle w:val="Normlnywebov"/>
        <w:spacing w:before="0" w:beforeAutospacing="0" w:after="0" w:afterAutospacing="0" w:line="264" w:lineRule="auto"/>
        <w:ind w:firstLine="708"/>
        <w:jc w:val="both"/>
      </w:pPr>
      <w:r>
        <w:t>Skupina poslancov predkladá návrh zákona</w:t>
      </w:r>
      <w:r w:rsidR="0045237E" w:rsidRPr="0045237E">
        <w:t>, ktorým sa mení a dopĺňa zákon č. 543/2002 Z. z. o ochrane prírody a krajiny v znení neskorších predpisov a</w:t>
      </w:r>
      <w:r>
        <w:t> ktorým sa menia dopĺňajú niektoré</w:t>
      </w:r>
      <w:r w:rsidR="003F6762">
        <w:t xml:space="preserve"> zákon</w:t>
      </w:r>
      <w:r>
        <w:t>y</w:t>
      </w:r>
      <w:r w:rsidR="003F6762">
        <w:t xml:space="preserve"> </w:t>
      </w:r>
      <w:r w:rsidR="0045237E" w:rsidRPr="0045237E">
        <w:t>(ďalej len „návrh zákona“) ako iniciatívny materiál</w:t>
      </w:r>
      <w:r w:rsidR="004C50C7">
        <w:t>.</w:t>
      </w:r>
    </w:p>
    <w:p w:rsidR="004C50C7" w:rsidRDefault="004C50C7" w:rsidP="00E12A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C6B" w:rsidRPr="00ED1C6B" w:rsidRDefault="0045237E" w:rsidP="00D37D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37E">
        <w:rPr>
          <w:rFonts w:ascii="Times New Roman" w:hAnsi="Times New Roman" w:cs="Times New Roman"/>
          <w:sz w:val="24"/>
          <w:szCs w:val="24"/>
        </w:rPr>
        <w:t>V návrhu zákona sa v súlade s Programovým vyhlásením vlády Slovenskej republiky na obdobie rokov 202</w:t>
      </w:r>
      <w:r w:rsidR="0009620F">
        <w:rPr>
          <w:rFonts w:ascii="Times New Roman" w:hAnsi="Times New Roman" w:cs="Times New Roman"/>
          <w:sz w:val="24"/>
          <w:szCs w:val="24"/>
        </w:rPr>
        <w:t>1</w:t>
      </w:r>
      <w:r w:rsidRPr="0045237E">
        <w:rPr>
          <w:rFonts w:ascii="Times New Roman" w:hAnsi="Times New Roman" w:cs="Times New Roman"/>
          <w:sz w:val="24"/>
          <w:szCs w:val="24"/>
        </w:rPr>
        <w:t xml:space="preserve"> – 2024, podľa ktorého sa zabezpečí jednotná správa chránených území pod Ministerstvom životného prostredia Slovenskej republiky, </w:t>
      </w:r>
      <w:r w:rsidR="004C50C7">
        <w:rPr>
          <w:rFonts w:ascii="Times New Roman" w:hAnsi="Times New Roman" w:cs="Times New Roman"/>
          <w:sz w:val="24"/>
          <w:szCs w:val="24"/>
        </w:rPr>
        <w:t>upravuje</w:t>
      </w:r>
      <w:r w:rsidRPr="0045237E">
        <w:rPr>
          <w:rFonts w:ascii="Times New Roman" w:hAnsi="Times New Roman" w:cs="Times New Roman"/>
          <w:sz w:val="24"/>
          <w:szCs w:val="24"/>
        </w:rPr>
        <w:t xml:space="preserve"> prevod správy pozemkov, ktoré sú vo vlastníctve štátu v národných parkoch</w:t>
      </w:r>
      <w:r w:rsidR="0014728E">
        <w:rPr>
          <w:rFonts w:ascii="Times New Roman" w:hAnsi="Times New Roman" w:cs="Times New Roman"/>
          <w:sz w:val="24"/>
          <w:szCs w:val="24"/>
        </w:rPr>
        <w:t xml:space="preserve"> </w:t>
      </w:r>
      <w:r w:rsidRPr="0045237E">
        <w:rPr>
          <w:rFonts w:ascii="Times New Roman" w:hAnsi="Times New Roman" w:cs="Times New Roman"/>
          <w:sz w:val="24"/>
          <w:szCs w:val="24"/>
        </w:rPr>
        <w:t>do správy organizácie ochrany prírody a krajiny</w:t>
      </w:r>
      <w:r w:rsidR="00AD5E17" w:rsidRPr="00ED1C6B">
        <w:rPr>
          <w:rFonts w:ascii="Times New Roman" w:hAnsi="Times New Roman" w:cs="Times New Roman"/>
          <w:sz w:val="24"/>
          <w:szCs w:val="24"/>
        </w:rPr>
        <w:t>.</w:t>
      </w:r>
      <w:r w:rsidR="00ED1C6B" w:rsidRPr="00ED1C6B">
        <w:rPr>
          <w:rFonts w:ascii="Times New Roman" w:hAnsi="Times New Roman" w:cs="Times New Roman"/>
          <w:sz w:val="24"/>
          <w:szCs w:val="24"/>
        </w:rPr>
        <w:t xml:space="preserve"> Splnenie tohto </w:t>
      </w:r>
      <w:r w:rsidR="00ED1C6B">
        <w:rPr>
          <w:rFonts w:ascii="Times New Roman" w:hAnsi="Times New Roman" w:cs="Times New Roman"/>
          <w:sz w:val="24"/>
          <w:szCs w:val="24"/>
        </w:rPr>
        <w:t xml:space="preserve">bodu Programového vyhlásenia vlády je </w:t>
      </w:r>
      <w:r w:rsidR="00ED1C6B" w:rsidRPr="00ED1C6B">
        <w:rPr>
          <w:rFonts w:ascii="Times New Roman" w:hAnsi="Times New Roman" w:cs="Times New Roman"/>
          <w:sz w:val="24"/>
          <w:szCs w:val="24"/>
        </w:rPr>
        <w:t>základný</w:t>
      </w:r>
      <w:r w:rsidR="00ED1C6B">
        <w:rPr>
          <w:rFonts w:ascii="Times New Roman" w:hAnsi="Times New Roman" w:cs="Times New Roman"/>
          <w:sz w:val="24"/>
          <w:szCs w:val="24"/>
        </w:rPr>
        <w:t>m</w:t>
      </w:r>
      <w:r w:rsidR="00ED1C6B" w:rsidRPr="00ED1C6B">
        <w:rPr>
          <w:rFonts w:ascii="Times New Roman" w:hAnsi="Times New Roman" w:cs="Times New Roman"/>
          <w:sz w:val="24"/>
          <w:szCs w:val="24"/>
        </w:rPr>
        <w:t xml:space="preserve"> a východiskový</w:t>
      </w:r>
      <w:r w:rsidR="00ED1C6B">
        <w:rPr>
          <w:rFonts w:ascii="Times New Roman" w:hAnsi="Times New Roman" w:cs="Times New Roman"/>
          <w:sz w:val="24"/>
          <w:szCs w:val="24"/>
        </w:rPr>
        <w:t>m</w:t>
      </w:r>
      <w:r w:rsidR="00ED1C6B" w:rsidRPr="00ED1C6B">
        <w:rPr>
          <w:rFonts w:ascii="Times New Roman" w:hAnsi="Times New Roman" w:cs="Times New Roman"/>
          <w:sz w:val="24"/>
          <w:szCs w:val="24"/>
        </w:rPr>
        <w:t xml:space="preserve"> </w:t>
      </w:r>
      <w:r w:rsidR="00ED1C6B">
        <w:rPr>
          <w:rFonts w:ascii="Times New Roman" w:hAnsi="Times New Roman" w:cs="Times New Roman"/>
          <w:sz w:val="24"/>
          <w:szCs w:val="24"/>
        </w:rPr>
        <w:t xml:space="preserve">krokom </w:t>
      </w:r>
      <w:r w:rsidR="00ED1C6B" w:rsidRPr="00ED1C6B">
        <w:rPr>
          <w:rFonts w:ascii="Times New Roman" w:hAnsi="Times New Roman" w:cs="Times New Roman"/>
          <w:sz w:val="24"/>
          <w:szCs w:val="24"/>
        </w:rPr>
        <w:t>pre naplnenie ďalších cieľov</w:t>
      </w:r>
      <w:r w:rsidR="00ED1C6B">
        <w:rPr>
          <w:rFonts w:ascii="Times New Roman" w:hAnsi="Times New Roman" w:cs="Times New Roman"/>
          <w:sz w:val="24"/>
          <w:szCs w:val="24"/>
        </w:rPr>
        <w:t xml:space="preserve"> v Programovom vyhlásení vlády Slovenskej republiky na obdobie 2021-2024 nie len </w:t>
      </w:r>
      <w:r w:rsidR="00ED1C6B" w:rsidRPr="00ED1C6B">
        <w:rPr>
          <w:rFonts w:ascii="Times New Roman" w:hAnsi="Times New Roman" w:cs="Times New Roman"/>
          <w:sz w:val="24"/>
          <w:szCs w:val="24"/>
        </w:rPr>
        <w:t xml:space="preserve">v oblasti ochrany prírody a biodiverzity ale aj vo vzťahu k naplneniu národných a medzinárodných záväzkov z hľadiska zmiernenia dopadov </w:t>
      </w:r>
      <w:r w:rsidR="00ED1C6B">
        <w:rPr>
          <w:rFonts w:ascii="Times New Roman" w:hAnsi="Times New Roman" w:cs="Times New Roman"/>
          <w:sz w:val="24"/>
          <w:szCs w:val="24"/>
        </w:rPr>
        <w:t>zmeny klímy.</w:t>
      </w:r>
      <w:r w:rsidR="00ED1C6B" w:rsidRPr="00ED1C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0C7" w:rsidRDefault="004C50C7" w:rsidP="004C5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2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Organizácia ochrany prírody by mala v chránených územiach zabezpečovať komplexnú a integrovanú ochranu prírody. Toto poslanie bude možné len vtedy, ak bude v chránených územiach spravovať a užívať štátne pozemky a súčasne zabezpečovať ochranu prírody na národnej a medzinárodnej úrovni. </w:t>
      </w:r>
      <w:r w:rsidRPr="0045237E">
        <w:rPr>
          <w:rFonts w:ascii="Times New Roman" w:hAnsi="Times New Roman" w:cs="Times New Roman"/>
          <w:sz w:val="24"/>
          <w:szCs w:val="24"/>
          <w:lang w:eastAsia="sk-SK"/>
        </w:rPr>
        <w:t>Najdôležitejším faktorom, prečo princípy ochrany prírody na Slovensku nie je možné dostatočne uplatňovať obdobne ako v okolitých štátoch Európskej únie, čo sa prejavuje predovšetkým v národných parkoch, je nefunkčný model správy týchto území. Zásadným nedostatkom je, že organizácia ochrany prírody a krajiny, ktorá bola štátom zriadená za účelom zabezpečovania starostlivosti o osobitne chránené časti prírody a krajiny, na Slovensku priamo nespravuje pozemky v týchto územiach. Pre štát nie je neefektívne, ak sa o územie v národnom parku starajú dve štátne organizácie. Zákonite z</w:t>
      </w:r>
      <w:r w:rsidR="0059043D">
        <w:rPr>
          <w:rFonts w:ascii="Times New Roman" w:hAnsi="Times New Roman" w:cs="Times New Roman"/>
          <w:sz w:val="24"/>
          <w:szCs w:val="24"/>
          <w:lang w:eastAsia="sk-SK"/>
        </w:rPr>
        <w:t xml:space="preserve"> hľadiska </w:t>
      </w:r>
      <w:r w:rsidR="0059043D" w:rsidRPr="0045237E">
        <w:rPr>
          <w:rFonts w:ascii="Times New Roman" w:hAnsi="Times New Roman" w:cs="Times New Roman"/>
          <w:sz w:val="24"/>
          <w:szCs w:val="24"/>
          <w:lang w:eastAsia="sk-SK"/>
        </w:rPr>
        <w:t>často protichodn</w:t>
      </w:r>
      <w:r w:rsidR="0059043D">
        <w:rPr>
          <w:rFonts w:ascii="Times New Roman" w:hAnsi="Times New Roman" w:cs="Times New Roman"/>
          <w:sz w:val="24"/>
          <w:szCs w:val="24"/>
          <w:lang w:eastAsia="sk-SK"/>
        </w:rPr>
        <w:t xml:space="preserve">ého účelu, </w:t>
      </w:r>
      <w:r w:rsidRPr="0045237E">
        <w:rPr>
          <w:rFonts w:ascii="Times New Roman" w:hAnsi="Times New Roman" w:cs="Times New Roman"/>
          <w:sz w:val="24"/>
          <w:szCs w:val="24"/>
          <w:lang w:eastAsia="sk-SK"/>
        </w:rPr>
        <w:t xml:space="preserve">funkcie a určenia </w:t>
      </w:r>
      <w:r w:rsidR="0059043D">
        <w:rPr>
          <w:rFonts w:ascii="Times New Roman" w:hAnsi="Times New Roman" w:cs="Times New Roman"/>
          <w:sz w:val="24"/>
          <w:szCs w:val="24"/>
          <w:lang w:eastAsia="sk-SK"/>
        </w:rPr>
        <w:t xml:space="preserve">týchto štátnych </w:t>
      </w:r>
      <w:r w:rsidRPr="0045237E">
        <w:rPr>
          <w:rFonts w:ascii="Times New Roman" w:hAnsi="Times New Roman" w:cs="Times New Roman"/>
          <w:sz w:val="24"/>
          <w:szCs w:val="24"/>
          <w:lang w:eastAsia="sk-SK"/>
        </w:rPr>
        <w:t>organizácií v území národných parkoch</w:t>
      </w:r>
      <w:r w:rsidR="0059043D">
        <w:rPr>
          <w:rFonts w:ascii="Times New Roman" w:hAnsi="Times New Roman" w:cs="Times New Roman"/>
          <w:sz w:val="24"/>
          <w:szCs w:val="24"/>
          <w:lang w:eastAsia="sk-SK"/>
        </w:rPr>
        <w:t xml:space="preserve"> zriadených dvoma ústrednými orgánmi štátnej správy, </w:t>
      </w:r>
      <w:r w:rsidR="00833FF2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45237E">
        <w:rPr>
          <w:rFonts w:ascii="Times New Roman" w:hAnsi="Times New Roman" w:cs="Times New Roman"/>
          <w:sz w:val="24"/>
          <w:szCs w:val="24"/>
          <w:lang w:eastAsia="sk-SK"/>
        </w:rPr>
        <w:t xml:space="preserve">lynú </w:t>
      </w:r>
      <w:r w:rsidR="0059043D">
        <w:rPr>
          <w:rFonts w:ascii="Times New Roman" w:hAnsi="Times New Roman" w:cs="Times New Roman"/>
          <w:sz w:val="24"/>
          <w:szCs w:val="24"/>
          <w:lang w:eastAsia="sk-SK"/>
        </w:rPr>
        <w:t xml:space="preserve">zásadné </w:t>
      </w:r>
      <w:r w:rsidRPr="0045237E">
        <w:rPr>
          <w:rFonts w:ascii="Times New Roman" w:hAnsi="Times New Roman" w:cs="Times New Roman"/>
          <w:sz w:val="24"/>
          <w:szCs w:val="24"/>
          <w:lang w:eastAsia="sk-SK"/>
        </w:rPr>
        <w:t xml:space="preserve">konflikty, pričom ochrana prírody spravidla </w:t>
      </w:r>
      <w:r w:rsidR="0059043D">
        <w:rPr>
          <w:rFonts w:ascii="Times New Roman" w:hAnsi="Times New Roman" w:cs="Times New Roman"/>
          <w:sz w:val="24"/>
          <w:szCs w:val="24"/>
          <w:lang w:eastAsia="sk-SK"/>
        </w:rPr>
        <w:t>ustupuje</w:t>
      </w:r>
      <w:r w:rsidRPr="0045237E">
        <w:rPr>
          <w:rFonts w:ascii="Times New Roman" w:hAnsi="Times New Roman" w:cs="Times New Roman"/>
          <w:sz w:val="24"/>
          <w:szCs w:val="24"/>
          <w:lang w:eastAsia="sk-SK"/>
        </w:rPr>
        <w:t xml:space="preserve"> iným záujmom.</w:t>
      </w:r>
      <w:r w:rsidRPr="004C50C7">
        <w:rPr>
          <w:rFonts w:ascii="Times New Roman" w:hAnsi="Times New Roman" w:cs="Times New Roman"/>
          <w:sz w:val="24"/>
          <w:szCs w:val="24"/>
        </w:rPr>
        <w:t xml:space="preserve"> </w:t>
      </w:r>
      <w:r w:rsidRPr="0045237E">
        <w:rPr>
          <w:rFonts w:ascii="Times New Roman" w:hAnsi="Times New Roman" w:cs="Times New Roman"/>
          <w:sz w:val="24"/>
          <w:szCs w:val="24"/>
        </w:rPr>
        <w:t>Prevod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45237E">
        <w:rPr>
          <w:rFonts w:ascii="Times New Roman" w:hAnsi="Times New Roman" w:cs="Times New Roman"/>
          <w:sz w:val="24"/>
          <w:szCs w:val="24"/>
        </w:rPr>
        <w:t xml:space="preserve"> správy štátnych pozemkov</w:t>
      </w:r>
      <w:r>
        <w:rPr>
          <w:rFonts w:ascii="Times New Roman" w:hAnsi="Times New Roman" w:cs="Times New Roman"/>
          <w:sz w:val="24"/>
          <w:szCs w:val="24"/>
        </w:rPr>
        <w:t xml:space="preserve"> na organizáciu ochrany prírody sa vytvoria podmienky pre náležité a</w:t>
      </w:r>
      <w:r w:rsidR="0084345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efektívne</w:t>
      </w:r>
      <w:r w:rsidR="0084345C">
        <w:rPr>
          <w:rFonts w:ascii="Times New Roman" w:hAnsi="Times New Roman" w:cs="Times New Roman"/>
          <w:sz w:val="24"/>
          <w:szCs w:val="24"/>
        </w:rPr>
        <w:t xml:space="preserve"> zabezpečenie primárneho účelu národných parkov – ochrany prírody a biodiverzity ako aj pre </w:t>
      </w:r>
      <w:r>
        <w:rPr>
          <w:rFonts w:ascii="Times New Roman" w:hAnsi="Times New Roman" w:cs="Times New Roman"/>
          <w:sz w:val="24"/>
          <w:szCs w:val="24"/>
        </w:rPr>
        <w:t>plnenie záväzkov vyplývajúcich zo smerníc Európskej únie v oblasti ochrany prírody</w:t>
      </w:r>
      <w:r w:rsidRPr="0045237E">
        <w:rPr>
          <w:rFonts w:ascii="Times New Roman" w:hAnsi="Times New Roman" w:cs="Times New Roman"/>
          <w:sz w:val="24"/>
          <w:szCs w:val="24"/>
        </w:rPr>
        <w:t>.</w:t>
      </w:r>
      <w:r w:rsidRPr="00864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37E" w:rsidRPr="0045237E" w:rsidRDefault="0045237E" w:rsidP="00E12AEE">
      <w:pPr>
        <w:pStyle w:val="Normlnywebov"/>
        <w:spacing w:before="0" w:beforeAutospacing="0" w:after="0" w:afterAutospacing="0" w:line="264" w:lineRule="auto"/>
        <w:ind w:firstLine="708"/>
        <w:jc w:val="both"/>
      </w:pPr>
    </w:p>
    <w:p w:rsidR="0045237E" w:rsidRPr="0045237E" w:rsidRDefault="0045237E" w:rsidP="00E12AEE">
      <w:pPr>
        <w:pStyle w:val="Normlnywebov"/>
        <w:spacing w:before="0" w:beforeAutospacing="0" w:after="0" w:afterAutospacing="0" w:line="264" w:lineRule="auto"/>
        <w:ind w:firstLine="709"/>
        <w:jc w:val="both"/>
      </w:pPr>
      <w:r w:rsidRPr="0045237E">
        <w:t xml:space="preserve">Predkladaný návrh zákona má pozitívne vplyvy na životné prostredie, pozitívne a negatívne vplyvy na rozpočet verejnej správy. Návrh zákona nemá </w:t>
      </w:r>
      <w:r w:rsidR="00AD5E17">
        <w:t xml:space="preserve">vplyvy na podnikateľské prostredie, </w:t>
      </w:r>
      <w:r w:rsidRPr="0045237E">
        <w:t>sociálne vplyvy</w:t>
      </w:r>
      <w:r w:rsidR="00527C0D">
        <w:t>,</w:t>
      </w:r>
      <w:r w:rsidR="00527C0D" w:rsidRPr="00527C0D">
        <w:t xml:space="preserve"> </w:t>
      </w:r>
      <w:r w:rsidR="00527C0D">
        <w:t xml:space="preserve">vplyvy </w:t>
      </w:r>
      <w:r w:rsidR="00527C0D" w:rsidRPr="0045237E">
        <w:t>na služby verejnej správy pre občana</w:t>
      </w:r>
      <w:r w:rsidRPr="0045237E">
        <w:t xml:space="preserve"> a vplyvy na informatizáciu spoločnosti.</w:t>
      </w:r>
    </w:p>
    <w:p w:rsidR="0045237E" w:rsidRPr="0045237E" w:rsidRDefault="0045237E" w:rsidP="00E12AEE">
      <w:pPr>
        <w:pStyle w:val="Normlnywebov"/>
        <w:spacing w:before="0" w:beforeAutospacing="0" w:after="0" w:afterAutospacing="0" w:line="264" w:lineRule="auto"/>
        <w:ind w:firstLine="709"/>
        <w:jc w:val="both"/>
      </w:pPr>
    </w:p>
    <w:p w:rsidR="00403A65" w:rsidRPr="0045237E" w:rsidRDefault="0045237E" w:rsidP="00E12AEE">
      <w:pPr>
        <w:spacing w:after="0" w:line="264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37E">
        <w:rPr>
          <w:rFonts w:ascii="Times New Roman" w:hAnsi="Times New Roman" w:cs="Times New Roman"/>
          <w:sz w:val="24"/>
          <w:szCs w:val="24"/>
        </w:rPr>
        <w:t>Predkladaný návrh zákona je v súlade s Ústavou Slovenskej republiky, ústavným zákonmi, medzinárodnými zmluvami a inými medzinárodnými dokumentami, ktorými je Slovenská republika viazaná a súčasne je v súlade s právom Európskej únie.</w:t>
      </w:r>
    </w:p>
    <w:p w:rsidR="0045237E" w:rsidRDefault="0045237E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6437" w:rsidRDefault="00E46437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6437" w:rsidRDefault="00E46437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FF2" w:rsidRDefault="00833FF2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237E" w:rsidRPr="0045237E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7E">
        <w:rPr>
          <w:rFonts w:ascii="Times New Roman" w:hAnsi="Times New Roman" w:cs="Times New Roman"/>
          <w:b/>
          <w:sz w:val="24"/>
          <w:szCs w:val="24"/>
        </w:rPr>
        <w:t>B. Osobitná časť</w:t>
      </w:r>
    </w:p>
    <w:p w:rsidR="0045237E" w:rsidRPr="0045237E" w:rsidRDefault="0045237E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237E" w:rsidRPr="0045237E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7E">
        <w:rPr>
          <w:rFonts w:ascii="Times New Roman" w:hAnsi="Times New Roman" w:cs="Times New Roman"/>
          <w:b/>
          <w:sz w:val="24"/>
          <w:szCs w:val="24"/>
        </w:rPr>
        <w:t xml:space="preserve">K čl. I </w:t>
      </w:r>
    </w:p>
    <w:p w:rsidR="0045237E" w:rsidRPr="0045237E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37E" w:rsidRPr="00A91B34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B34">
        <w:rPr>
          <w:rFonts w:ascii="Times New Roman" w:hAnsi="Times New Roman" w:cs="Times New Roman"/>
          <w:b/>
          <w:sz w:val="24"/>
          <w:szCs w:val="24"/>
        </w:rPr>
        <w:t>K bodu 1</w:t>
      </w:r>
    </w:p>
    <w:p w:rsidR="00E46437" w:rsidRDefault="00E46437" w:rsidP="00E12AE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237E" w:rsidRPr="0045237E" w:rsidRDefault="00E56F6A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Spresňuje</w:t>
      </w:r>
      <w:r w:rsidR="00AD5E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ustanovenie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upravujúce pôsobnosť Štátnej ochrany prírody Slovenskej republiky v nadväznosti na prevod pozemkov v národných parkoch do jej správy. </w:t>
      </w:r>
    </w:p>
    <w:p w:rsidR="0045237E" w:rsidRPr="0045237E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37E" w:rsidRPr="0045237E" w:rsidRDefault="0045237E" w:rsidP="00E12AEE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7E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E46437">
        <w:rPr>
          <w:rFonts w:ascii="Times New Roman" w:hAnsi="Times New Roman" w:cs="Times New Roman"/>
          <w:b/>
          <w:sz w:val="24"/>
          <w:szCs w:val="24"/>
        </w:rPr>
        <w:t>2</w:t>
      </w:r>
    </w:p>
    <w:p w:rsidR="00106181" w:rsidRDefault="00106181" w:rsidP="00E12AE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7D1B" w:rsidRDefault="00E46437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20B12">
        <w:rPr>
          <w:rFonts w:ascii="Times New Roman" w:hAnsi="Times New Roman" w:cs="Times New Roman"/>
          <w:sz w:val="24"/>
          <w:szCs w:val="24"/>
        </w:rPr>
        <w:t xml:space="preserve"> návrhu zákona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320B12">
        <w:rPr>
          <w:rFonts w:ascii="Times New Roman" w:hAnsi="Times New Roman" w:cs="Times New Roman"/>
          <w:sz w:val="24"/>
          <w:szCs w:val="24"/>
        </w:rPr>
        <w:t xml:space="preserve">upravuje </w:t>
      </w:r>
      <w:r w:rsidR="00320B12" w:rsidRPr="0045237E">
        <w:rPr>
          <w:rFonts w:ascii="Times New Roman" w:hAnsi="Times New Roman" w:cs="Times New Roman"/>
          <w:sz w:val="24"/>
          <w:szCs w:val="24"/>
        </w:rPr>
        <w:t>prevod správy pozemkov, ktoré sú vo vlastníctve štátu v národných parkoch</w:t>
      </w:r>
      <w:r w:rsidR="00894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Štátnu ochrany prírody Slovenskej republiky.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Osobitný postup sa týka pozemkov, ktoré sú v súčasnosti v správe príspevkovej organizácie </w:t>
      </w:r>
      <w:r w:rsidRPr="007E0F23">
        <w:rPr>
          <w:rFonts w:ascii="Times New Roman" w:hAnsi="Times New Roman" w:cs="Times New Roman"/>
          <w:sz w:val="24"/>
          <w:szCs w:val="24"/>
        </w:rPr>
        <w:t>Štátne lesy Tatranského národného parku a</w:t>
      </w:r>
      <w:r>
        <w:rPr>
          <w:rFonts w:ascii="Times New Roman" w:hAnsi="Times New Roman" w:cs="Times New Roman"/>
          <w:sz w:val="24"/>
          <w:szCs w:val="24"/>
        </w:rPr>
        <w:t xml:space="preserve"> štátneho podniku </w:t>
      </w:r>
      <w:proofErr w:type="spellStart"/>
      <w:r w:rsidRPr="007E0F23">
        <w:rPr>
          <w:rFonts w:ascii="Times New Roman" w:hAnsi="Times New Roman" w:cs="Times New Roman"/>
          <w:sz w:val="24"/>
          <w:szCs w:val="24"/>
        </w:rPr>
        <w:t>Lesopoľnohospodársky</w:t>
      </w:r>
      <w:proofErr w:type="spellEnd"/>
      <w:r w:rsidRPr="007E0F23">
        <w:rPr>
          <w:rFonts w:ascii="Times New Roman" w:hAnsi="Times New Roman" w:cs="Times New Roman"/>
          <w:sz w:val="24"/>
          <w:szCs w:val="24"/>
        </w:rPr>
        <w:t xml:space="preserve"> majetok Ulič</w:t>
      </w:r>
      <w:r>
        <w:rPr>
          <w:rFonts w:ascii="Times New Roman" w:hAnsi="Times New Roman" w:cs="Times New Roman"/>
          <w:sz w:val="24"/>
          <w:szCs w:val="24"/>
        </w:rPr>
        <w:t>, ktoré prejdú pod Ministerstvo životného prostredia Slovenskej republiky na základe zmeny ich zriaďovateľa, resp. zakladateľa. V prípade štátneho podniku Lesy Slo</w:t>
      </w:r>
      <w:r w:rsidR="00D37D1B">
        <w:rPr>
          <w:rFonts w:ascii="Times New Roman" w:hAnsi="Times New Roman" w:cs="Times New Roman"/>
          <w:sz w:val="24"/>
          <w:szCs w:val="24"/>
        </w:rPr>
        <w:t>venskej republiky prechod práv a povinností súvisiacich so správou</w:t>
      </w:r>
      <w:r w:rsidR="00D37D1B" w:rsidRPr="0045237E">
        <w:rPr>
          <w:rFonts w:ascii="Times New Roman" w:hAnsi="Times New Roman" w:cs="Times New Roman"/>
          <w:sz w:val="24"/>
          <w:szCs w:val="24"/>
        </w:rPr>
        <w:t xml:space="preserve"> pozemkov, ktoré sú vo vlastníctve štátu v národných parkoch</w:t>
      </w:r>
      <w:r w:rsidR="00D37D1B">
        <w:rPr>
          <w:rFonts w:ascii="Times New Roman" w:hAnsi="Times New Roman" w:cs="Times New Roman"/>
          <w:sz w:val="24"/>
          <w:szCs w:val="24"/>
        </w:rPr>
        <w:t xml:space="preserve"> na Štátnu ochrany prírody Slovenskej republiky upraví dohoda uzavretá medzi Ministerstvom pôdohospodárstva a rozvoja vidieka Slovenskej republiky a Ministerstvom životného prostredia Slovenskej republiky. </w:t>
      </w:r>
    </w:p>
    <w:p w:rsidR="004A6B9A" w:rsidRPr="004A6B9A" w:rsidRDefault="004A6B9A" w:rsidP="00E12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963" w:rsidRDefault="006B0963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963"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6B0963" w:rsidRDefault="006B0963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445" w:rsidRPr="004E5445" w:rsidRDefault="004E5445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Navrhovaná úprava v zákone č. 326/2005 Z. z. o lesoch v znení neskorších predpisov </w:t>
      </w:r>
      <w:r w:rsidR="0043513E">
        <w:rPr>
          <w:rFonts w:ascii="Times New Roman" w:hAnsi="Times New Roman" w:cs="Times New Roman"/>
          <w:sz w:val="24"/>
          <w:szCs w:val="24"/>
        </w:rPr>
        <w:t>reflektuje zmeny týkajúce sa prechodu správy lesného majetku štátu na území národných parkov na organizácie v zakladateľskej a zriaďovateľskej pôsobnosti Ministerstva životného prostredia Slovenskej republiky.</w:t>
      </w:r>
    </w:p>
    <w:p w:rsidR="00F104E0" w:rsidRDefault="00864954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04E0" w:rsidRDefault="00F104E0" w:rsidP="00F104E0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7E">
        <w:rPr>
          <w:rFonts w:ascii="Times New Roman" w:hAnsi="Times New Roman" w:cs="Times New Roman"/>
          <w:b/>
          <w:sz w:val="24"/>
          <w:szCs w:val="24"/>
        </w:rPr>
        <w:t xml:space="preserve">K čl. </w:t>
      </w:r>
      <w:r w:rsidR="00D37D1B">
        <w:rPr>
          <w:rFonts w:ascii="Times New Roman" w:hAnsi="Times New Roman" w:cs="Times New Roman"/>
          <w:b/>
          <w:sz w:val="24"/>
          <w:szCs w:val="24"/>
        </w:rPr>
        <w:t>III</w:t>
      </w:r>
    </w:p>
    <w:p w:rsidR="00D37D1B" w:rsidRPr="0045237E" w:rsidRDefault="00D37D1B" w:rsidP="00F104E0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4E0" w:rsidRPr="0045237E" w:rsidRDefault="00F104E0" w:rsidP="00F104E0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37E">
        <w:rPr>
          <w:rFonts w:ascii="Times New Roman" w:hAnsi="Times New Roman" w:cs="Times New Roman"/>
          <w:sz w:val="24"/>
          <w:szCs w:val="24"/>
        </w:rPr>
        <w:t>Navrhuje sa účinno</w:t>
      </w:r>
      <w:r>
        <w:rPr>
          <w:rFonts w:ascii="Times New Roman" w:hAnsi="Times New Roman" w:cs="Times New Roman"/>
          <w:sz w:val="24"/>
          <w:szCs w:val="24"/>
        </w:rPr>
        <w:t xml:space="preserve">sť návrhu zákona od </w:t>
      </w:r>
      <w:r w:rsidR="00427957">
        <w:rPr>
          <w:rFonts w:ascii="Times New Roman" w:hAnsi="Times New Roman" w:cs="Times New Roman"/>
          <w:sz w:val="24"/>
          <w:szCs w:val="24"/>
        </w:rPr>
        <w:t xml:space="preserve">1. </w:t>
      </w:r>
      <w:r w:rsidR="00E704E1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37D1B">
        <w:rPr>
          <w:rFonts w:ascii="Times New Roman" w:hAnsi="Times New Roman" w:cs="Times New Roman"/>
          <w:sz w:val="24"/>
          <w:szCs w:val="24"/>
        </w:rPr>
        <w:t>1</w:t>
      </w:r>
      <w:r w:rsidRPr="0045237E">
        <w:rPr>
          <w:rFonts w:ascii="Times New Roman" w:hAnsi="Times New Roman" w:cs="Times New Roman"/>
          <w:sz w:val="24"/>
          <w:szCs w:val="24"/>
        </w:rPr>
        <w:t xml:space="preserve"> z dôvodu potrebnej </w:t>
      </w:r>
      <w:proofErr w:type="spellStart"/>
      <w:r w:rsidRPr="0045237E">
        <w:rPr>
          <w:rFonts w:ascii="Times New Roman" w:hAnsi="Times New Roman" w:cs="Times New Roman"/>
          <w:sz w:val="24"/>
          <w:szCs w:val="24"/>
        </w:rPr>
        <w:t>legisvakačnej</w:t>
      </w:r>
      <w:proofErr w:type="spellEnd"/>
      <w:r w:rsidRPr="0045237E">
        <w:rPr>
          <w:rFonts w:ascii="Times New Roman" w:hAnsi="Times New Roman" w:cs="Times New Roman"/>
          <w:sz w:val="24"/>
          <w:szCs w:val="24"/>
        </w:rPr>
        <w:t xml:space="preserve"> lehoty.</w:t>
      </w:r>
    </w:p>
    <w:p w:rsidR="00F104E0" w:rsidRDefault="00F104E0" w:rsidP="00F104E0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0360" w:rsidRDefault="00260360" w:rsidP="00260360">
      <w:pPr>
        <w:jc w:val="center"/>
        <w:rPr>
          <w:b/>
          <w:caps/>
          <w:spacing w:val="30"/>
        </w:rPr>
      </w:pPr>
    </w:p>
    <w:p w:rsidR="00260360" w:rsidRDefault="00260360" w:rsidP="00260360">
      <w:pPr>
        <w:jc w:val="center"/>
        <w:rPr>
          <w:b/>
          <w:caps/>
          <w:spacing w:val="30"/>
        </w:rPr>
      </w:pPr>
    </w:p>
    <w:p w:rsidR="00260360" w:rsidRDefault="00260360" w:rsidP="00260360">
      <w:pPr>
        <w:jc w:val="center"/>
        <w:rPr>
          <w:b/>
          <w:caps/>
          <w:spacing w:val="30"/>
        </w:rPr>
      </w:pPr>
    </w:p>
    <w:p w:rsidR="00260360" w:rsidRDefault="00260360" w:rsidP="00260360">
      <w:pPr>
        <w:jc w:val="center"/>
        <w:rPr>
          <w:b/>
          <w:caps/>
          <w:spacing w:val="30"/>
        </w:rPr>
      </w:pPr>
    </w:p>
    <w:p w:rsidR="00260360" w:rsidRDefault="00260360" w:rsidP="00260360">
      <w:pPr>
        <w:jc w:val="center"/>
        <w:rPr>
          <w:b/>
          <w:caps/>
          <w:spacing w:val="30"/>
        </w:rPr>
      </w:pPr>
    </w:p>
    <w:p w:rsidR="00260360" w:rsidRDefault="00260360" w:rsidP="00260360">
      <w:pPr>
        <w:jc w:val="center"/>
        <w:rPr>
          <w:b/>
          <w:caps/>
          <w:spacing w:val="30"/>
        </w:rPr>
      </w:pPr>
    </w:p>
    <w:p w:rsidR="00260360" w:rsidRDefault="00260360" w:rsidP="00260360">
      <w:pPr>
        <w:jc w:val="center"/>
        <w:rPr>
          <w:b/>
          <w:caps/>
          <w:spacing w:val="30"/>
        </w:rPr>
      </w:pPr>
    </w:p>
    <w:p w:rsidR="00260360" w:rsidRPr="00260360" w:rsidRDefault="00260360" w:rsidP="00260360">
      <w:pPr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260360">
        <w:rPr>
          <w:rFonts w:ascii="Times New Roman" w:hAnsi="Times New Roman" w:cs="Times New Roman"/>
          <w:b/>
          <w:caps/>
          <w:spacing w:val="30"/>
          <w:sz w:val="24"/>
          <w:szCs w:val="24"/>
        </w:rPr>
        <w:lastRenderedPageBreak/>
        <w:t>Doložka zlučiteľnosti</w:t>
      </w:r>
    </w:p>
    <w:p w:rsidR="00260360" w:rsidRPr="00260360" w:rsidRDefault="00260360" w:rsidP="002603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360">
        <w:rPr>
          <w:rFonts w:ascii="Times New Roman" w:hAnsi="Times New Roman" w:cs="Times New Roman"/>
          <w:b/>
          <w:sz w:val="24"/>
          <w:szCs w:val="24"/>
        </w:rPr>
        <w:t>návrhu zákona s právom Európskej únie</w:t>
      </w:r>
    </w:p>
    <w:p w:rsidR="00260360" w:rsidRPr="00260360" w:rsidRDefault="00260360" w:rsidP="002603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360" w:rsidRPr="00260360" w:rsidRDefault="00260360" w:rsidP="002603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260360" w:rsidRPr="00260360" w:rsidTr="00A456D9">
        <w:tc>
          <w:tcPr>
            <w:tcW w:w="404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26036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27" w:type="dxa"/>
          </w:tcPr>
          <w:p w:rsidR="00260360" w:rsidRPr="00260360" w:rsidRDefault="00260360" w:rsidP="00C62EE2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60360">
              <w:rPr>
                <w:b/>
                <w:sz w:val="24"/>
                <w:szCs w:val="24"/>
              </w:rPr>
              <w:t xml:space="preserve">Navrhovateľ zákona: </w:t>
            </w:r>
            <w:r w:rsidR="00C62EE2" w:rsidRPr="00C62EE2">
              <w:rPr>
                <w:sz w:val="24"/>
                <w:szCs w:val="24"/>
              </w:rPr>
              <w:t>Skupina p</w:t>
            </w:r>
            <w:r w:rsidRPr="00C62EE2">
              <w:rPr>
                <w:sz w:val="24"/>
                <w:szCs w:val="24"/>
              </w:rPr>
              <w:t>oslanc</w:t>
            </w:r>
            <w:r w:rsidR="00C62EE2">
              <w:rPr>
                <w:sz w:val="24"/>
                <w:szCs w:val="24"/>
              </w:rPr>
              <w:t>ov</w:t>
            </w:r>
            <w:bookmarkStart w:id="0" w:name="_GoBack"/>
            <w:bookmarkEnd w:id="0"/>
            <w:r w:rsidRPr="00260360">
              <w:rPr>
                <w:sz w:val="24"/>
                <w:szCs w:val="24"/>
              </w:rPr>
              <w:t xml:space="preserve"> Národnej rady</w:t>
            </w:r>
            <w:r w:rsidRPr="00260360">
              <w:rPr>
                <w:sz w:val="24"/>
                <w:szCs w:val="24"/>
              </w:rPr>
              <w:fldChar w:fldCharType="begin"/>
            </w:r>
            <w:r w:rsidRPr="00260360">
              <w:rPr>
                <w:sz w:val="24"/>
                <w:szCs w:val="24"/>
              </w:rPr>
              <w:instrText xml:space="preserve"> DOCPROPERTY  FSC#SKEDITIONSLOVLEX@103.510:zodpinstitucia  \* MERGEFORMAT </w:instrText>
            </w:r>
            <w:r w:rsidRPr="00260360">
              <w:rPr>
                <w:sz w:val="24"/>
                <w:szCs w:val="24"/>
              </w:rPr>
              <w:fldChar w:fldCharType="separate"/>
            </w:r>
            <w:r w:rsidRPr="00260360">
              <w:rPr>
                <w:sz w:val="24"/>
                <w:szCs w:val="24"/>
              </w:rPr>
              <w:t xml:space="preserve"> Slovenskej republiky</w:t>
            </w:r>
            <w:r w:rsidRPr="00260360">
              <w:rPr>
                <w:sz w:val="24"/>
                <w:szCs w:val="24"/>
              </w:rPr>
              <w:fldChar w:fldCharType="end"/>
            </w:r>
          </w:p>
        </w:tc>
      </w:tr>
      <w:tr w:rsidR="00260360" w:rsidRPr="00260360" w:rsidTr="00A456D9">
        <w:tc>
          <w:tcPr>
            <w:tcW w:w="404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9627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  <w:tr w:rsidR="00260360" w:rsidRPr="00260360" w:rsidTr="00A456D9">
        <w:tc>
          <w:tcPr>
            <w:tcW w:w="404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26036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27" w:type="dxa"/>
          </w:tcPr>
          <w:p w:rsidR="00260360" w:rsidRPr="00260360" w:rsidRDefault="00260360" w:rsidP="00A456D9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260360">
              <w:rPr>
                <w:b/>
                <w:sz w:val="24"/>
                <w:szCs w:val="24"/>
              </w:rPr>
              <w:t>Názov návrhu zákona:</w:t>
            </w:r>
            <w:r w:rsidRPr="00260360">
              <w:rPr>
                <w:sz w:val="24"/>
                <w:szCs w:val="24"/>
              </w:rPr>
              <w:t xml:space="preserve"> </w:t>
            </w:r>
            <w:r w:rsidRPr="00260360">
              <w:rPr>
                <w:sz w:val="24"/>
                <w:szCs w:val="24"/>
              </w:rPr>
              <w:fldChar w:fldCharType="begin"/>
            </w:r>
            <w:r w:rsidRPr="00260360">
              <w:rPr>
                <w:sz w:val="24"/>
                <w:szCs w:val="24"/>
              </w:rPr>
              <w:instrText xml:space="preserve"> DOCPROPERTY  FSC#SKEDITIONSLOVLEX@103.510:plnynazovpredpis  \* MERGEFORMAT </w:instrText>
            </w:r>
            <w:r w:rsidRPr="00260360">
              <w:rPr>
                <w:sz w:val="24"/>
                <w:szCs w:val="24"/>
              </w:rPr>
              <w:fldChar w:fldCharType="separate"/>
            </w:r>
            <w:r w:rsidRPr="00260360">
              <w:rPr>
                <w:sz w:val="24"/>
                <w:szCs w:val="24"/>
              </w:rPr>
              <w:t xml:space="preserve"> Zákon, </w:t>
            </w:r>
            <w:r w:rsidRPr="00260360">
              <w:rPr>
                <w:sz w:val="24"/>
                <w:szCs w:val="24"/>
              </w:rPr>
              <w:fldChar w:fldCharType="end"/>
            </w:r>
            <w:r w:rsidRPr="00260360">
              <w:rPr>
                <w:sz w:val="24"/>
                <w:szCs w:val="24"/>
              </w:rPr>
              <w:t>ktorým sa mení a dopĺňa zákon č. 543/2002 Z. z. o ochrane prírody a krajiny v znení neskorších predpisov a ktorým sa menia a dopĺňajú niektoré zákony</w:t>
            </w:r>
            <w:r w:rsidRPr="00260360">
              <w:rPr>
                <w:sz w:val="24"/>
                <w:szCs w:val="24"/>
              </w:rPr>
              <w:fldChar w:fldCharType="begin"/>
            </w:r>
            <w:r w:rsidRPr="00260360">
              <w:rPr>
                <w:sz w:val="24"/>
                <w:szCs w:val="24"/>
              </w:rPr>
              <w:instrText xml:space="preserve"> DOCPROPERTY  FSC#SKEDITIONSLOVLEX@103.510:plnynazovpredpis1  \* MERGEFORMAT </w:instrText>
            </w:r>
            <w:r w:rsidRPr="00260360">
              <w:rPr>
                <w:sz w:val="24"/>
                <w:szCs w:val="24"/>
              </w:rPr>
              <w:fldChar w:fldCharType="end"/>
            </w:r>
            <w:r w:rsidRPr="00260360">
              <w:rPr>
                <w:sz w:val="24"/>
                <w:szCs w:val="24"/>
              </w:rPr>
              <w:fldChar w:fldCharType="begin"/>
            </w:r>
            <w:r w:rsidRPr="00260360">
              <w:rPr>
                <w:sz w:val="24"/>
                <w:szCs w:val="24"/>
              </w:rPr>
              <w:instrText xml:space="preserve"> DOCPROPERTY  FSC#SKEDITIONSLOVLEX@103.510:plnynazovpredpis2  \* MERGEFORMAT </w:instrText>
            </w:r>
            <w:r w:rsidRPr="00260360">
              <w:rPr>
                <w:sz w:val="24"/>
                <w:szCs w:val="24"/>
              </w:rPr>
              <w:fldChar w:fldCharType="end"/>
            </w:r>
            <w:r w:rsidRPr="00260360">
              <w:rPr>
                <w:sz w:val="24"/>
                <w:szCs w:val="24"/>
              </w:rPr>
              <w:fldChar w:fldCharType="begin"/>
            </w:r>
            <w:r w:rsidRPr="00260360">
              <w:rPr>
                <w:sz w:val="24"/>
                <w:szCs w:val="24"/>
              </w:rPr>
              <w:instrText xml:space="preserve"> DOCPROPERTY  FSC#SKEDITIONSLOVLEX@103.510:plnynazovpredpis3  \* MERGEFORMAT </w:instrText>
            </w:r>
            <w:r w:rsidRPr="00260360">
              <w:rPr>
                <w:sz w:val="24"/>
                <w:szCs w:val="24"/>
              </w:rPr>
              <w:fldChar w:fldCharType="end"/>
            </w:r>
          </w:p>
        </w:tc>
      </w:tr>
      <w:tr w:rsidR="00260360" w:rsidRPr="00260360" w:rsidTr="00A456D9">
        <w:tc>
          <w:tcPr>
            <w:tcW w:w="404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9627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  <w:tr w:rsidR="00260360" w:rsidRPr="00260360" w:rsidTr="00A456D9">
        <w:tc>
          <w:tcPr>
            <w:tcW w:w="404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26036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27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260360">
              <w:rPr>
                <w:b/>
                <w:sz w:val="24"/>
                <w:szCs w:val="24"/>
              </w:rPr>
              <w:t>Predmet návrhu zákona je upravený v práve Európskej únie:</w:t>
            </w:r>
          </w:p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  <w:tr w:rsidR="00260360" w:rsidRPr="00260360" w:rsidTr="00A456D9">
        <w:tc>
          <w:tcPr>
            <w:tcW w:w="404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9627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60360">
              <w:rPr>
                <w:sz w:val="24"/>
                <w:szCs w:val="24"/>
              </w:rPr>
              <w:t xml:space="preserve">a) v primárnom práve </w:t>
            </w:r>
          </w:p>
          <w:p w:rsidR="00260360" w:rsidRPr="00260360" w:rsidRDefault="00260360" w:rsidP="00A456D9">
            <w:pPr>
              <w:rPr>
                <w:sz w:val="24"/>
                <w:szCs w:val="24"/>
              </w:rPr>
            </w:pPr>
            <w:r w:rsidRPr="00260360">
              <w:rPr>
                <w:sz w:val="24"/>
                <w:szCs w:val="24"/>
              </w:rPr>
              <w:br/>
              <w:t>- Čl. 114 a čl. 191 až 193 Zmluvy o fungovaní Európskej únie</w:t>
            </w:r>
          </w:p>
          <w:p w:rsidR="00260360" w:rsidRPr="00260360" w:rsidRDefault="00260360" w:rsidP="00A456D9">
            <w:pPr>
              <w:rPr>
                <w:sz w:val="24"/>
                <w:szCs w:val="24"/>
              </w:rPr>
            </w:pPr>
            <w:r w:rsidRPr="00260360">
              <w:rPr>
                <w:sz w:val="24"/>
                <w:szCs w:val="24"/>
              </w:rPr>
              <w:br/>
              <w:t>b) v sekundárnom práve</w:t>
            </w:r>
          </w:p>
          <w:p w:rsidR="00260360" w:rsidRPr="00260360" w:rsidRDefault="00260360" w:rsidP="00A456D9">
            <w:pPr>
              <w:rPr>
                <w:sz w:val="24"/>
                <w:szCs w:val="24"/>
              </w:rPr>
            </w:pPr>
          </w:p>
          <w:p w:rsidR="00260360" w:rsidRPr="00260360" w:rsidRDefault="00260360" w:rsidP="00A456D9">
            <w:pPr>
              <w:rPr>
                <w:sz w:val="24"/>
                <w:szCs w:val="24"/>
              </w:rPr>
            </w:pPr>
            <w:r w:rsidRPr="00260360">
              <w:rPr>
                <w:sz w:val="24"/>
                <w:szCs w:val="24"/>
              </w:rPr>
              <w:t>- nie je upravená</w:t>
            </w:r>
          </w:p>
          <w:p w:rsidR="00260360" w:rsidRPr="00260360" w:rsidRDefault="00260360" w:rsidP="00A456D9">
            <w:pPr>
              <w:rPr>
                <w:sz w:val="24"/>
                <w:szCs w:val="24"/>
              </w:rPr>
            </w:pPr>
            <w:r w:rsidRPr="00260360">
              <w:rPr>
                <w:sz w:val="24"/>
                <w:szCs w:val="24"/>
              </w:rPr>
              <w:br/>
            </w:r>
          </w:p>
          <w:p w:rsidR="00260360" w:rsidRPr="00260360" w:rsidRDefault="00260360" w:rsidP="00A456D9">
            <w:pPr>
              <w:tabs>
                <w:tab w:val="left" w:pos="360"/>
              </w:tabs>
              <w:rPr>
                <w:iCs/>
                <w:sz w:val="24"/>
                <w:szCs w:val="24"/>
              </w:rPr>
            </w:pPr>
            <w:r w:rsidRPr="00260360">
              <w:rPr>
                <w:iCs/>
                <w:sz w:val="24"/>
                <w:szCs w:val="24"/>
              </w:rPr>
              <w:t>c) v judikatúre Súdneho dvora Európskej únie</w:t>
            </w:r>
          </w:p>
          <w:p w:rsidR="00260360" w:rsidRPr="00260360" w:rsidRDefault="00260360" w:rsidP="00A456D9">
            <w:pPr>
              <w:tabs>
                <w:tab w:val="left" w:pos="360"/>
              </w:tabs>
              <w:rPr>
                <w:iCs/>
                <w:sz w:val="24"/>
                <w:szCs w:val="24"/>
              </w:rPr>
            </w:pPr>
          </w:p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60360">
              <w:rPr>
                <w:sz w:val="24"/>
                <w:szCs w:val="24"/>
              </w:rPr>
              <w:t>- nie je upravená</w:t>
            </w:r>
          </w:p>
        </w:tc>
      </w:tr>
      <w:tr w:rsidR="00260360" w:rsidRPr="00260360" w:rsidTr="00A456D9">
        <w:tc>
          <w:tcPr>
            <w:tcW w:w="404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9627" w:type="dxa"/>
          </w:tcPr>
          <w:p w:rsidR="00260360" w:rsidRPr="00260360" w:rsidRDefault="00260360" w:rsidP="00A456D9">
            <w:pPr>
              <w:jc w:val="both"/>
              <w:rPr>
                <w:sz w:val="24"/>
                <w:szCs w:val="24"/>
              </w:rPr>
            </w:pPr>
          </w:p>
        </w:tc>
      </w:tr>
      <w:tr w:rsidR="00260360" w:rsidRPr="00260360" w:rsidTr="00A456D9">
        <w:tc>
          <w:tcPr>
            <w:tcW w:w="404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627" w:type="dxa"/>
          </w:tcPr>
          <w:p w:rsidR="00260360" w:rsidRPr="00260360" w:rsidRDefault="00260360" w:rsidP="00A456D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72"/>
        <w:gridCol w:w="8346"/>
      </w:tblGrid>
      <w:tr w:rsidR="00260360" w:rsidRPr="00260360" w:rsidTr="00A456D9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Záväzky Slovenskej republiky vo vzťahu k Európskej únii:</w:t>
            </w:r>
          </w:p>
        </w:tc>
      </w:tr>
      <w:tr w:rsidR="00260360" w:rsidRPr="00260360" w:rsidTr="00A456D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>lehota na prebratie smernice alebo lehota na implementáciu nariadenia alebo rozhodnutia</w:t>
            </w:r>
          </w:p>
        </w:tc>
      </w:tr>
      <w:tr w:rsidR="00260360" w:rsidRPr="00260360" w:rsidTr="00A456D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>bezpredmetné</w:t>
            </w:r>
            <w:r w:rsidRPr="0026036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60360" w:rsidRPr="00260360" w:rsidTr="00A456D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360" w:rsidRPr="00260360" w:rsidRDefault="00260360" w:rsidP="00A456D9">
            <w:pPr>
              <w:spacing w:after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>informácia o začatí konania v rámci „EÚ Pilot“ alebo o začatí postupu Európskej komisie, alebo o konaní Súdneho dvora Európskej únie proti Slovenskej republike podľa čl. 258 a 260 Zmluvy o fungovaní Európskej únie v jej platnom znení</w:t>
            </w:r>
          </w:p>
          <w:p w:rsidR="00260360" w:rsidRPr="00260360" w:rsidRDefault="00260360" w:rsidP="00A4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>bezpredmetné</w:t>
            </w:r>
          </w:p>
          <w:p w:rsidR="00260360" w:rsidRPr="00260360" w:rsidRDefault="00260360" w:rsidP="00A45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60" w:rsidRPr="00260360" w:rsidTr="00A456D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60" w:rsidRPr="00260360" w:rsidTr="00A456D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360" w:rsidRPr="00260360" w:rsidRDefault="00260360" w:rsidP="00A456D9">
            <w:pPr>
              <w:spacing w:after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>informácia o právnych predpisoch, v ktorých sú uvádzané právne akty Európskej únie už preberané</w:t>
            </w:r>
          </w:p>
          <w:p w:rsidR="00260360" w:rsidRPr="00260360" w:rsidRDefault="00260360" w:rsidP="00A456D9">
            <w:pPr>
              <w:spacing w:after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sz w:val="24"/>
                <w:szCs w:val="24"/>
              </w:rPr>
              <w:t xml:space="preserve">bezpredmetné </w:t>
            </w:r>
          </w:p>
        </w:tc>
      </w:tr>
      <w:tr w:rsidR="00260360" w:rsidRPr="00260360" w:rsidTr="00A456D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360" w:rsidRPr="00260360" w:rsidRDefault="00260360" w:rsidP="00A456D9">
            <w:pPr>
              <w:spacing w:after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60" w:rsidRPr="00260360" w:rsidTr="00A456D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60360" w:rsidRPr="00260360" w:rsidRDefault="00260360" w:rsidP="00A456D9">
            <w:pPr>
              <w:spacing w:after="2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Návrh zákona je zlučiteľný s právom Európskej únie:</w:t>
            </w:r>
          </w:p>
        </w:tc>
      </w:tr>
    </w:tbl>
    <w:p w:rsidR="005E59E9" w:rsidRDefault="005E59E9" w:rsidP="005E59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9E9" w:rsidRPr="00D95E81" w:rsidRDefault="005E59E9" w:rsidP="005E59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81">
        <w:rPr>
          <w:rFonts w:ascii="Times New Roman" w:hAnsi="Times New Roman" w:cs="Times New Roman"/>
          <w:b/>
          <w:sz w:val="28"/>
          <w:szCs w:val="28"/>
        </w:rPr>
        <w:t>Doložka vybraných vplyvov</w:t>
      </w:r>
    </w:p>
    <w:p w:rsidR="005E59E9" w:rsidRPr="00B733CA" w:rsidRDefault="005E59E9" w:rsidP="005E5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E81">
        <w:rPr>
          <w:rFonts w:ascii="Times New Roman" w:hAnsi="Times New Roman" w:cs="Times New Roman"/>
          <w:b/>
          <w:sz w:val="24"/>
          <w:szCs w:val="24"/>
        </w:rPr>
        <w:t>A.1. Názov materiálu:</w:t>
      </w:r>
      <w:r w:rsidRPr="00D95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9E9" w:rsidRPr="00B733CA" w:rsidRDefault="005E59E9" w:rsidP="005E59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E81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B733CA">
        <w:rPr>
          <w:rFonts w:ascii="Times New Roman" w:hAnsi="Times New Roman" w:cs="Times New Roman"/>
          <w:sz w:val="24"/>
          <w:szCs w:val="24"/>
        </w:rPr>
        <w:t xml:space="preserve">ktorým sa mení a dopĺňa zákon č. 543/2002 Z. z. o ochrane prírody a krajiny </w:t>
      </w:r>
    </w:p>
    <w:p w:rsidR="005E59E9" w:rsidRPr="00D95E81" w:rsidRDefault="005E59E9" w:rsidP="005E59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CA">
        <w:rPr>
          <w:rFonts w:ascii="Times New Roman" w:hAnsi="Times New Roman" w:cs="Times New Roman"/>
          <w:sz w:val="24"/>
          <w:szCs w:val="24"/>
        </w:rPr>
        <w:t>v znení neskorších predpisov a ktorým sa menia a dopĺňajú niektoré zákony</w:t>
      </w:r>
    </w:p>
    <w:p w:rsidR="005E59E9" w:rsidRDefault="005E59E9" w:rsidP="005E59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9E9" w:rsidRPr="00D95E81" w:rsidRDefault="005E59E9" w:rsidP="005E59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E81">
        <w:rPr>
          <w:rFonts w:ascii="Times New Roman" w:hAnsi="Times New Roman" w:cs="Times New Roman"/>
          <w:b/>
          <w:sz w:val="24"/>
          <w:szCs w:val="24"/>
        </w:rPr>
        <w:t xml:space="preserve">A.2. Vplyvy: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77"/>
        <w:gridCol w:w="1605"/>
        <w:gridCol w:w="1843"/>
        <w:gridCol w:w="1837"/>
      </w:tblGrid>
      <w:tr w:rsidR="005E59E9" w:rsidRPr="00D95E81" w:rsidTr="00A456D9">
        <w:tc>
          <w:tcPr>
            <w:tcW w:w="377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95E81">
              <w:rPr>
                <w:sz w:val="20"/>
                <w:szCs w:val="20"/>
              </w:rPr>
              <w:t>Pozitívne*</w:t>
            </w:r>
          </w:p>
        </w:tc>
        <w:tc>
          <w:tcPr>
            <w:tcW w:w="1843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95E81">
              <w:rPr>
                <w:sz w:val="20"/>
                <w:szCs w:val="20"/>
              </w:rPr>
              <w:t>Žiadne*</w:t>
            </w:r>
          </w:p>
        </w:tc>
        <w:tc>
          <w:tcPr>
            <w:tcW w:w="183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95E81">
              <w:rPr>
                <w:sz w:val="20"/>
                <w:szCs w:val="20"/>
              </w:rPr>
              <w:t>Negatívne*</w:t>
            </w:r>
          </w:p>
        </w:tc>
      </w:tr>
      <w:tr w:rsidR="005E59E9" w:rsidRPr="00D95E81" w:rsidTr="00A456D9">
        <w:tc>
          <w:tcPr>
            <w:tcW w:w="377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>1. Vplyvy na rozpočet verejnej správy</w:t>
            </w:r>
          </w:p>
        </w:tc>
        <w:tc>
          <w:tcPr>
            <w:tcW w:w="1605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E59E9" w:rsidRPr="00D95E81" w:rsidTr="00A456D9">
        <w:tc>
          <w:tcPr>
            <w:tcW w:w="377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>2. Vplyvy na podnikateľské prostredie – dochádza k zvýšeniu regulačného zaťaženia?</w:t>
            </w:r>
          </w:p>
        </w:tc>
        <w:tc>
          <w:tcPr>
            <w:tcW w:w="1605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95E81">
              <w:rPr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E59E9" w:rsidRPr="00D95E81" w:rsidTr="00A456D9">
        <w:tc>
          <w:tcPr>
            <w:tcW w:w="377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 xml:space="preserve">3. Sociálne vplyvy </w:t>
            </w:r>
          </w:p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 xml:space="preserve">- vplyvy na hospodárenie obyvateľstva, </w:t>
            </w:r>
          </w:p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 xml:space="preserve">- sociálnu </w:t>
            </w:r>
            <w:proofErr w:type="spellStart"/>
            <w:r w:rsidRPr="00D95E81">
              <w:t>exklúziu</w:t>
            </w:r>
            <w:proofErr w:type="spellEnd"/>
            <w:r w:rsidRPr="00D95E81">
              <w:t xml:space="preserve">, </w:t>
            </w:r>
          </w:p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>- rovnosť príležitostí a rodovú rovnosť a vplyvy na zamestnanosť</w:t>
            </w:r>
          </w:p>
        </w:tc>
        <w:tc>
          <w:tcPr>
            <w:tcW w:w="1605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95E81">
              <w:rPr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E59E9" w:rsidRPr="00D95E81" w:rsidTr="00A456D9">
        <w:tc>
          <w:tcPr>
            <w:tcW w:w="377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>4. Vplyvy na životné prostredie</w:t>
            </w:r>
          </w:p>
        </w:tc>
        <w:tc>
          <w:tcPr>
            <w:tcW w:w="1605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E59E9" w:rsidRPr="00D95E81" w:rsidTr="00A456D9">
        <w:tc>
          <w:tcPr>
            <w:tcW w:w="377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>5. Vplyvy na informatizáciu spoločnosti</w:t>
            </w:r>
          </w:p>
        </w:tc>
        <w:tc>
          <w:tcPr>
            <w:tcW w:w="1605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95E81">
              <w:rPr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E59E9" w:rsidRPr="00D95E81" w:rsidTr="00A456D9">
        <w:tc>
          <w:tcPr>
            <w:tcW w:w="377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>6. Vplyvy na manželstvo, rodičovstvo a rodinu</w:t>
            </w:r>
          </w:p>
        </w:tc>
        <w:tc>
          <w:tcPr>
            <w:tcW w:w="1605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95E81">
              <w:rPr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E59E9" w:rsidRPr="00D95E81" w:rsidTr="00A456D9">
        <w:tc>
          <w:tcPr>
            <w:tcW w:w="377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</w:pPr>
            <w:r w:rsidRPr="00D95E81">
              <w:t>7. Vplyvy na služby verejnej správy pre občana</w:t>
            </w:r>
          </w:p>
        </w:tc>
        <w:tc>
          <w:tcPr>
            <w:tcW w:w="1605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95E81">
              <w:rPr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:rsidR="005E59E9" w:rsidRPr="00D95E81" w:rsidRDefault="005E59E9" w:rsidP="00A456D9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5E59E9" w:rsidRPr="00D95E81" w:rsidRDefault="005E59E9" w:rsidP="005E59E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E81">
        <w:rPr>
          <w:rFonts w:ascii="Times New Roman" w:hAnsi="Times New Roman" w:cs="Times New Roman"/>
          <w:sz w:val="20"/>
          <w:szCs w:val="20"/>
        </w:rPr>
        <w:t xml:space="preserve">* Predkladateľ označí znakom x zodpovedajúci vplyv (pozitívny, negatívny, žiadny), ktorý návrh prináša v každej oblasti posudzovania vplyvov. Návrh môže mať v jednej oblasti zároveň pozitívny aj negatívny vplyv, v tom prípade predkladateľ označí obe možnosti. Bližšie vysvetlenie označených vplyvov bude obsahovať analýza vplyvov. Isté vysvetlenie, či bilanciu vplyvov (sumárne zhodnotenie, ktorý vplyv v danej oblasti prevažuje) môže predkladateľ uviesť v poznámke. </w:t>
      </w:r>
    </w:p>
    <w:p w:rsidR="005E59E9" w:rsidRPr="00D95E81" w:rsidRDefault="005E59E9" w:rsidP="005E59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E81">
        <w:rPr>
          <w:rFonts w:ascii="Times New Roman" w:hAnsi="Times New Roman" w:cs="Times New Roman"/>
          <w:b/>
          <w:sz w:val="24"/>
          <w:szCs w:val="24"/>
        </w:rPr>
        <w:t xml:space="preserve">A.3. Poznámky </w:t>
      </w:r>
    </w:p>
    <w:p w:rsidR="005E59E9" w:rsidRDefault="005E59E9" w:rsidP="005E59E9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 bodu 1. </w:t>
      </w:r>
    </w:p>
    <w:p w:rsidR="005E59E9" w:rsidRPr="006427F3" w:rsidRDefault="005E59E9" w:rsidP="005E59E9">
      <w:pPr>
        <w:spacing w:before="120" w:after="0" w:line="240" w:lineRule="auto"/>
        <w:jc w:val="both"/>
        <w:rPr>
          <w:rFonts w:ascii="Times New Roman" w:hAnsi="Times New Roman" w:cs="Times New Roman"/>
          <w:szCs w:val="20"/>
        </w:rPr>
      </w:pPr>
      <w:r w:rsidRPr="006427F3">
        <w:rPr>
          <w:rFonts w:ascii="Times New Roman" w:hAnsi="Times New Roman" w:cs="Times New Roman"/>
          <w:szCs w:val="20"/>
        </w:rPr>
        <w:lastRenderedPageBreak/>
        <w:t>Aktuálne predkladaný legislatívny návrh nezakladá priame nároky na rozpočet verejnej správy, v budúcnosti a v nadväznosti na spôsob a vykonanie zmien napr. z hľadiska prípadnej zmeny formy organizácií vykonávajúcej správu pozemkov vo vlastníctve štátu, môžu vzniknúť zvýšené výdavky, ktoré však nateraz nie je možné špecifikovať</w:t>
      </w:r>
      <w:r>
        <w:rPr>
          <w:rFonts w:ascii="Times New Roman" w:hAnsi="Times New Roman" w:cs="Times New Roman"/>
          <w:szCs w:val="20"/>
        </w:rPr>
        <w:t>, keďže budú vyplývať z dohody ústredných orgánov štátnej správy</w:t>
      </w:r>
      <w:r w:rsidRPr="006427F3">
        <w:rPr>
          <w:rFonts w:ascii="Times New Roman" w:hAnsi="Times New Roman" w:cs="Times New Roman"/>
          <w:szCs w:val="20"/>
        </w:rPr>
        <w:t xml:space="preserve">. K navrhovanému dátumu prechodu správy pozemkov vo vlastníctve štátu, dôjde k  presunu celej príspevkovej organizácie Štátne lesy </w:t>
      </w:r>
      <w:proofErr w:type="spellStart"/>
      <w:r w:rsidRPr="006427F3">
        <w:rPr>
          <w:rFonts w:ascii="Times New Roman" w:hAnsi="Times New Roman" w:cs="Times New Roman"/>
          <w:szCs w:val="20"/>
        </w:rPr>
        <w:t>TANAPu</w:t>
      </w:r>
      <w:proofErr w:type="spellEnd"/>
      <w:r w:rsidRPr="006427F3">
        <w:rPr>
          <w:rFonts w:ascii="Times New Roman" w:hAnsi="Times New Roman" w:cs="Times New Roman"/>
          <w:szCs w:val="20"/>
        </w:rPr>
        <w:t xml:space="preserve"> a štátneho  podniku LPM Ulič, vrátane zamestnancov, práv a povinnosti a taktiež k príslušnej časti štátneho podniku Lesy Slovenskej republiky. </w:t>
      </w:r>
    </w:p>
    <w:p w:rsidR="005E59E9" w:rsidRPr="006427F3" w:rsidRDefault="005E59E9" w:rsidP="005E59E9">
      <w:pPr>
        <w:spacing w:before="120" w:after="0" w:line="240" w:lineRule="auto"/>
        <w:jc w:val="both"/>
        <w:rPr>
          <w:rFonts w:ascii="Times New Roman" w:hAnsi="Times New Roman" w:cs="Times New Roman"/>
          <w:szCs w:val="20"/>
        </w:rPr>
      </w:pPr>
      <w:r w:rsidRPr="006427F3">
        <w:rPr>
          <w:rFonts w:ascii="Times New Roman" w:hAnsi="Times New Roman" w:cs="Times New Roman"/>
          <w:szCs w:val="20"/>
        </w:rPr>
        <w:t xml:space="preserve"> </w:t>
      </w:r>
    </w:p>
    <w:p w:rsidR="005E59E9" w:rsidRPr="00D95E81" w:rsidRDefault="005E59E9" w:rsidP="005E59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E81">
        <w:rPr>
          <w:rFonts w:ascii="Times New Roman" w:hAnsi="Times New Roman" w:cs="Times New Roman"/>
          <w:b/>
          <w:sz w:val="24"/>
          <w:szCs w:val="24"/>
        </w:rPr>
        <w:t xml:space="preserve">A.4. Alternatívne riešenia </w:t>
      </w:r>
    </w:p>
    <w:p w:rsidR="005E59E9" w:rsidRDefault="005E59E9" w:rsidP="005E5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E81">
        <w:rPr>
          <w:rFonts w:ascii="Times New Roman" w:hAnsi="Times New Roman" w:cs="Times New Roman"/>
          <w:sz w:val="24"/>
          <w:szCs w:val="24"/>
        </w:rPr>
        <w:t xml:space="preserve">Nepredkladajú sa. </w:t>
      </w:r>
    </w:p>
    <w:p w:rsidR="005E59E9" w:rsidRPr="00D95E81" w:rsidRDefault="005E59E9" w:rsidP="005E59E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E81">
        <w:rPr>
          <w:rFonts w:ascii="Times New Roman" w:hAnsi="Times New Roman" w:cs="Times New Roman"/>
          <w:b/>
          <w:sz w:val="24"/>
          <w:szCs w:val="24"/>
        </w:rPr>
        <w:t xml:space="preserve">A.5. Stanovisko gestorov </w:t>
      </w:r>
    </w:p>
    <w:p w:rsidR="005E59E9" w:rsidRPr="00D95E81" w:rsidRDefault="005E59E9" w:rsidP="005E59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E81">
        <w:rPr>
          <w:rFonts w:ascii="Times New Roman" w:hAnsi="Times New Roman" w:cs="Times New Roman"/>
          <w:sz w:val="24"/>
          <w:szCs w:val="24"/>
        </w:rPr>
        <w:t>Bezpredmetné</w:t>
      </w:r>
    </w:p>
    <w:p w:rsidR="00F104E0" w:rsidRPr="00260360" w:rsidRDefault="00F104E0" w:rsidP="00E12AEE">
      <w:pPr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104E0" w:rsidRPr="00260360" w:rsidSect="0087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358C2"/>
    <w:multiLevelType w:val="hybridMultilevel"/>
    <w:tmpl w:val="901E59E0"/>
    <w:lvl w:ilvl="0" w:tplc="3B8A9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68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C5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64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48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86E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E2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24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2C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09"/>
    <w:rsid w:val="0001756C"/>
    <w:rsid w:val="00021E56"/>
    <w:rsid w:val="0004775A"/>
    <w:rsid w:val="00055878"/>
    <w:rsid w:val="0006205F"/>
    <w:rsid w:val="00062D33"/>
    <w:rsid w:val="00067591"/>
    <w:rsid w:val="00095E42"/>
    <w:rsid w:val="0009620F"/>
    <w:rsid w:val="000A7CE5"/>
    <w:rsid w:val="000D6576"/>
    <w:rsid w:val="000D7178"/>
    <w:rsid w:val="000E7D70"/>
    <w:rsid w:val="000F0E65"/>
    <w:rsid w:val="00105523"/>
    <w:rsid w:val="00106181"/>
    <w:rsid w:val="00110850"/>
    <w:rsid w:val="00136BA6"/>
    <w:rsid w:val="00146803"/>
    <w:rsid w:val="0014728E"/>
    <w:rsid w:val="0016500C"/>
    <w:rsid w:val="00177405"/>
    <w:rsid w:val="001933E1"/>
    <w:rsid w:val="001B29FF"/>
    <w:rsid w:val="001B7904"/>
    <w:rsid w:val="001D5F51"/>
    <w:rsid w:val="002206BF"/>
    <w:rsid w:val="0022767C"/>
    <w:rsid w:val="0024788E"/>
    <w:rsid w:val="00252F1F"/>
    <w:rsid w:val="00260360"/>
    <w:rsid w:val="00290BEF"/>
    <w:rsid w:val="00292098"/>
    <w:rsid w:val="00296CE7"/>
    <w:rsid w:val="002D772D"/>
    <w:rsid w:val="002F0DE2"/>
    <w:rsid w:val="002F5D23"/>
    <w:rsid w:val="00302B68"/>
    <w:rsid w:val="0032092D"/>
    <w:rsid w:val="00320B12"/>
    <w:rsid w:val="00330AF8"/>
    <w:rsid w:val="0033194A"/>
    <w:rsid w:val="00341A98"/>
    <w:rsid w:val="00347340"/>
    <w:rsid w:val="00371903"/>
    <w:rsid w:val="00377523"/>
    <w:rsid w:val="00380401"/>
    <w:rsid w:val="0039554F"/>
    <w:rsid w:val="003A4924"/>
    <w:rsid w:val="003C0B68"/>
    <w:rsid w:val="003C2362"/>
    <w:rsid w:val="003C2CC5"/>
    <w:rsid w:val="003D2CC1"/>
    <w:rsid w:val="003E0788"/>
    <w:rsid w:val="003E24CD"/>
    <w:rsid w:val="003F6762"/>
    <w:rsid w:val="00403A65"/>
    <w:rsid w:val="00404F6D"/>
    <w:rsid w:val="00412EA1"/>
    <w:rsid w:val="00416A09"/>
    <w:rsid w:val="00427957"/>
    <w:rsid w:val="0043513E"/>
    <w:rsid w:val="00436A90"/>
    <w:rsid w:val="004412DD"/>
    <w:rsid w:val="0044568F"/>
    <w:rsid w:val="0045237E"/>
    <w:rsid w:val="0046477B"/>
    <w:rsid w:val="00482A62"/>
    <w:rsid w:val="00497F02"/>
    <w:rsid w:val="004A3CBE"/>
    <w:rsid w:val="004A6B9A"/>
    <w:rsid w:val="004B58A3"/>
    <w:rsid w:val="004C1B4D"/>
    <w:rsid w:val="004C50C7"/>
    <w:rsid w:val="004E5445"/>
    <w:rsid w:val="004F6703"/>
    <w:rsid w:val="00503EBD"/>
    <w:rsid w:val="00527C0D"/>
    <w:rsid w:val="00542B9B"/>
    <w:rsid w:val="005537B2"/>
    <w:rsid w:val="005555E2"/>
    <w:rsid w:val="005774B2"/>
    <w:rsid w:val="0059043D"/>
    <w:rsid w:val="005B18B0"/>
    <w:rsid w:val="005B2D89"/>
    <w:rsid w:val="005D6868"/>
    <w:rsid w:val="005E59B7"/>
    <w:rsid w:val="005E59E9"/>
    <w:rsid w:val="005F2E8F"/>
    <w:rsid w:val="005F3E0C"/>
    <w:rsid w:val="00617617"/>
    <w:rsid w:val="00634BE8"/>
    <w:rsid w:val="00654E99"/>
    <w:rsid w:val="00685775"/>
    <w:rsid w:val="006A22F0"/>
    <w:rsid w:val="006B0963"/>
    <w:rsid w:val="006C370C"/>
    <w:rsid w:val="00733F76"/>
    <w:rsid w:val="00745289"/>
    <w:rsid w:val="00772E74"/>
    <w:rsid w:val="007753FF"/>
    <w:rsid w:val="00776AD0"/>
    <w:rsid w:val="007A4A40"/>
    <w:rsid w:val="007C5283"/>
    <w:rsid w:val="007D2408"/>
    <w:rsid w:val="007D406D"/>
    <w:rsid w:val="007E6F8A"/>
    <w:rsid w:val="00806F56"/>
    <w:rsid w:val="00822C11"/>
    <w:rsid w:val="008231AF"/>
    <w:rsid w:val="008235CC"/>
    <w:rsid w:val="00831DDD"/>
    <w:rsid w:val="00833FF2"/>
    <w:rsid w:val="00842E89"/>
    <w:rsid w:val="0084345C"/>
    <w:rsid w:val="00843855"/>
    <w:rsid w:val="008446CA"/>
    <w:rsid w:val="00864954"/>
    <w:rsid w:val="00875B61"/>
    <w:rsid w:val="00876612"/>
    <w:rsid w:val="00894987"/>
    <w:rsid w:val="0089596D"/>
    <w:rsid w:val="008B48BE"/>
    <w:rsid w:val="008B64A8"/>
    <w:rsid w:val="008D36EF"/>
    <w:rsid w:val="00905BA3"/>
    <w:rsid w:val="0099192A"/>
    <w:rsid w:val="009967FF"/>
    <w:rsid w:val="009A2B77"/>
    <w:rsid w:val="009B6DC5"/>
    <w:rsid w:val="009D0A07"/>
    <w:rsid w:val="009F4E95"/>
    <w:rsid w:val="009F4E99"/>
    <w:rsid w:val="00A06F38"/>
    <w:rsid w:val="00A43808"/>
    <w:rsid w:val="00A4423D"/>
    <w:rsid w:val="00A678FC"/>
    <w:rsid w:val="00A75BDE"/>
    <w:rsid w:val="00A777F5"/>
    <w:rsid w:val="00A906AF"/>
    <w:rsid w:val="00A91B34"/>
    <w:rsid w:val="00AA04FF"/>
    <w:rsid w:val="00AA3191"/>
    <w:rsid w:val="00AD5E17"/>
    <w:rsid w:val="00AE18DA"/>
    <w:rsid w:val="00AE2D09"/>
    <w:rsid w:val="00AE6EED"/>
    <w:rsid w:val="00B164D1"/>
    <w:rsid w:val="00B20A3D"/>
    <w:rsid w:val="00B55651"/>
    <w:rsid w:val="00B82CCD"/>
    <w:rsid w:val="00B93E1B"/>
    <w:rsid w:val="00B94107"/>
    <w:rsid w:val="00BB5D41"/>
    <w:rsid w:val="00BD0277"/>
    <w:rsid w:val="00BE3057"/>
    <w:rsid w:val="00BF72FA"/>
    <w:rsid w:val="00C076DB"/>
    <w:rsid w:val="00C14D60"/>
    <w:rsid w:val="00C26C1A"/>
    <w:rsid w:val="00C346F4"/>
    <w:rsid w:val="00C62EE2"/>
    <w:rsid w:val="00C7062F"/>
    <w:rsid w:val="00C82602"/>
    <w:rsid w:val="00C82A2F"/>
    <w:rsid w:val="00C87F63"/>
    <w:rsid w:val="00CA699B"/>
    <w:rsid w:val="00CE6005"/>
    <w:rsid w:val="00CF1E35"/>
    <w:rsid w:val="00CF2C76"/>
    <w:rsid w:val="00D133ED"/>
    <w:rsid w:val="00D16839"/>
    <w:rsid w:val="00D312BA"/>
    <w:rsid w:val="00D36FA6"/>
    <w:rsid w:val="00D37D1B"/>
    <w:rsid w:val="00D413A0"/>
    <w:rsid w:val="00D62F00"/>
    <w:rsid w:val="00D85B83"/>
    <w:rsid w:val="00DC4AA4"/>
    <w:rsid w:val="00DD5C65"/>
    <w:rsid w:val="00DF0957"/>
    <w:rsid w:val="00E00734"/>
    <w:rsid w:val="00E12AEE"/>
    <w:rsid w:val="00E359EE"/>
    <w:rsid w:val="00E46437"/>
    <w:rsid w:val="00E56F6A"/>
    <w:rsid w:val="00E62F69"/>
    <w:rsid w:val="00E704E1"/>
    <w:rsid w:val="00E85B65"/>
    <w:rsid w:val="00E928A3"/>
    <w:rsid w:val="00EA27E6"/>
    <w:rsid w:val="00EC30E1"/>
    <w:rsid w:val="00ED1C6B"/>
    <w:rsid w:val="00ED2EF5"/>
    <w:rsid w:val="00ED514C"/>
    <w:rsid w:val="00EF75E5"/>
    <w:rsid w:val="00F104E0"/>
    <w:rsid w:val="00F37F6F"/>
    <w:rsid w:val="00F73822"/>
    <w:rsid w:val="00FA38D5"/>
    <w:rsid w:val="00FC2AC3"/>
    <w:rsid w:val="00FD335D"/>
    <w:rsid w:val="00FD77A5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FBD6"/>
  <w15:docId w15:val="{22D2C6E3-F912-452D-B005-03CC148D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66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1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416A09"/>
    <w:rPr>
      <w:rFonts w:ascii="Times New Roman" w:hAnsi="Times New Roman" w:cs="Times New Roman" w:hint="default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959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596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959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59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596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96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03A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5237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45237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37190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unhideWhenUsed/>
    <w:rsid w:val="00260360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79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9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3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60CB3-CE54-4EA0-8CE0-E2E25729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Guštafíková Jana</dc:creator>
  <cp:lastModifiedBy>admin</cp:lastModifiedBy>
  <cp:revision>5</cp:revision>
  <dcterms:created xsi:type="dcterms:W3CDTF">2021-05-28T12:09:00Z</dcterms:created>
  <dcterms:modified xsi:type="dcterms:W3CDTF">2021-05-28T12:14:00Z</dcterms:modified>
</cp:coreProperties>
</file>