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F77" w:rsidRPr="00B62388" w:rsidRDefault="00625F02" w:rsidP="00925E87">
      <w:pPr>
        <w:spacing w:line="276" w:lineRule="auto"/>
        <w:jc w:val="center"/>
        <w:rPr>
          <w:b/>
          <w:bCs/>
          <w:sz w:val="28"/>
          <w:szCs w:val="28"/>
        </w:rPr>
      </w:pPr>
      <w:r>
        <w:rPr>
          <w:b/>
          <w:bCs/>
          <w:sz w:val="28"/>
          <w:szCs w:val="28"/>
        </w:rPr>
        <w:t>Dôvodová správa</w:t>
      </w:r>
    </w:p>
    <w:p w:rsidR="00EF5E03" w:rsidRPr="00EF5E03" w:rsidRDefault="00EF5E03" w:rsidP="00925E87">
      <w:pPr>
        <w:spacing w:line="276" w:lineRule="auto"/>
        <w:jc w:val="both"/>
        <w:rPr>
          <w:bCs/>
        </w:rPr>
      </w:pPr>
    </w:p>
    <w:p w:rsidR="001E1F77" w:rsidRPr="00400880" w:rsidRDefault="00544D26" w:rsidP="00925E87">
      <w:pPr>
        <w:spacing w:line="276" w:lineRule="auto"/>
        <w:jc w:val="both"/>
        <w:rPr>
          <w:b/>
          <w:bCs/>
        </w:rPr>
      </w:pPr>
      <w:r w:rsidRPr="00400880">
        <w:rPr>
          <w:b/>
          <w:bCs/>
        </w:rPr>
        <w:t xml:space="preserve">A. </w:t>
      </w:r>
      <w:r w:rsidR="00C07284" w:rsidRPr="00400880">
        <w:rPr>
          <w:b/>
          <w:bCs/>
        </w:rPr>
        <w:t>Všeobecná časť</w:t>
      </w:r>
    </w:p>
    <w:p w:rsidR="00EF5E03" w:rsidRPr="0034185C" w:rsidRDefault="00EF5E03" w:rsidP="00925E87">
      <w:pPr>
        <w:spacing w:line="276" w:lineRule="auto"/>
        <w:jc w:val="both"/>
      </w:pPr>
    </w:p>
    <w:p w:rsidR="0034185C" w:rsidRDefault="00DC0C8D" w:rsidP="00CF4A98">
      <w:pPr>
        <w:pStyle w:val="Zkladntext"/>
        <w:ind w:firstLine="567"/>
        <w:jc w:val="both"/>
        <w:rPr>
          <w:rFonts w:ascii="Times New Roman" w:hAnsi="Times New Roman" w:cs="Times New Roman"/>
        </w:rPr>
      </w:pPr>
      <w:r w:rsidRPr="0034185C">
        <w:rPr>
          <w:rFonts w:ascii="Times New Roman" w:hAnsi="Times New Roman" w:cs="Times New Roman"/>
          <w:color w:val="000000" w:themeColor="text1"/>
        </w:rPr>
        <w:t xml:space="preserve">Návrh zákona, </w:t>
      </w:r>
      <w:r w:rsidR="0034185C" w:rsidRPr="0034185C">
        <w:rPr>
          <w:rFonts w:ascii="Times New Roman" w:hAnsi="Times New Roman" w:cs="Times New Roman"/>
        </w:rPr>
        <w:t>ktorým sa mení a dopĺňa zákon č. 98/2004 Z. z. o spotrebnej dani z minerálneho oleja v znení neskorších predp</w:t>
      </w:r>
      <w:r w:rsidR="00AF570E">
        <w:rPr>
          <w:rFonts w:ascii="Times New Roman" w:hAnsi="Times New Roman" w:cs="Times New Roman"/>
        </w:rPr>
        <w:t>isov (ďalej len „návrh zákona“)</w:t>
      </w:r>
      <w:r w:rsidRPr="0034185C">
        <w:rPr>
          <w:rFonts w:ascii="Times New Roman" w:hAnsi="Times New Roman" w:cs="Times New Roman"/>
          <w:color w:val="000000" w:themeColor="text1"/>
        </w:rPr>
        <w:t xml:space="preserve">, predkladajú na rokovanie Národnej rady Slovenskej republiky </w:t>
      </w:r>
      <w:r w:rsidRPr="00CF4A98">
        <w:rPr>
          <w:rFonts w:ascii="Times New Roman" w:hAnsi="Times New Roman" w:cs="Times New Roman"/>
          <w:color w:val="000000" w:themeColor="text1"/>
        </w:rPr>
        <w:t>poslanc</w:t>
      </w:r>
      <w:r w:rsidR="0034185C" w:rsidRPr="00CF4A98">
        <w:rPr>
          <w:rFonts w:ascii="Times New Roman" w:hAnsi="Times New Roman" w:cs="Times New Roman"/>
          <w:color w:val="000000" w:themeColor="text1"/>
        </w:rPr>
        <w:t>i Národnej rady Slovenskej republiky</w:t>
      </w:r>
      <w:r w:rsidR="00CF4A98" w:rsidRPr="00CF4A98">
        <w:rPr>
          <w:rFonts w:ascii="Times New Roman" w:hAnsi="Times New Roman" w:cs="Times New Roman"/>
        </w:rPr>
        <w:t xml:space="preserve"> </w:t>
      </w:r>
      <w:r w:rsidR="00CF4A98">
        <w:rPr>
          <w:rFonts w:ascii="Times New Roman" w:hAnsi="Times New Roman" w:cs="Times New Roman"/>
        </w:rPr>
        <w:t xml:space="preserve">Peter KREMSKÝ, </w:t>
      </w:r>
      <w:r w:rsidR="0090697F">
        <w:rPr>
          <w:rFonts w:ascii="Times New Roman" w:hAnsi="Times New Roman" w:cs="Times New Roman"/>
        </w:rPr>
        <w:t>Marián VISKUPIČ</w:t>
      </w:r>
      <w:r w:rsidR="00CF4A98">
        <w:rPr>
          <w:rFonts w:ascii="Times New Roman" w:hAnsi="Times New Roman" w:cs="Times New Roman"/>
        </w:rPr>
        <w:t>, Ľuboš KRAJČÍR, Tomáš LEHOTSKÝ a Marek KRAJČÍ.</w:t>
      </w:r>
    </w:p>
    <w:p w:rsidR="00CF4A98" w:rsidRPr="0034185C" w:rsidRDefault="00CF4A98" w:rsidP="00CF4A98">
      <w:pPr>
        <w:pStyle w:val="Zkladntext"/>
        <w:ind w:firstLine="567"/>
        <w:jc w:val="both"/>
        <w:rPr>
          <w:rFonts w:ascii="Times New Roman" w:hAnsi="Times New Roman" w:cs="Times New Roman"/>
          <w:bCs/>
        </w:rPr>
      </w:pPr>
    </w:p>
    <w:p w:rsidR="0034185C" w:rsidRPr="0023600A" w:rsidRDefault="00DC0C8D" w:rsidP="0034185C">
      <w:pPr>
        <w:ind w:firstLine="567"/>
        <w:jc w:val="both"/>
      </w:pPr>
      <w:r w:rsidRPr="0023600A">
        <w:rPr>
          <w:bCs/>
          <w:color w:val="000000" w:themeColor="text1"/>
        </w:rPr>
        <w:t xml:space="preserve">Cieľom návrhu </w:t>
      </w:r>
      <w:r w:rsidR="00DE745E" w:rsidRPr="0023600A">
        <w:rPr>
          <w:bCs/>
          <w:color w:val="000000" w:themeColor="text1"/>
        </w:rPr>
        <w:t xml:space="preserve">zákona </w:t>
      </w:r>
      <w:r w:rsidRPr="0023600A">
        <w:rPr>
          <w:bCs/>
          <w:color w:val="000000" w:themeColor="text1"/>
        </w:rPr>
        <w:t xml:space="preserve">je </w:t>
      </w:r>
      <w:r w:rsidR="009436C3" w:rsidRPr="0023600A">
        <w:rPr>
          <w:bCs/>
          <w:color w:val="000000" w:themeColor="text1"/>
        </w:rPr>
        <w:t xml:space="preserve">legislatívne upraviť </w:t>
      </w:r>
      <w:r w:rsidR="0034185C" w:rsidRPr="0023600A">
        <w:rPr>
          <w:bCs/>
          <w:color w:val="000000" w:themeColor="text1"/>
        </w:rPr>
        <w:t>ustanovenie § 11 zákona</w:t>
      </w:r>
      <w:r w:rsidR="00BF3D36">
        <w:rPr>
          <w:bCs/>
          <w:color w:val="000000" w:themeColor="text1"/>
        </w:rPr>
        <w:t xml:space="preserve"> </w:t>
      </w:r>
      <w:r w:rsidR="00BF3D36" w:rsidRPr="0034185C">
        <w:t xml:space="preserve">č. 98/2004 Z. z. </w:t>
      </w:r>
      <w:r w:rsidR="00BF3D36">
        <w:t xml:space="preserve">                </w:t>
      </w:r>
      <w:r w:rsidR="00BF3D36" w:rsidRPr="0034185C">
        <w:t>o spotrebnej dani z minerálneho oleja v znení neskorších predp</w:t>
      </w:r>
      <w:r w:rsidR="00BF3D36">
        <w:t xml:space="preserve">isov </w:t>
      </w:r>
      <w:r w:rsidR="0034185C" w:rsidRPr="0023600A">
        <w:rPr>
          <w:bCs/>
          <w:color w:val="000000" w:themeColor="text1"/>
        </w:rPr>
        <w:t xml:space="preserve">o užívateľskom podniku v znení účinnom od 1. júla 2021 </w:t>
      </w:r>
      <w:r w:rsidR="0023600A" w:rsidRPr="0023600A">
        <w:rPr>
          <w:bCs/>
          <w:color w:val="000000" w:themeColor="text1"/>
        </w:rPr>
        <w:t>a</w:t>
      </w:r>
      <w:r w:rsidR="00BF3D36">
        <w:rPr>
          <w:bCs/>
          <w:color w:val="000000" w:themeColor="text1"/>
        </w:rPr>
        <w:t xml:space="preserve"> touto </w:t>
      </w:r>
      <w:r w:rsidR="0023600A">
        <w:rPr>
          <w:bCs/>
          <w:color w:val="000000" w:themeColor="text1"/>
        </w:rPr>
        <w:t xml:space="preserve">úpravou </w:t>
      </w:r>
      <w:r w:rsidR="00625F02">
        <w:t>el</w:t>
      </w:r>
      <w:r w:rsidR="00BF3D36">
        <w:t>iminovať</w:t>
      </w:r>
      <w:r w:rsidR="0023600A" w:rsidRPr="0023600A">
        <w:t xml:space="preserve"> počet konečných spotrebiteľov</w:t>
      </w:r>
      <w:r w:rsidR="0034185C" w:rsidRPr="0023600A">
        <w:t xml:space="preserve"> </w:t>
      </w:r>
      <w:r w:rsidR="0023600A" w:rsidRPr="0023600A">
        <w:t xml:space="preserve">skvapalnených plynných uhľovodíkov kódu kombinovanej nomenklatúry 2711 12 až 2711 19 00 (ďalej len „LPG“), ako paliva na výrobu tepla, </w:t>
      </w:r>
      <w:r w:rsidR="00BF3D36">
        <w:t xml:space="preserve">ktorí nebudú </w:t>
      </w:r>
      <w:r w:rsidR="004C5338">
        <w:t>podliehať povinnosti sa registrovať ako</w:t>
      </w:r>
      <w:r w:rsidR="0023600A" w:rsidRPr="0023600A">
        <w:t xml:space="preserve"> užívateľský podnik.</w:t>
      </w:r>
      <w:r w:rsidR="0023600A">
        <w:t xml:space="preserve"> </w:t>
      </w:r>
      <w:r w:rsidR="00BF3D36">
        <w:t>P</w:t>
      </w:r>
      <w:r w:rsidR="0023600A">
        <w:t>ovi</w:t>
      </w:r>
      <w:r w:rsidR="00EF5E03">
        <w:t>nnosti užívateľského podniku bude</w:t>
      </w:r>
      <w:r w:rsidR="0023600A">
        <w:t xml:space="preserve"> za týchto </w:t>
      </w:r>
      <w:r w:rsidR="00EF5E03">
        <w:t>kone</w:t>
      </w:r>
      <w:r w:rsidR="0023600A">
        <w:t xml:space="preserve">čných </w:t>
      </w:r>
      <w:r w:rsidR="0023600A" w:rsidRPr="00BF3D36">
        <w:t xml:space="preserve">spotrebiteľov </w:t>
      </w:r>
      <w:r w:rsidR="00AF570E" w:rsidRPr="00BF3D36">
        <w:t>vykonávať</w:t>
      </w:r>
      <w:r w:rsidR="0023600A" w:rsidRPr="00BF3D36">
        <w:t xml:space="preserve"> </w:t>
      </w:r>
      <w:r w:rsidR="00BF3D36">
        <w:t>ich</w:t>
      </w:r>
      <w:r w:rsidR="00625F02">
        <w:t xml:space="preserve"> </w:t>
      </w:r>
      <w:r w:rsidR="0023600A" w:rsidRPr="00BF3D36">
        <w:t>dodávate</w:t>
      </w:r>
      <w:r w:rsidR="00AF570E" w:rsidRPr="00BF3D36">
        <w:t>ľ</w:t>
      </w:r>
      <w:r w:rsidR="00EF5E03" w:rsidRPr="00BF3D36">
        <w:t xml:space="preserve"> LPG.</w:t>
      </w:r>
    </w:p>
    <w:p w:rsidR="0034185C" w:rsidRPr="00566ED2" w:rsidRDefault="0034185C" w:rsidP="00566ED2">
      <w:pPr>
        <w:jc w:val="both"/>
      </w:pPr>
    </w:p>
    <w:p w:rsidR="00AF570E" w:rsidRDefault="0034185C" w:rsidP="00F6075C">
      <w:pPr>
        <w:ind w:firstLine="567"/>
        <w:jc w:val="both"/>
      </w:pPr>
      <w:r w:rsidRPr="00566ED2">
        <w:t>Zákonom č. 387/2020 Z. z.</w:t>
      </w:r>
      <w:r w:rsidR="00566ED2" w:rsidRPr="00566ED2">
        <w:t xml:space="preserve"> z 27. novembra 2020,</w:t>
      </w:r>
      <w:r w:rsidRPr="00566ED2">
        <w:t xml:space="preserve"> </w:t>
      </w:r>
      <w:r w:rsidR="00566ED2" w:rsidRPr="00566ED2">
        <w:rPr>
          <w:bCs/>
        </w:rPr>
        <w:t xml:space="preserve">ktorým sa mení a dopĺňa zákon </w:t>
      </w:r>
      <w:r w:rsidR="00EC4A17">
        <w:rPr>
          <w:bCs/>
        </w:rPr>
        <w:t xml:space="preserve">                      </w:t>
      </w:r>
      <w:r w:rsidR="00566ED2" w:rsidRPr="00566ED2">
        <w:rPr>
          <w:bCs/>
        </w:rPr>
        <w:t xml:space="preserve">č. 98/2004 Z. z. o spotrebnej dani z minerálneho oleja v znení neskorších predpisov a ktorým sa mení zákon </w:t>
      </w:r>
      <w:r w:rsidR="00566ED2" w:rsidRPr="00566ED2">
        <w:t xml:space="preserve">č. 218/2013 Z. z. o núdzových zásobách ropy a ropných výrobkov a o riešení stavu ropnej núdze a o zmene a doplnení niektorých zákonov v znení zákona č. 235/2019 Z. z. </w:t>
      </w:r>
      <w:r w:rsidR="0024404C">
        <w:t xml:space="preserve">(ďalej len „zákon“) </w:t>
      </w:r>
      <w:r w:rsidR="00566ED2" w:rsidRPr="00566ED2">
        <w:t>bola (okrem iného) prijatá legislatívna úprava</w:t>
      </w:r>
      <w:r w:rsidR="00EC4A17">
        <w:t xml:space="preserve"> (§ 11 zákona)</w:t>
      </w:r>
      <w:r w:rsidR="00566ED2" w:rsidRPr="00566ED2">
        <w:t xml:space="preserve">, ktorou sa s účinnosťou od 1. júla 2021 zavádza nový </w:t>
      </w:r>
      <w:r w:rsidR="00566ED2">
        <w:t>(elektronický)</w:t>
      </w:r>
      <w:r w:rsidR="00566ED2" w:rsidRPr="00566ED2">
        <w:t xml:space="preserve"> systém</w:t>
      </w:r>
      <w:r w:rsidR="004C5338">
        <w:t xml:space="preserve"> vydávania povolenia na použitie</w:t>
      </w:r>
      <w:r w:rsidR="00566ED2" w:rsidRPr="00566ED2">
        <w:t xml:space="preserve"> daňovo zvýhodneného minerálneho oleja</w:t>
      </w:r>
      <w:r w:rsidR="00EC4A17">
        <w:t xml:space="preserve">, odberných poukazov na odber daňovo zvýhodneného minerálneho oleja </w:t>
      </w:r>
      <w:r w:rsidR="00566ED2" w:rsidRPr="00566ED2">
        <w:t>a evidencie spotreby daňovo zvýhodneného minerálneho oleja užívateľským podnikom</w:t>
      </w:r>
      <w:r w:rsidR="00EC4A17">
        <w:t>. Zároveň</w:t>
      </w:r>
      <w:r w:rsidR="00566ED2" w:rsidRPr="00566ED2">
        <w:t xml:space="preserve"> </w:t>
      </w:r>
      <w:r w:rsidR="00EC4A17">
        <w:t>sa za daňovo zvýhodnený minerál</w:t>
      </w:r>
      <w:r w:rsidR="00566ED2" w:rsidRPr="00566ED2">
        <w:t xml:space="preserve">ny olej ustanovil </w:t>
      </w:r>
      <w:r w:rsidR="0023600A">
        <w:t>LPG</w:t>
      </w:r>
      <w:r w:rsidR="00EC4A17">
        <w:t xml:space="preserve"> </w:t>
      </w:r>
      <w:r w:rsidR="00625F02">
        <w:t>so sadzbou dane 0 eur/1 000 kg.</w:t>
      </w:r>
    </w:p>
    <w:p w:rsidR="00566ED2" w:rsidRPr="00566ED2" w:rsidRDefault="00EC4A17" w:rsidP="00F6075C">
      <w:pPr>
        <w:ind w:firstLine="567"/>
        <w:jc w:val="both"/>
      </w:pPr>
      <w:r>
        <w:t>Cieľ</w:t>
      </w:r>
      <w:r w:rsidR="00566ED2" w:rsidRPr="00566ED2">
        <w:t>om úpravy</w:t>
      </w:r>
      <w:r w:rsidR="00625F02">
        <w:t xml:space="preserve"> prijatej týmto zákonom</w:t>
      </w:r>
      <w:r w:rsidR="00566ED2" w:rsidRPr="00566ED2">
        <w:t xml:space="preserve"> je</w:t>
      </w:r>
      <w:r>
        <w:t xml:space="preserve"> </w:t>
      </w:r>
    </w:p>
    <w:p w:rsidR="00566ED2" w:rsidRPr="00BF3D36" w:rsidRDefault="00566ED2" w:rsidP="00F6075C">
      <w:pPr>
        <w:pStyle w:val="Odsekzoznamu"/>
        <w:numPr>
          <w:ilvl w:val="0"/>
          <w:numId w:val="12"/>
        </w:numPr>
        <w:spacing w:after="0" w:line="240" w:lineRule="auto"/>
        <w:ind w:left="567" w:hanging="567"/>
        <w:jc w:val="both"/>
        <w:rPr>
          <w:rFonts w:ascii="Times New Roman" w:hAnsi="Times New Roman"/>
          <w:iCs/>
          <w:color w:val="000000"/>
          <w:sz w:val="24"/>
          <w:szCs w:val="24"/>
        </w:rPr>
      </w:pPr>
      <w:r w:rsidRPr="00BF3D36">
        <w:rPr>
          <w:rFonts w:ascii="Times New Roman" w:hAnsi="Times New Roman"/>
          <w:iCs/>
          <w:color w:val="000000"/>
          <w:sz w:val="24"/>
          <w:szCs w:val="24"/>
        </w:rPr>
        <w:t>nezaťažovať registračnými a administratívnymi povinnosťami tie subjekty, ktoré obchodujú s LPG v daňovom voľnom obehu zdanen</w:t>
      </w:r>
      <w:r w:rsidR="00AF570E" w:rsidRPr="00BF3D36">
        <w:rPr>
          <w:rFonts w:ascii="Times New Roman" w:hAnsi="Times New Roman"/>
          <w:iCs/>
          <w:color w:val="000000"/>
          <w:sz w:val="24"/>
          <w:szCs w:val="24"/>
        </w:rPr>
        <w:t>ým</w:t>
      </w:r>
      <w:r w:rsidRPr="00BF3D36">
        <w:rPr>
          <w:rFonts w:ascii="Times New Roman" w:hAnsi="Times New Roman"/>
          <w:iCs/>
          <w:color w:val="000000"/>
          <w:sz w:val="24"/>
          <w:szCs w:val="24"/>
        </w:rPr>
        <w:t xml:space="preserve"> </w:t>
      </w:r>
      <w:r w:rsidR="009B7913">
        <w:rPr>
          <w:rFonts w:ascii="Times New Roman" w:hAnsi="Times New Roman"/>
          <w:iCs/>
          <w:color w:val="000000"/>
          <w:sz w:val="24"/>
          <w:szCs w:val="24"/>
        </w:rPr>
        <w:t>základnou (</w:t>
      </w:r>
      <w:r w:rsidR="00BF3D36" w:rsidRPr="00BF3D36">
        <w:rPr>
          <w:rFonts w:ascii="Times New Roman" w:hAnsi="Times New Roman"/>
          <w:iCs/>
          <w:color w:val="000000"/>
          <w:sz w:val="24"/>
          <w:szCs w:val="24"/>
        </w:rPr>
        <w:t>nezvýhodnenou</w:t>
      </w:r>
      <w:r w:rsidR="009B7913">
        <w:rPr>
          <w:rFonts w:ascii="Times New Roman" w:hAnsi="Times New Roman"/>
          <w:iCs/>
          <w:color w:val="000000"/>
          <w:sz w:val="24"/>
          <w:szCs w:val="24"/>
        </w:rPr>
        <w:t>)</w:t>
      </w:r>
      <w:r w:rsidRPr="00BF3D36">
        <w:rPr>
          <w:rFonts w:ascii="Times New Roman" w:hAnsi="Times New Roman"/>
          <w:iCs/>
          <w:color w:val="000000"/>
          <w:sz w:val="24"/>
          <w:szCs w:val="24"/>
        </w:rPr>
        <w:t xml:space="preserve"> sadzbou</w:t>
      </w:r>
      <w:r w:rsidR="00AF570E" w:rsidRPr="00BF3D36">
        <w:rPr>
          <w:rFonts w:ascii="Times New Roman" w:hAnsi="Times New Roman"/>
          <w:iCs/>
          <w:color w:val="000000"/>
          <w:sz w:val="24"/>
          <w:szCs w:val="24"/>
        </w:rPr>
        <w:t xml:space="preserve"> dane </w:t>
      </w:r>
      <w:r w:rsidRPr="00BF3D36">
        <w:rPr>
          <w:rFonts w:ascii="Times New Roman" w:hAnsi="Times New Roman"/>
          <w:i/>
          <w:iCs/>
          <w:color w:val="000000"/>
          <w:sz w:val="24"/>
          <w:szCs w:val="24"/>
        </w:rPr>
        <w:t>(</w:t>
      </w:r>
      <w:r w:rsidR="00EC4A17" w:rsidRPr="00BF3D36">
        <w:rPr>
          <w:rFonts w:ascii="Times New Roman" w:hAnsi="Times New Roman"/>
          <w:i/>
          <w:iCs/>
          <w:color w:val="000000"/>
          <w:sz w:val="24"/>
          <w:szCs w:val="24"/>
        </w:rPr>
        <w:t xml:space="preserve">podľa </w:t>
      </w:r>
      <w:r w:rsidR="00AF570E" w:rsidRPr="00BF3D36">
        <w:rPr>
          <w:rFonts w:ascii="Times New Roman" w:hAnsi="Times New Roman"/>
          <w:i/>
          <w:iCs/>
          <w:color w:val="000000"/>
          <w:sz w:val="24"/>
          <w:szCs w:val="24"/>
        </w:rPr>
        <w:t>súčasnej</w:t>
      </w:r>
      <w:r w:rsidR="00EC4A17" w:rsidRPr="00BF3D36">
        <w:rPr>
          <w:rFonts w:ascii="Times New Roman" w:hAnsi="Times New Roman"/>
          <w:i/>
          <w:iCs/>
          <w:color w:val="000000"/>
          <w:sz w:val="24"/>
          <w:szCs w:val="24"/>
        </w:rPr>
        <w:t xml:space="preserve"> legislatívnej úpravy platnej do 30. júna 2021 obch</w:t>
      </w:r>
      <w:r w:rsidR="00580B72" w:rsidRPr="00BF3D36">
        <w:rPr>
          <w:rFonts w:ascii="Times New Roman" w:hAnsi="Times New Roman"/>
          <w:i/>
          <w:iCs/>
          <w:color w:val="000000"/>
          <w:sz w:val="24"/>
          <w:szCs w:val="24"/>
        </w:rPr>
        <w:t xml:space="preserve">odovanie </w:t>
      </w:r>
      <w:r w:rsidR="009B7913">
        <w:rPr>
          <w:rFonts w:ascii="Vrinda" w:hAnsi="Vrinda" w:cs="Vrinda"/>
          <w:i/>
          <w:iCs/>
          <w:color w:val="000000"/>
          <w:sz w:val="24"/>
          <w:szCs w:val="24"/>
        </w:rPr>
        <w:t>-</w:t>
      </w:r>
      <w:r w:rsidR="00580B72" w:rsidRPr="00BF3D36">
        <w:rPr>
          <w:rFonts w:ascii="Times New Roman" w:hAnsi="Times New Roman"/>
          <w:i/>
          <w:iCs/>
          <w:color w:val="000000"/>
          <w:sz w:val="24"/>
          <w:szCs w:val="24"/>
        </w:rPr>
        <w:t xml:space="preserve"> distribúcia, predaj a použitie </w:t>
      </w:r>
      <w:r w:rsidR="009B7913">
        <w:rPr>
          <w:rFonts w:ascii="Vrinda" w:hAnsi="Vrinda" w:cs="Vrinda"/>
          <w:i/>
          <w:iCs/>
          <w:color w:val="000000"/>
          <w:sz w:val="24"/>
          <w:szCs w:val="24"/>
        </w:rPr>
        <w:t>-</w:t>
      </w:r>
      <w:r w:rsidR="00580B72" w:rsidRPr="00BF3D36">
        <w:rPr>
          <w:rFonts w:ascii="Times New Roman" w:hAnsi="Times New Roman"/>
          <w:i/>
          <w:iCs/>
          <w:color w:val="000000"/>
          <w:sz w:val="24"/>
          <w:szCs w:val="24"/>
        </w:rPr>
        <w:t xml:space="preserve"> </w:t>
      </w:r>
      <w:r w:rsidR="00EC4A17" w:rsidRPr="00BF3D36">
        <w:rPr>
          <w:rFonts w:ascii="Times New Roman" w:hAnsi="Times New Roman"/>
          <w:i/>
          <w:iCs/>
          <w:color w:val="000000"/>
          <w:sz w:val="24"/>
          <w:szCs w:val="24"/>
        </w:rPr>
        <w:t>s LPG so sadzbou dane 182 eur/1 000 kg určeného primárne na použitie ako pohonná látka</w:t>
      </w:r>
      <w:r w:rsidR="00580B72" w:rsidRPr="00BF3D36">
        <w:rPr>
          <w:rFonts w:ascii="Times New Roman" w:hAnsi="Times New Roman"/>
          <w:i/>
          <w:iCs/>
          <w:color w:val="000000"/>
          <w:sz w:val="24"/>
          <w:szCs w:val="24"/>
        </w:rPr>
        <w:t>,</w:t>
      </w:r>
      <w:r w:rsidR="00EC4A17" w:rsidRPr="00BF3D36">
        <w:rPr>
          <w:rFonts w:ascii="Times New Roman" w:hAnsi="Times New Roman"/>
          <w:i/>
          <w:iCs/>
          <w:color w:val="000000"/>
          <w:sz w:val="24"/>
          <w:szCs w:val="24"/>
        </w:rPr>
        <w:t xml:space="preserve"> podlieha registračnému </w:t>
      </w:r>
      <w:r w:rsidR="00580B72" w:rsidRPr="00BF3D36">
        <w:rPr>
          <w:rFonts w:ascii="Times New Roman" w:hAnsi="Times New Roman"/>
          <w:i/>
          <w:iCs/>
          <w:color w:val="000000"/>
          <w:sz w:val="24"/>
          <w:szCs w:val="24"/>
        </w:rPr>
        <w:t>alebo evidenčném</w:t>
      </w:r>
      <w:r w:rsidR="00EC4A17" w:rsidRPr="00BF3D36">
        <w:rPr>
          <w:rFonts w:ascii="Times New Roman" w:hAnsi="Times New Roman"/>
          <w:i/>
          <w:iCs/>
          <w:color w:val="000000"/>
          <w:sz w:val="24"/>
          <w:szCs w:val="24"/>
        </w:rPr>
        <w:t>u konaniu podľa § 25b zákona a kontrole colným úradom.</w:t>
      </w:r>
      <w:r w:rsidRPr="00BF3D36">
        <w:rPr>
          <w:rFonts w:ascii="Times New Roman" w:hAnsi="Times New Roman"/>
          <w:i/>
          <w:iCs/>
          <w:color w:val="000000"/>
          <w:sz w:val="24"/>
          <w:szCs w:val="24"/>
        </w:rPr>
        <w:t>)</w:t>
      </w:r>
      <w:r w:rsidRPr="00BF3D36">
        <w:rPr>
          <w:rFonts w:ascii="Times New Roman" w:hAnsi="Times New Roman"/>
          <w:iCs/>
          <w:color w:val="000000"/>
          <w:sz w:val="24"/>
          <w:szCs w:val="24"/>
        </w:rPr>
        <w:t>,</w:t>
      </w:r>
    </w:p>
    <w:p w:rsidR="00566ED2" w:rsidRPr="00BF3D36" w:rsidRDefault="00566ED2" w:rsidP="00F6075C">
      <w:pPr>
        <w:pStyle w:val="Odsekzoznamu"/>
        <w:numPr>
          <w:ilvl w:val="0"/>
          <w:numId w:val="12"/>
        </w:numPr>
        <w:spacing w:after="0" w:line="240" w:lineRule="auto"/>
        <w:ind w:left="567" w:hanging="567"/>
        <w:jc w:val="both"/>
        <w:rPr>
          <w:rFonts w:ascii="Times New Roman" w:hAnsi="Times New Roman"/>
          <w:iCs/>
          <w:color w:val="000000"/>
          <w:sz w:val="24"/>
          <w:szCs w:val="24"/>
        </w:rPr>
      </w:pPr>
      <w:r w:rsidRPr="00BF3D36">
        <w:rPr>
          <w:rFonts w:ascii="Times New Roman" w:hAnsi="Times New Roman"/>
          <w:iCs/>
          <w:color w:val="000000"/>
          <w:sz w:val="24"/>
          <w:szCs w:val="24"/>
        </w:rPr>
        <w:t>zvýšiť dôraz na kontrolu subjektov, ktoré používajú daňovo zvýhodnené LPG, teda LPG s </w:t>
      </w:r>
      <w:r w:rsidR="00AF570E" w:rsidRPr="00BF3D36">
        <w:rPr>
          <w:rFonts w:ascii="Times New Roman" w:hAnsi="Times New Roman"/>
          <w:iCs/>
          <w:color w:val="000000"/>
          <w:sz w:val="24"/>
          <w:szCs w:val="24"/>
        </w:rPr>
        <w:t>nulovou</w:t>
      </w:r>
      <w:r w:rsidRPr="00BF3D36">
        <w:rPr>
          <w:rFonts w:ascii="Times New Roman" w:hAnsi="Times New Roman"/>
          <w:iCs/>
          <w:color w:val="000000"/>
          <w:sz w:val="24"/>
          <w:szCs w:val="24"/>
        </w:rPr>
        <w:t xml:space="preserve"> sadzbou dane</w:t>
      </w:r>
      <w:r w:rsidR="00580B72" w:rsidRPr="00BF3D36">
        <w:rPr>
          <w:rFonts w:ascii="Times New Roman" w:hAnsi="Times New Roman"/>
          <w:iCs/>
          <w:color w:val="000000"/>
          <w:sz w:val="24"/>
          <w:szCs w:val="24"/>
        </w:rPr>
        <w:t xml:space="preserve"> </w:t>
      </w:r>
      <w:r w:rsidR="00580B72" w:rsidRPr="00BF3D36">
        <w:rPr>
          <w:rFonts w:ascii="Times New Roman" w:hAnsi="Times New Roman"/>
          <w:i/>
          <w:iCs/>
          <w:color w:val="000000"/>
          <w:sz w:val="24"/>
          <w:szCs w:val="24"/>
        </w:rPr>
        <w:t xml:space="preserve">(podľa </w:t>
      </w:r>
      <w:r w:rsidR="00AF570E" w:rsidRPr="00BF3D36">
        <w:rPr>
          <w:rFonts w:ascii="Times New Roman" w:hAnsi="Times New Roman"/>
          <w:i/>
          <w:iCs/>
          <w:color w:val="000000"/>
          <w:sz w:val="24"/>
          <w:szCs w:val="24"/>
        </w:rPr>
        <w:t>súčasnej</w:t>
      </w:r>
      <w:r w:rsidR="00580B72" w:rsidRPr="00BF3D36">
        <w:rPr>
          <w:rFonts w:ascii="Times New Roman" w:hAnsi="Times New Roman"/>
          <w:i/>
          <w:iCs/>
          <w:color w:val="000000"/>
          <w:sz w:val="24"/>
          <w:szCs w:val="24"/>
        </w:rPr>
        <w:t xml:space="preserve"> úpravy obchodovanie s LPG so sadzbou dane 0 eur/1 000 kg určeného na použitie ako palivo na výrobu tepla je bez akejkoľvek kontroly)</w:t>
      </w:r>
      <w:r w:rsidRPr="00BF3D36">
        <w:rPr>
          <w:rFonts w:ascii="Times New Roman" w:hAnsi="Times New Roman"/>
          <w:iCs/>
          <w:color w:val="000000"/>
          <w:sz w:val="24"/>
          <w:szCs w:val="24"/>
        </w:rPr>
        <w:t>,</w:t>
      </w:r>
    </w:p>
    <w:p w:rsidR="00566ED2" w:rsidRPr="00BF3D36" w:rsidRDefault="00566ED2" w:rsidP="00F6075C">
      <w:pPr>
        <w:pStyle w:val="Odsekzoznamu"/>
        <w:numPr>
          <w:ilvl w:val="0"/>
          <w:numId w:val="12"/>
        </w:numPr>
        <w:spacing w:after="0" w:line="240" w:lineRule="auto"/>
        <w:ind w:left="567" w:hanging="567"/>
        <w:jc w:val="both"/>
        <w:rPr>
          <w:rFonts w:ascii="Times New Roman" w:hAnsi="Times New Roman"/>
          <w:sz w:val="24"/>
          <w:szCs w:val="24"/>
        </w:rPr>
      </w:pPr>
      <w:r w:rsidRPr="00BF3D36">
        <w:rPr>
          <w:rFonts w:ascii="Times New Roman" w:hAnsi="Times New Roman"/>
          <w:iCs/>
          <w:color w:val="000000"/>
          <w:sz w:val="24"/>
          <w:szCs w:val="24"/>
        </w:rPr>
        <w:t>aplikovať jednotný režim pre vše</w:t>
      </w:r>
      <w:r w:rsidR="009B7913">
        <w:rPr>
          <w:rFonts w:ascii="Times New Roman" w:hAnsi="Times New Roman"/>
          <w:iCs/>
          <w:color w:val="000000"/>
          <w:sz w:val="24"/>
          <w:szCs w:val="24"/>
        </w:rPr>
        <w:t>tky daňovo zvýhodnené druhy minerálnych</w:t>
      </w:r>
      <w:r w:rsidRPr="00BF3D36">
        <w:rPr>
          <w:rFonts w:ascii="Times New Roman" w:hAnsi="Times New Roman"/>
          <w:iCs/>
          <w:color w:val="000000"/>
          <w:sz w:val="24"/>
          <w:szCs w:val="24"/>
        </w:rPr>
        <w:t xml:space="preserve"> olejov</w:t>
      </w:r>
      <w:r w:rsidR="00580B72" w:rsidRPr="00BF3D36">
        <w:rPr>
          <w:rFonts w:ascii="Times New Roman" w:hAnsi="Times New Roman"/>
          <w:iCs/>
          <w:color w:val="000000"/>
          <w:sz w:val="24"/>
          <w:szCs w:val="24"/>
        </w:rPr>
        <w:t>.</w:t>
      </w:r>
    </w:p>
    <w:p w:rsidR="00580B72" w:rsidRPr="00BF3D36" w:rsidRDefault="00580B72" w:rsidP="00FE3DEA">
      <w:pPr>
        <w:jc w:val="both"/>
      </w:pPr>
    </w:p>
    <w:p w:rsidR="00566ED2" w:rsidRDefault="00566ED2" w:rsidP="00BF3D36">
      <w:pPr>
        <w:ind w:firstLine="567"/>
        <w:jc w:val="both"/>
        <w:rPr>
          <w:b/>
          <w:color w:val="000000"/>
        </w:rPr>
      </w:pPr>
      <w:r w:rsidRPr="00BF3D36">
        <w:t xml:space="preserve">Prijatiu </w:t>
      </w:r>
      <w:r w:rsidR="00580B72" w:rsidRPr="00BF3D36">
        <w:t>zákona</w:t>
      </w:r>
      <w:r w:rsidRPr="00BF3D36">
        <w:t xml:space="preserve"> predchádzal </w:t>
      </w:r>
      <w:r w:rsidR="00580B72" w:rsidRPr="00BF3D36">
        <w:t>štandardný</w:t>
      </w:r>
      <w:r w:rsidRPr="00BF3D36">
        <w:t xml:space="preserve"> legislatívny proces</w:t>
      </w:r>
      <w:r w:rsidR="0024404C" w:rsidRPr="00BF3D36">
        <w:t xml:space="preserve"> prostredníctvo</w:t>
      </w:r>
      <w:r w:rsidR="00AF570E" w:rsidRPr="00BF3D36">
        <w:t>m</w:t>
      </w:r>
      <w:r w:rsidR="0024404C" w:rsidRPr="00BF3D36">
        <w:t xml:space="preserve"> verejne dostupného portálu Slov-</w:t>
      </w:r>
      <w:r w:rsidR="00AF570E" w:rsidRPr="00BF3D36">
        <w:t>L</w:t>
      </w:r>
      <w:r w:rsidR="0024404C" w:rsidRPr="00BF3D36">
        <w:t>ex,</w:t>
      </w:r>
      <w:r w:rsidRPr="00BF3D36">
        <w:t xml:space="preserve"> </w:t>
      </w:r>
      <w:r w:rsidR="00580B72" w:rsidRPr="00BF3D36">
        <w:t xml:space="preserve">ktorý sa začal </w:t>
      </w:r>
      <w:r w:rsidR="00580B72" w:rsidRPr="00BF3D36">
        <w:rPr>
          <w:color w:val="000000"/>
        </w:rPr>
        <w:t>28. februára 2020 uverejnením predbežnej</w:t>
      </w:r>
      <w:r w:rsidR="00580B72">
        <w:rPr>
          <w:color w:val="000000"/>
        </w:rPr>
        <w:t xml:space="preserve"> informácie. N</w:t>
      </w:r>
      <w:r w:rsidR="0024404C">
        <w:rPr>
          <w:color w:val="000000"/>
        </w:rPr>
        <w:t>a</w:t>
      </w:r>
      <w:r w:rsidR="00580B72">
        <w:rPr>
          <w:color w:val="000000"/>
        </w:rPr>
        <w:t>sledov</w:t>
      </w:r>
      <w:r w:rsidR="0024404C">
        <w:rPr>
          <w:color w:val="000000"/>
        </w:rPr>
        <w:t>a</w:t>
      </w:r>
      <w:r w:rsidR="00580B72">
        <w:rPr>
          <w:color w:val="000000"/>
        </w:rPr>
        <w:t>li konzultácie s daňovými subjektami</w:t>
      </w:r>
      <w:r w:rsidR="0024404C">
        <w:rPr>
          <w:color w:val="000000"/>
        </w:rPr>
        <w:t xml:space="preserve">, predbežné pripomienkové konanie a medzirezortné pripomienkové konanie. </w:t>
      </w:r>
      <w:r w:rsidR="00580B72">
        <w:rPr>
          <w:color w:val="000000"/>
        </w:rPr>
        <w:t>Dotknuté subjekty sa mohli zapojiť do prípravy návrhu zákona po uverejnení predbežnej informácie a následného 4-týždňového obdobia verejných konzultácií, ku ktorým boli pozvané všetky subjekty, ktoré prejavili záujem, počas predbežného pripomienkového konania a tiež v rámci medzirezortného pripomienkového konania, ktoré sa skončilo 14. augusta 2020.</w:t>
      </w:r>
      <w:r w:rsidR="00797E5F">
        <w:rPr>
          <w:color w:val="000000"/>
        </w:rPr>
        <w:t xml:space="preserve"> </w:t>
      </w:r>
      <w:r w:rsidR="00797E5F" w:rsidRPr="00797E5F">
        <w:rPr>
          <w:b/>
          <w:color w:val="000000"/>
        </w:rPr>
        <w:t xml:space="preserve">V rámci pripomienkového konania neboli </w:t>
      </w:r>
      <w:r w:rsidR="00797E5F" w:rsidRPr="00797E5F">
        <w:rPr>
          <w:b/>
          <w:color w:val="000000"/>
        </w:rPr>
        <w:lastRenderedPageBreak/>
        <w:t>k </w:t>
      </w:r>
      <w:r w:rsidR="00797E5F">
        <w:rPr>
          <w:b/>
          <w:color w:val="000000"/>
        </w:rPr>
        <w:t>n</w:t>
      </w:r>
      <w:r w:rsidR="00797E5F" w:rsidRPr="00797E5F">
        <w:rPr>
          <w:b/>
          <w:color w:val="000000"/>
        </w:rPr>
        <w:t xml:space="preserve">ávrhu </w:t>
      </w:r>
      <w:r w:rsidR="00797E5F">
        <w:rPr>
          <w:b/>
          <w:color w:val="000000"/>
        </w:rPr>
        <w:t xml:space="preserve">nového znenia </w:t>
      </w:r>
      <w:r w:rsidR="00797E5F" w:rsidRPr="00797E5F">
        <w:rPr>
          <w:b/>
          <w:color w:val="000000"/>
        </w:rPr>
        <w:t>§ 11 zákona uplatnené zo</w:t>
      </w:r>
      <w:r w:rsidR="00797E5F">
        <w:rPr>
          <w:b/>
          <w:color w:val="000000"/>
        </w:rPr>
        <w:t xml:space="preserve"> strany dotk</w:t>
      </w:r>
      <w:r w:rsidR="00797E5F" w:rsidRPr="00797E5F">
        <w:rPr>
          <w:b/>
          <w:color w:val="000000"/>
        </w:rPr>
        <w:t>n</w:t>
      </w:r>
      <w:r w:rsidR="00797E5F">
        <w:rPr>
          <w:b/>
          <w:color w:val="000000"/>
        </w:rPr>
        <w:t>u</w:t>
      </w:r>
      <w:r w:rsidR="00797E5F" w:rsidRPr="00797E5F">
        <w:rPr>
          <w:b/>
          <w:color w:val="000000"/>
        </w:rPr>
        <w:t xml:space="preserve">tých subjektov </w:t>
      </w:r>
      <w:r w:rsidR="009B7913" w:rsidRPr="009B7913">
        <w:rPr>
          <w:b/>
          <w:i/>
          <w:color w:val="000000"/>
        </w:rPr>
        <w:t>(distribútorov a užívateľov LPG)</w:t>
      </w:r>
      <w:r w:rsidR="009B7913">
        <w:rPr>
          <w:b/>
          <w:color w:val="000000"/>
        </w:rPr>
        <w:t xml:space="preserve"> </w:t>
      </w:r>
      <w:r w:rsidR="00797E5F" w:rsidRPr="00797E5F">
        <w:rPr>
          <w:b/>
          <w:color w:val="000000"/>
        </w:rPr>
        <w:t xml:space="preserve">žiadne </w:t>
      </w:r>
      <w:r w:rsidR="00797E5F">
        <w:rPr>
          <w:b/>
          <w:color w:val="000000"/>
        </w:rPr>
        <w:t>návrhy a </w:t>
      </w:r>
      <w:r w:rsidR="00797E5F" w:rsidRPr="00797E5F">
        <w:rPr>
          <w:b/>
          <w:color w:val="000000"/>
        </w:rPr>
        <w:t>pripomienky</w:t>
      </w:r>
      <w:r w:rsidR="00797E5F">
        <w:rPr>
          <w:b/>
          <w:color w:val="000000"/>
        </w:rPr>
        <w:t>.</w:t>
      </w:r>
    </w:p>
    <w:p w:rsidR="006A2F33" w:rsidRPr="006A2F33" w:rsidRDefault="006A2F33" w:rsidP="006A2F33">
      <w:pPr>
        <w:jc w:val="both"/>
        <w:rPr>
          <w:color w:val="000000"/>
        </w:rPr>
      </w:pPr>
    </w:p>
    <w:p w:rsidR="00D6272D" w:rsidRPr="00BF3D36" w:rsidRDefault="0024404C" w:rsidP="00797E5F">
      <w:pPr>
        <w:pStyle w:val="Zkladntext"/>
        <w:ind w:firstLine="567"/>
        <w:jc w:val="both"/>
        <w:rPr>
          <w:rFonts w:ascii="Times New Roman" w:hAnsi="Times New Roman" w:cs="Times New Roman"/>
          <w:bCs/>
        </w:rPr>
      </w:pPr>
      <w:r>
        <w:rPr>
          <w:rFonts w:ascii="Times New Roman" w:hAnsi="Times New Roman" w:cs="Times New Roman"/>
          <w:bCs/>
        </w:rPr>
        <w:t xml:space="preserve">Prijatý zákon v prechodnom ustanovení (§ 46u zákona) účinnom od 1. januára 2021 </w:t>
      </w:r>
      <w:r w:rsidR="00D6272D">
        <w:rPr>
          <w:rFonts w:ascii="Times New Roman" w:hAnsi="Times New Roman" w:cs="Times New Roman"/>
          <w:bCs/>
        </w:rPr>
        <w:t xml:space="preserve">stanovil osobe, </w:t>
      </w:r>
      <w:r w:rsidR="00D6272D" w:rsidRPr="00D6272D">
        <w:rPr>
          <w:rFonts w:ascii="Times New Roman" w:hAnsi="Times New Roman" w:cs="Times New Roman"/>
          <w:bCs/>
        </w:rPr>
        <w:t xml:space="preserve">ktorá chce byť od 1. júla 2021 užívateľským podnikom podľa § 11 ods. 2 písm. a) až c) v znení účinnom od 1. júla 2021, </w:t>
      </w:r>
      <w:r w:rsidR="00D6272D">
        <w:rPr>
          <w:rFonts w:ascii="Times New Roman" w:hAnsi="Times New Roman" w:cs="Times New Roman"/>
          <w:bCs/>
        </w:rPr>
        <w:t>povinnosť</w:t>
      </w:r>
      <w:r w:rsidR="00D6272D" w:rsidRPr="00D6272D">
        <w:rPr>
          <w:rFonts w:ascii="Times New Roman" w:hAnsi="Times New Roman" w:cs="Times New Roman"/>
          <w:bCs/>
        </w:rPr>
        <w:t xml:space="preserve"> požiadať do 31. marca 2021 colný úrad o vydanie povolenia na použitie a o vydanie odberného poukazu.</w:t>
      </w:r>
      <w:r w:rsidR="00D6272D">
        <w:rPr>
          <w:rFonts w:ascii="Times New Roman" w:hAnsi="Times New Roman" w:cs="Times New Roman"/>
          <w:bCs/>
        </w:rPr>
        <w:t xml:space="preserve"> Podľa tohto prechodného </w:t>
      </w:r>
      <w:r w:rsidR="00D6272D" w:rsidRPr="00BF3D36">
        <w:rPr>
          <w:rFonts w:ascii="Times New Roman" w:hAnsi="Times New Roman" w:cs="Times New Roman"/>
          <w:bCs/>
        </w:rPr>
        <w:t>ustanoveni</w:t>
      </w:r>
      <w:r w:rsidR="00AF570E" w:rsidRPr="00BF3D36">
        <w:rPr>
          <w:rFonts w:ascii="Times New Roman" w:hAnsi="Times New Roman" w:cs="Times New Roman"/>
          <w:bCs/>
        </w:rPr>
        <w:t>a</w:t>
      </w:r>
      <w:r w:rsidR="00D6272D" w:rsidRPr="00BF3D36">
        <w:rPr>
          <w:rFonts w:ascii="Times New Roman" w:hAnsi="Times New Roman" w:cs="Times New Roman"/>
          <w:bCs/>
        </w:rPr>
        <w:t xml:space="preserve"> osoby, ktoré chcú od 1. júla 202</w:t>
      </w:r>
      <w:r w:rsidR="00AF570E" w:rsidRPr="00BF3D36">
        <w:rPr>
          <w:rFonts w:ascii="Times New Roman" w:hAnsi="Times New Roman" w:cs="Times New Roman"/>
          <w:bCs/>
        </w:rPr>
        <w:t>1</w:t>
      </w:r>
      <w:r w:rsidR="00D6272D" w:rsidRPr="00BF3D36">
        <w:rPr>
          <w:rFonts w:ascii="Times New Roman" w:hAnsi="Times New Roman" w:cs="Times New Roman"/>
          <w:bCs/>
        </w:rPr>
        <w:t xml:space="preserve"> používať LPG ako palivo na výrobu tepla museli požiadať do 31. marca </w:t>
      </w:r>
      <w:r w:rsidR="00797E5F" w:rsidRPr="00BF3D36">
        <w:rPr>
          <w:rFonts w:ascii="Times New Roman" w:hAnsi="Times New Roman" w:cs="Times New Roman"/>
          <w:bCs/>
        </w:rPr>
        <w:t xml:space="preserve">2021 </w:t>
      </w:r>
      <w:r w:rsidR="00D6272D" w:rsidRPr="00BF3D36">
        <w:rPr>
          <w:rFonts w:ascii="Times New Roman" w:hAnsi="Times New Roman" w:cs="Times New Roman"/>
          <w:bCs/>
        </w:rPr>
        <w:t>o vydanie povolenia na použitie a o vydanie odberného poukazu a splniť zákonom ustanovené štandardné podmienky pre každú osobu, ktorá chce byť užívateľským podnikom.</w:t>
      </w:r>
      <w:r w:rsidR="00797E5F" w:rsidRPr="00BF3D36">
        <w:rPr>
          <w:rFonts w:ascii="Times New Roman" w:hAnsi="Times New Roman" w:cs="Times New Roman"/>
          <w:bCs/>
        </w:rPr>
        <w:t xml:space="preserve"> </w:t>
      </w:r>
      <w:r w:rsidR="00AF570E" w:rsidRPr="00BF3D36">
        <w:rPr>
          <w:rFonts w:ascii="Times New Roman" w:hAnsi="Times New Roman" w:cs="Times New Roman"/>
          <w:bCs/>
        </w:rPr>
        <w:t>Až na základe preverovania</w:t>
      </w:r>
      <w:r w:rsidR="00D6272D" w:rsidRPr="00BF3D36">
        <w:rPr>
          <w:rFonts w:ascii="Times New Roman" w:hAnsi="Times New Roman" w:cs="Times New Roman"/>
          <w:bCs/>
        </w:rPr>
        <w:t xml:space="preserve"> údajov</w:t>
      </w:r>
      <w:r w:rsidR="00D6272D" w:rsidRPr="00BF3D36">
        <w:t xml:space="preserve"> </w:t>
      </w:r>
      <w:r w:rsidR="00D6272D" w:rsidRPr="00BF3D36">
        <w:rPr>
          <w:rFonts w:ascii="Times New Roman" w:hAnsi="Times New Roman" w:cs="Times New Roman"/>
          <w:bCs/>
        </w:rPr>
        <w:t xml:space="preserve">uvedených </w:t>
      </w:r>
      <w:r w:rsidR="006A2F33">
        <w:rPr>
          <w:rFonts w:ascii="Times New Roman" w:hAnsi="Times New Roman" w:cs="Times New Roman"/>
          <w:bCs/>
        </w:rPr>
        <w:t xml:space="preserve">            </w:t>
      </w:r>
      <w:r w:rsidR="00D6272D" w:rsidRPr="00BF3D36">
        <w:rPr>
          <w:rFonts w:ascii="Times New Roman" w:hAnsi="Times New Roman" w:cs="Times New Roman"/>
          <w:bCs/>
        </w:rPr>
        <w:t>v žiadosti a v jej prílohách colnými úradmi, ktoré predchádza vydan</w:t>
      </w:r>
      <w:r w:rsidR="00AF570E" w:rsidRPr="00BF3D36">
        <w:rPr>
          <w:rFonts w:ascii="Times New Roman" w:hAnsi="Times New Roman" w:cs="Times New Roman"/>
          <w:bCs/>
        </w:rPr>
        <w:t>iu</w:t>
      </w:r>
      <w:r w:rsidR="00D6272D" w:rsidRPr="00BF3D36">
        <w:rPr>
          <w:rFonts w:ascii="Times New Roman" w:hAnsi="Times New Roman" w:cs="Times New Roman"/>
          <w:bCs/>
        </w:rPr>
        <w:t xml:space="preserve"> povolenia na použitie </w:t>
      </w:r>
      <w:r w:rsidR="006A2F33">
        <w:rPr>
          <w:rFonts w:ascii="Times New Roman" w:hAnsi="Times New Roman" w:cs="Times New Roman"/>
          <w:bCs/>
        </w:rPr>
        <w:t xml:space="preserve">         </w:t>
      </w:r>
      <w:r w:rsidR="00D6272D" w:rsidRPr="00BF3D36">
        <w:rPr>
          <w:rFonts w:ascii="Times New Roman" w:hAnsi="Times New Roman" w:cs="Times New Roman"/>
          <w:bCs/>
        </w:rPr>
        <w:t xml:space="preserve">a odberného poukazu, dotknuté subjekty </w:t>
      </w:r>
      <w:r w:rsidR="00797E5F" w:rsidRPr="00BF3D36">
        <w:rPr>
          <w:rFonts w:ascii="Times New Roman" w:hAnsi="Times New Roman" w:cs="Times New Roman"/>
          <w:bCs/>
        </w:rPr>
        <w:t>z</w:t>
      </w:r>
      <w:r w:rsidR="00D6272D" w:rsidRPr="00BF3D36">
        <w:rPr>
          <w:rFonts w:ascii="Times New Roman" w:hAnsi="Times New Roman" w:cs="Times New Roman"/>
          <w:bCs/>
        </w:rPr>
        <w:t>istili</w:t>
      </w:r>
      <w:r w:rsidR="00AF570E" w:rsidRPr="00BF3D36">
        <w:rPr>
          <w:rFonts w:ascii="Times New Roman" w:hAnsi="Times New Roman" w:cs="Times New Roman"/>
          <w:bCs/>
        </w:rPr>
        <w:t>,</w:t>
      </w:r>
      <w:r w:rsidR="00D6272D" w:rsidRPr="00BF3D36">
        <w:rPr>
          <w:rFonts w:ascii="Times New Roman" w:hAnsi="Times New Roman" w:cs="Times New Roman"/>
          <w:bCs/>
        </w:rPr>
        <w:t xml:space="preserve"> že </w:t>
      </w:r>
      <w:r w:rsidR="00797E5F" w:rsidRPr="00BF3D36">
        <w:rPr>
          <w:rFonts w:ascii="Times New Roman" w:hAnsi="Times New Roman" w:cs="Times New Roman"/>
          <w:bCs/>
        </w:rPr>
        <w:t>prijatá úprava, ktorá sa týka ich podnikateľských aktivít v oblasti obchodovani</w:t>
      </w:r>
      <w:r w:rsidR="00AF570E" w:rsidRPr="00BF3D36">
        <w:rPr>
          <w:rFonts w:ascii="Times New Roman" w:hAnsi="Times New Roman" w:cs="Times New Roman"/>
          <w:bCs/>
        </w:rPr>
        <w:t>a</w:t>
      </w:r>
      <w:r w:rsidR="00797E5F" w:rsidRPr="00BF3D36">
        <w:rPr>
          <w:rFonts w:ascii="Times New Roman" w:hAnsi="Times New Roman" w:cs="Times New Roman"/>
          <w:bCs/>
        </w:rPr>
        <w:t xml:space="preserve"> s LPG ako palivo</w:t>
      </w:r>
      <w:r w:rsidR="00AF570E" w:rsidRPr="00BF3D36">
        <w:rPr>
          <w:rFonts w:ascii="Times New Roman" w:hAnsi="Times New Roman" w:cs="Times New Roman"/>
          <w:bCs/>
        </w:rPr>
        <w:t>m</w:t>
      </w:r>
      <w:r w:rsidR="00797E5F" w:rsidRPr="00BF3D36">
        <w:rPr>
          <w:rFonts w:ascii="Times New Roman" w:hAnsi="Times New Roman" w:cs="Times New Roman"/>
          <w:bCs/>
        </w:rPr>
        <w:t xml:space="preserve"> na výro</w:t>
      </w:r>
      <w:r w:rsidR="00AF570E" w:rsidRPr="00BF3D36">
        <w:rPr>
          <w:rFonts w:ascii="Times New Roman" w:hAnsi="Times New Roman" w:cs="Times New Roman"/>
          <w:bCs/>
        </w:rPr>
        <w:t>b</w:t>
      </w:r>
      <w:r w:rsidR="00797E5F" w:rsidRPr="00BF3D36">
        <w:rPr>
          <w:rFonts w:ascii="Times New Roman" w:hAnsi="Times New Roman" w:cs="Times New Roman"/>
          <w:bCs/>
        </w:rPr>
        <w:t>u tepla</w:t>
      </w:r>
      <w:r w:rsidR="004C5338">
        <w:rPr>
          <w:rFonts w:ascii="Times New Roman" w:hAnsi="Times New Roman" w:cs="Times New Roman"/>
          <w:bCs/>
        </w:rPr>
        <w:t xml:space="preserve"> vyžaduje z ich strany</w:t>
      </w:r>
      <w:r w:rsidR="009B7913">
        <w:rPr>
          <w:rFonts w:ascii="Times New Roman" w:hAnsi="Times New Roman" w:cs="Times New Roman"/>
          <w:bCs/>
        </w:rPr>
        <w:t xml:space="preserve"> plnenie stanovených podmienok</w:t>
      </w:r>
      <w:r w:rsidR="00797E5F" w:rsidRPr="00BF3D36">
        <w:rPr>
          <w:rFonts w:ascii="Times New Roman" w:hAnsi="Times New Roman" w:cs="Times New Roman"/>
          <w:bCs/>
        </w:rPr>
        <w:t xml:space="preserve"> a začali uplatňovať pripomienky a návrhy na úpravu a doplnenie ustanovenia o užívateľskom podniku účinného od 1. júla 2021.</w:t>
      </w:r>
    </w:p>
    <w:p w:rsidR="0034185C" w:rsidRPr="00BF3D36" w:rsidRDefault="0034185C" w:rsidP="00797E5F">
      <w:pPr>
        <w:rPr>
          <w:bCs/>
        </w:rPr>
      </w:pPr>
    </w:p>
    <w:p w:rsidR="0034185C" w:rsidRPr="00BF3D36" w:rsidRDefault="00DE745E" w:rsidP="00797E5F">
      <w:pPr>
        <w:ind w:firstLine="567"/>
        <w:jc w:val="both"/>
        <w:rPr>
          <w:color w:val="000000" w:themeColor="text1"/>
        </w:rPr>
      </w:pPr>
      <w:r w:rsidRPr="00BF3D36">
        <w:rPr>
          <w:color w:val="000000" w:themeColor="text1"/>
        </w:rPr>
        <w:t>Schválenie predkladaného návrhu zákona</w:t>
      </w:r>
      <w:r w:rsidR="00797E5F" w:rsidRPr="00BF3D36">
        <w:rPr>
          <w:color w:val="000000" w:themeColor="text1"/>
        </w:rPr>
        <w:t xml:space="preserve"> </w:t>
      </w:r>
      <w:r w:rsidR="00E1303D" w:rsidRPr="00BF3D36">
        <w:rPr>
          <w:color w:val="000000" w:themeColor="text1"/>
        </w:rPr>
        <w:t>umožn</w:t>
      </w:r>
      <w:r w:rsidR="00797E5F" w:rsidRPr="00BF3D36">
        <w:rPr>
          <w:color w:val="000000" w:themeColor="text1"/>
        </w:rPr>
        <w:t>í užívateľskému podniku</w:t>
      </w:r>
      <w:r w:rsidR="00E1303D" w:rsidRPr="00BF3D36">
        <w:rPr>
          <w:color w:val="000000" w:themeColor="text1"/>
        </w:rPr>
        <w:t>, ktorý dodáva LPG konečným spotrebiteľom na konečné použitie LPG ako palivo na výrobu te</w:t>
      </w:r>
      <w:r w:rsidR="00AF570E" w:rsidRPr="00BF3D36">
        <w:rPr>
          <w:color w:val="000000" w:themeColor="text1"/>
        </w:rPr>
        <w:t>p</w:t>
      </w:r>
      <w:r w:rsidR="00E1303D" w:rsidRPr="00BF3D36">
        <w:rPr>
          <w:color w:val="000000" w:themeColor="text1"/>
        </w:rPr>
        <w:t>la</w:t>
      </w:r>
      <w:r w:rsidR="00AF570E" w:rsidRPr="00BF3D36">
        <w:rPr>
          <w:color w:val="000000" w:themeColor="text1"/>
        </w:rPr>
        <w:t>,</w:t>
      </w:r>
      <w:r w:rsidR="00E1303D" w:rsidRPr="00BF3D36">
        <w:rPr>
          <w:color w:val="000000" w:themeColor="text1"/>
        </w:rPr>
        <w:t xml:space="preserve"> dodávať tento minerálny olej širšiemu okruhu ko</w:t>
      </w:r>
      <w:r w:rsidR="003363BA" w:rsidRPr="00BF3D36">
        <w:rPr>
          <w:color w:val="000000" w:themeColor="text1"/>
        </w:rPr>
        <w:t>nečných spotrebiteľov LPG, ktorí nebudú povinní</w:t>
      </w:r>
      <w:r w:rsidR="00E1303D" w:rsidRPr="00BF3D36">
        <w:rPr>
          <w:color w:val="000000" w:themeColor="text1"/>
        </w:rPr>
        <w:t xml:space="preserve"> mať povolenia na použitie daňovo zvýhodneného minerálneho oleja a odberný poukaz, čím sa</w:t>
      </w:r>
      <w:r w:rsidR="00797E5F" w:rsidRPr="00BF3D36">
        <w:rPr>
          <w:color w:val="000000" w:themeColor="text1"/>
        </w:rPr>
        <w:t xml:space="preserve"> </w:t>
      </w:r>
      <w:r w:rsidR="00E1303D" w:rsidRPr="00BF3D36">
        <w:rPr>
          <w:color w:val="000000" w:themeColor="text1"/>
        </w:rPr>
        <w:t xml:space="preserve">eliminuje počet povinných osôb. Tiež sa ustanovia výnimky z prepravy </w:t>
      </w:r>
      <w:r w:rsidR="009B7913">
        <w:rPr>
          <w:color w:val="000000" w:themeColor="text1"/>
        </w:rPr>
        <w:t>daňovo zvýhodneného minerálneho oleja</w:t>
      </w:r>
      <w:r w:rsidR="00E1303D" w:rsidRPr="00BF3D36">
        <w:rPr>
          <w:color w:val="000000" w:themeColor="text1"/>
        </w:rPr>
        <w:t xml:space="preserve"> na daňovom území pri dodaní LPG konečným spotrebiteľom</w:t>
      </w:r>
      <w:r w:rsidR="009B7913">
        <w:rPr>
          <w:color w:val="000000" w:themeColor="text1"/>
        </w:rPr>
        <w:t xml:space="preserve"> užívateľským podnikom</w:t>
      </w:r>
      <w:r w:rsidR="00E1303D" w:rsidRPr="00BF3D36">
        <w:rPr>
          <w:color w:val="000000" w:themeColor="text1"/>
        </w:rPr>
        <w:t>.</w:t>
      </w:r>
    </w:p>
    <w:p w:rsidR="00797E5F" w:rsidRDefault="00797E5F" w:rsidP="00797E5F">
      <w:pPr>
        <w:jc w:val="both"/>
        <w:rPr>
          <w:color w:val="000000" w:themeColor="text1"/>
        </w:rPr>
      </w:pPr>
    </w:p>
    <w:p w:rsidR="004407E5" w:rsidRPr="004407E5" w:rsidRDefault="004407E5" w:rsidP="004407E5">
      <w:pPr>
        <w:pStyle w:val="Zkladntext"/>
        <w:ind w:firstLine="567"/>
        <w:jc w:val="both"/>
        <w:rPr>
          <w:rFonts w:ascii="Times New Roman" w:hAnsi="Times New Roman" w:cs="Times New Roman"/>
        </w:rPr>
      </w:pPr>
      <w:r w:rsidRPr="00A422CF">
        <w:rPr>
          <w:rStyle w:val="Zstupntext"/>
          <w:rFonts w:eastAsiaTheme="majorEastAsia" w:cs="Times New Roman"/>
          <w:color w:val="000000"/>
        </w:rPr>
        <w:t xml:space="preserve">Účinnosť </w:t>
      </w:r>
      <w:r>
        <w:rPr>
          <w:rStyle w:val="Zstupntext"/>
          <w:rFonts w:eastAsiaTheme="majorEastAsia" w:cs="Times New Roman"/>
          <w:color w:val="000000"/>
        </w:rPr>
        <w:t xml:space="preserve">návrhu </w:t>
      </w:r>
      <w:r w:rsidRPr="00A422CF">
        <w:rPr>
          <w:rStyle w:val="Zstupntext"/>
          <w:rFonts w:eastAsiaTheme="majorEastAsia" w:cs="Times New Roman"/>
          <w:color w:val="000000"/>
        </w:rPr>
        <w:t>zákona</w:t>
      </w:r>
      <w:r>
        <w:rPr>
          <w:rStyle w:val="Zstupntext"/>
          <w:rFonts w:eastAsiaTheme="majorEastAsia" w:cs="Times New Roman"/>
          <w:color w:val="000000"/>
        </w:rPr>
        <w:t xml:space="preserve"> sa navrhuje </w:t>
      </w:r>
      <w:r w:rsidRPr="004407E5">
        <w:rPr>
          <w:rFonts w:ascii="Times New Roman" w:hAnsi="Times New Roman" w:cs="Times New Roman"/>
        </w:rPr>
        <w:t>dňom vyhlásenia okrem čl. I bodov 1 až 13</w:t>
      </w:r>
      <w:r>
        <w:rPr>
          <w:rFonts w:ascii="Times New Roman" w:hAnsi="Times New Roman" w:cs="Times New Roman"/>
        </w:rPr>
        <w:t>, ktorých</w:t>
      </w:r>
      <w:r w:rsidRPr="004407E5">
        <w:rPr>
          <w:rFonts w:ascii="Times New Roman" w:hAnsi="Times New Roman" w:cs="Times New Roman"/>
        </w:rPr>
        <w:t xml:space="preserve"> účinnosť </w:t>
      </w:r>
      <w:r>
        <w:rPr>
          <w:rFonts w:ascii="Times New Roman" w:hAnsi="Times New Roman" w:cs="Times New Roman"/>
        </w:rPr>
        <w:t xml:space="preserve">sa navrhuje </w:t>
      </w:r>
      <w:r w:rsidRPr="004407E5">
        <w:rPr>
          <w:rFonts w:ascii="Times New Roman" w:hAnsi="Times New Roman" w:cs="Times New Roman"/>
        </w:rPr>
        <w:t>1. júla 2021.</w:t>
      </w:r>
    </w:p>
    <w:p w:rsidR="004407E5" w:rsidRPr="00BF3D36" w:rsidRDefault="004407E5" w:rsidP="00797E5F">
      <w:pPr>
        <w:jc w:val="both"/>
        <w:rPr>
          <w:color w:val="000000" w:themeColor="text1"/>
        </w:rPr>
      </w:pPr>
    </w:p>
    <w:p w:rsidR="0034185C" w:rsidRPr="00797E5F" w:rsidRDefault="00E1303D" w:rsidP="00797E5F">
      <w:pPr>
        <w:ind w:firstLine="567"/>
        <w:jc w:val="both"/>
        <w:rPr>
          <w:rStyle w:val="Zstupntext"/>
          <w:rFonts w:eastAsiaTheme="majorEastAsia"/>
          <w:color w:val="000000"/>
        </w:rPr>
      </w:pPr>
      <w:r w:rsidRPr="00BF3D36">
        <w:rPr>
          <w:rStyle w:val="Nadpis1Char"/>
          <w:color w:val="000000"/>
          <w:sz w:val="24"/>
          <w:szCs w:val="24"/>
        </w:rPr>
        <w:t>N</w:t>
      </w:r>
      <w:r w:rsidR="0034185C" w:rsidRPr="00BF3D36">
        <w:rPr>
          <w:rStyle w:val="Nadpis1Char"/>
          <w:color w:val="000000"/>
          <w:sz w:val="24"/>
          <w:szCs w:val="24"/>
        </w:rPr>
        <w:t xml:space="preserve">ávrh zákona </w:t>
      </w:r>
      <w:r w:rsidRPr="00BF3D36">
        <w:rPr>
          <w:rStyle w:val="Nadpis1Char"/>
          <w:color w:val="000000"/>
          <w:sz w:val="24"/>
          <w:szCs w:val="24"/>
        </w:rPr>
        <w:t>pre</w:t>
      </w:r>
      <w:r w:rsidR="003363BA" w:rsidRPr="00BF3D36">
        <w:rPr>
          <w:rStyle w:val="Nadpis1Char"/>
          <w:color w:val="000000"/>
          <w:sz w:val="24"/>
          <w:szCs w:val="24"/>
        </w:rPr>
        <w:t>d</w:t>
      </w:r>
      <w:r w:rsidRPr="00BF3D36">
        <w:rPr>
          <w:rStyle w:val="Nadpis1Char"/>
          <w:color w:val="000000"/>
          <w:sz w:val="24"/>
          <w:szCs w:val="24"/>
        </w:rPr>
        <w:t>pokladá pozitívny vp</w:t>
      </w:r>
      <w:r w:rsidR="00EF5E03" w:rsidRPr="00BF3D36">
        <w:rPr>
          <w:rStyle w:val="Nadpis1Char"/>
          <w:color w:val="000000"/>
          <w:sz w:val="24"/>
          <w:szCs w:val="24"/>
        </w:rPr>
        <w:t xml:space="preserve">lyv na podnikateľské prostredie. </w:t>
      </w:r>
      <w:r w:rsidR="0034185C" w:rsidRPr="00BF3D36">
        <w:rPr>
          <w:rStyle w:val="Nadpis1Char"/>
          <w:color w:val="000000"/>
          <w:sz w:val="24"/>
          <w:szCs w:val="24"/>
        </w:rPr>
        <w:t>Návrh zákona nepredpokladá žiadne vplyvy</w:t>
      </w:r>
      <w:r w:rsidRPr="00BF3D36">
        <w:rPr>
          <w:rStyle w:val="Nadpis1Char"/>
          <w:color w:val="000000"/>
          <w:sz w:val="24"/>
          <w:szCs w:val="24"/>
        </w:rPr>
        <w:t xml:space="preserve"> na rozpočet verejnej správy,</w:t>
      </w:r>
      <w:r w:rsidR="0034185C" w:rsidRPr="00BF3D36">
        <w:rPr>
          <w:rStyle w:val="Nadpis1Char"/>
          <w:color w:val="000000"/>
          <w:sz w:val="24"/>
          <w:szCs w:val="24"/>
        </w:rPr>
        <w:t xml:space="preserve"> </w:t>
      </w:r>
      <w:r w:rsidRPr="00BF3D36">
        <w:rPr>
          <w:rStyle w:val="Nadpis1Char"/>
          <w:color w:val="000000"/>
          <w:sz w:val="24"/>
          <w:szCs w:val="24"/>
        </w:rPr>
        <w:t>na informatizáciu</w:t>
      </w:r>
      <w:r w:rsidRPr="00797E5F">
        <w:rPr>
          <w:rStyle w:val="Nadpis1Char"/>
          <w:color w:val="000000"/>
          <w:sz w:val="24"/>
          <w:szCs w:val="24"/>
        </w:rPr>
        <w:t xml:space="preserve"> spoločnosti</w:t>
      </w:r>
      <w:r>
        <w:rPr>
          <w:rStyle w:val="Nadpis1Char"/>
          <w:color w:val="000000"/>
          <w:sz w:val="24"/>
          <w:szCs w:val="24"/>
        </w:rPr>
        <w:t>,</w:t>
      </w:r>
      <w:r w:rsidRPr="00797E5F">
        <w:t xml:space="preserve"> </w:t>
      </w:r>
      <w:r w:rsidR="0034185C" w:rsidRPr="00797E5F">
        <w:t>na sociálne prostredie</w:t>
      </w:r>
      <w:r w:rsidR="0034185C" w:rsidRPr="00797E5F">
        <w:rPr>
          <w:rStyle w:val="Nadpis1Char"/>
          <w:color w:val="000000"/>
          <w:sz w:val="24"/>
          <w:szCs w:val="24"/>
        </w:rPr>
        <w:t xml:space="preserve">, na životné prostredie, </w:t>
      </w:r>
      <w:r w:rsidR="0034185C" w:rsidRPr="00797E5F">
        <w:t>na služby verejnej správy pre občana a na manželstvo, rodičovstvo a rodinu</w:t>
      </w:r>
      <w:r w:rsidR="0034185C" w:rsidRPr="00797E5F">
        <w:rPr>
          <w:rStyle w:val="Zstupntext"/>
          <w:rFonts w:eastAsiaTheme="majorEastAsia"/>
          <w:color w:val="000000"/>
        </w:rPr>
        <w:t xml:space="preserve">. Predkladaný návrh zákona </w:t>
      </w:r>
      <w:r w:rsidR="00EF5E03">
        <w:rPr>
          <w:rStyle w:val="Zstupntext"/>
          <w:rFonts w:eastAsiaTheme="majorEastAsia"/>
          <w:color w:val="000000"/>
        </w:rPr>
        <w:t xml:space="preserve">tiež </w:t>
      </w:r>
      <w:r w:rsidR="0034185C" w:rsidRPr="00797E5F">
        <w:rPr>
          <w:rStyle w:val="Zstupntext"/>
          <w:rFonts w:eastAsiaTheme="majorEastAsia"/>
          <w:color w:val="000000"/>
        </w:rPr>
        <w:t xml:space="preserve">nebude mať </w:t>
      </w:r>
      <w:r w:rsidR="00EF5E03">
        <w:rPr>
          <w:rStyle w:val="Zstupntext"/>
          <w:rFonts w:eastAsiaTheme="majorEastAsia"/>
          <w:color w:val="000000"/>
        </w:rPr>
        <w:t xml:space="preserve">žiadny </w:t>
      </w:r>
      <w:r w:rsidR="0034185C" w:rsidRPr="00797E5F">
        <w:rPr>
          <w:rStyle w:val="Zstupntext"/>
          <w:rFonts w:eastAsiaTheme="majorEastAsia"/>
          <w:color w:val="000000"/>
        </w:rPr>
        <w:t>vplyv na rozpočty obcí a rozpočty vyšších územných celkov.</w:t>
      </w:r>
    </w:p>
    <w:p w:rsidR="0034185C" w:rsidRPr="00797E5F" w:rsidRDefault="0034185C" w:rsidP="00797E5F">
      <w:pPr>
        <w:jc w:val="both"/>
        <w:rPr>
          <w:strike/>
        </w:rPr>
      </w:pPr>
    </w:p>
    <w:p w:rsidR="0034185C" w:rsidRPr="00797E5F" w:rsidRDefault="0034185C" w:rsidP="00797E5F">
      <w:pPr>
        <w:ind w:firstLine="567"/>
        <w:jc w:val="both"/>
        <w:rPr>
          <w:color w:val="000000"/>
        </w:rPr>
      </w:pPr>
      <w:r w:rsidRPr="00797E5F">
        <w:rPr>
          <w:rStyle w:val="Zstupntext"/>
          <w:rFonts w:eastAsiaTheme="majorEastAsia"/>
          <w:color w:val="000000"/>
        </w:rPr>
        <w:t xml:space="preserve">Návrh zákona nie je predmetom </w:t>
      </w:r>
      <w:proofErr w:type="spellStart"/>
      <w:r w:rsidRPr="00797E5F">
        <w:rPr>
          <w:rStyle w:val="Zstupntext"/>
          <w:rFonts w:eastAsiaTheme="majorEastAsia"/>
          <w:color w:val="000000"/>
        </w:rPr>
        <w:t>vnútrokomunitárneho</w:t>
      </w:r>
      <w:proofErr w:type="spellEnd"/>
      <w:r w:rsidRPr="00797E5F">
        <w:rPr>
          <w:rStyle w:val="Zstupntext"/>
          <w:rFonts w:eastAsiaTheme="majorEastAsia"/>
          <w:color w:val="000000"/>
        </w:rPr>
        <w:t xml:space="preserve"> pripomienkového konania.</w:t>
      </w:r>
    </w:p>
    <w:p w:rsidR="0034185C" w:rsidRPr="00797E5F" w:rsidRDefault="0034185C" w:rsidP="00797E5F"/>
    <w:p w:rsidR="0034185C" w:rsidRPr="00797E5F" w:rsidRDefault="0034185C" w:rsidP="00797E5F">
      <w:pPr>
        <w:autoSpaceDE w:val="0"/>
        <w:autoSpaceDN w:val="0"/>
        <w:adjustRightInd w:val="0"/>
        <w:ind w:firstLine="567"/>
        <w:jc w:val="both"/>
        <w:rPr>
          <w:color w:val="000000"/>
        </w:rPr>
      </w:pPr>
      <w:r w:rsidRPr="00797E5F">
        <w:t>Predkladaný návrh zákona je v súlade s Ústavou Slovenskej republiky</w:t>
      </w:r>
      <w:r w:rsidRPr="00797E5F">
        <w:rPr>
          <w:color w:val="000000"/>
        </w:rPr>
        <w:t>, s ústavnými zákonmi, s nálezmi Ústavného súdu Slovenskej republiky a s medzinárodnými zmluvami               a inými medzinárodnými dokumentmi, ktorými je Slovenská republika viazaná, ako aj v súlade s právom Európskej únie.</w:t>
      </w:r>
    </w:p>
    <w:p w:rsidR="0034185C" w:rsidRDefault="0034185C" w:rsidP="00797E5F">
      <w:pPr>
        <w:jc w:val="both"/>
        <w:rPr>
          <w:color w:val="000000" w:themeColor="text1"/>
        </w:rPr>
      </w:pPr>
    </w:p>
    <w:p w:rsidR="004F25A7" w:rsidRDefault="004F25A7" w:rsidP="00797E5F">
      <w:pPr>
        <w:jc w:val="both"/>
        <w:rPr>
          <w:color w:val="000000" w:themeColor="text1"/>
        </w:rPr>
      </w:pPr>
    </w:p>
    <w:p w:rsidR="004F25A7" w:rsidRDefault="004F25A7" w:rsidP="00797E5F">
      <w:pPr>
        <w:jc w:val="both"/>
        <w:rPr>
          <w:color w:val="000000" w:themeColor="text1"/>
        </w:rPr>
      </w:pPr>
    </w:p>
    <w:p w:rsidR="004F25A7" w:rsidRDefault="004F25A7" w:rsidP="00797E5F">
      <w:pPr>
        <w:jc w:val="both"/>
        <w:rPr>
          <w:color w:val="000000" w:themeColor="text1"/>
        </w:rPr>
      </w:pPr>
    </w:p>
    <w:p w:rsidR="004F25A7" w:rsidRDefault="004F25A7" w:rsidP="00797E5F">
      <w:pPr>
        <w:jc w:val="both"/>
        <w:rPr>
          <w:color w:val="000000" w:themeColor="text1"/>
        </w:rPr>
      </w:pPr>
    </w:p>
    <w:p w:rsidR="004F25A7" w:rsidRDefault="004F25A7" w:rsidP="00797E5F">
      <w:pPr>
        <w:jc w:val="both"/>
        <w:rPr>
          <w:color w:val="000000" w:themeColor="text1"/>
        </w:rPr>
      </w:pPr>
    </w:p>
    <w:p w:rsidR="004F25A7" w:rsidRDefault="004F25A7" w:rsidP="00797E5F">
      <w:pPr>
        <w:jc w:val="both"/>
        <w:rPr>
          <w:color w:val="000000" w:themeColor="text1"/>
        </w:rPr>
      </w:pPr>
    </w:p>
    <w:p w:rsidR="00CF4A98" w:rsidRDefault="00CF4A98" w:rsidP="00797E5F">
      <w:pPr>
        <w:jc w:val="both"/>
        <w:rPr>
          <w:color w:val="000000" w:themeColor="text1"/>
        </w:rPr>
      </w:pPr>
    </w:p>
    <w:p w:rsidR="00CF4A98" w:rsidRDefault="00CF4A98" w:rsidP="00797E5F">
      <w:pPr>
        <w:jc w:val="both"/>
        <w:rPr>
          <w:color w:val="000000" w:themeColor="text1"/>
        </w:rPr>
      </w:pPr>
    </w:p>
    <w:p w:rsidR="00CF4A98" w:rsidRPr="00797E5F" w:rsidRDefault="00CF4A98" w:rsidP="00797E5F">
      <w:pPr>
        <w:jc w:val="both"/>
        <w:rPr>
          <w:color w:val="000000" w:themeColor="text1"/>
        </w:rPr>
      </w:pPr>
    </w:p>
    <w:p w:rsidR="004F25A7" w:rsidRPr="003C289B" w:rsidRDefault="004F25A7" w:rsidP="004F25A7">
      <w:pPr>
        <w:spacing w:after="120"/>
        <w:jc w:val="center"/>
        <w:rPr>
          <w:b/>
        </w:rPr>
      </w:pPr>
      <w:r w:rsidRPr="003C289B">
        <w:rPr>
          <w:b/>
          <w:bCs/>
          <w:sz w:val="28"/>
          <w:szCs w:val="28"/>
        </w:rPr>
        <w:lastRenderedPageBreak/>
        <w:t>Doložka vybraných vplyvov</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400"/>
        <w:gridCol w:w="141"/>
        <w:gridCol w:w="564"/>
        <w:gridCol w:w="717"/>
        <w:gridCol w:w="569"/>
        <w:gridCol w:w="1133"/>
        <w:gridCol w:w="284"/>
        <w:gridCol w:w="263"/>
        <w:gridCol w:w="1302"/>
      </w:tblGrid>
      <w:tr w:rsidR="004F25A7" w:rsidRPr="003C289B" w:rsidTr="00F6075C">
        <w:tc>
          <w:tcPr>
            <w:tcW w:w="9185" w:type="dxa"/>
            <w:gridSpan w:val="10"/>
            <w:tcBorders>
              <w:bottom w:val="single" w:sz="4" w:space="0" w:color="FFFFFF"/>
            </w:tcBorders>
            <w:shd w:val="clear" w:color="auto" w:fill="E2E2E2"/>
          </w:tcPr>
          <w:p w:rsidR="004F25A7" w:rsidRPr="00524381" w:rsidRDefault="004F25A7" w:rsidP="004F25A7">
            <w:pPr>
              <w:pStyle w:val="Odsekzoznamu"/>
              <w:numPr>
                <w:ilvl w:val="0"/>
                <w:numId w:val="19"/>
              </w:numPr>
              <w:spacing w:after="0" w:line="240" w:lineRule="auto"/>
              <w:ind w:left="426"/>
              <w:rPr>
                <w:rFonts w:ascii="Times New Roman" w:hAnsi="Times New Roman"/>
                <w:b/>
              </w:rPr>
            </w:pPr>
            <w:r w:rsidRPr="00524381">
              <w:rPr>
                <w:rFonts w:ascii="Times New Roman" w:hAnsi="Times New Roman"/>
                <w:b/>
              </w:rPr>
              <w:t>Základné údaje</w:t>
            </w:r>
          </w:p>
        </w:tc>
      </w:tr>
      <w:tr w:rsidR="004F25A7" w:rsidRPr="003C289B" w:rsidTr="00F6075C">
        <w:tc>
          <w:tcPr>
            <w:tcW w:w="9185" w:type="dxa"/>
            <w:gridSpan w:val="10"/>
            <w:tcBorders>
              <w:bottom w:val="single" w:sz="4" w:space="0" w:color="FFFFFF"/>
            </w:tcBorders>
            <w:shd w:val="clear" w:color="auto" w:fill="E2E2E2"/>
          </w:tcPr>
          <w:p w:rsidR="004F25A7" w:rsidRPr="00524381" w:rsidRDefault="004F25A7" w:rsidP="00847E3A">
            <w:pPr>
              <w:pStyle w:val="Odsekzoznamu"/>
              <w:ind w:left="142"/>
              <w:rPr>
                <w:rFonts w:ascii="Times New Roman" w:hAnsi="Times New Roman"/>
                <w:b/>
              </w:rPr>
            </w:pPr>
            <w:r w:rsidRPr="00524381">
              <w:rPr>
                <w:rFonts w:ascii="Times New Roman" w:hAnsi="Times New Roman"/>
                <w:b/>
              </w:rPr>
              <w:t>Názov materiálu</w:t>
            </w:r>
          </w:p>
        </w:tc>
      </w:tr>
      <w:tr w:rsidR="004F25A7" w:rsidRPr="003C289B" w:rsidTr="00F6075C">
        <w:tc>
          <w:tcPr>
            <w:tcW w:w="9185" w:type="dxa"/>
            <w:gridSpan w:val="10"/>
            <w:tcBorders>
              <w:top w:val="single" w:sz="4" w:space="0" w:color="FFFFFF"/>
            </w:tcBorders>
          </w:tcPr>
          <w:p w:rsidR="004F25A7" w:rsidRPr="00524381" w:rsidRDefault="004F25A7" w:rsidP="00847E3A">
            <w:pPr>
              <w:pStyle w:val="Zkladntext"/>
              <w:jc w:val="both"/>
              <w:rPr>
                <w:rFonts w:ascii="Times New Roman" w:hAnsi="Times New Roman" w:cs="Times New Roman"/>
                <w:sz w:val="20"/>
                <w:szCs w:val="20"/>
                <w:lang w:eastAsia="en-US"/>
              </w:rPr>
            </w:pPr>
            <w:r w:rsidRPr="00524381">
              <w:rPr>
                <w:rFonts w:ascii="Times New Roman" w:hAnsi="Times New Roman" w:cs="Times New Roman"/>
                <w:bCs/>
                <w:sz w:val="20"/>
                <w:szCs w:val="20"/>
                <w:lang w:eastAsia="en-US"/>
              </w:rPr>
              <w:t xml:space="preserve">Návrh </w:t>
            </w:r>
            <w:r w:rsidRPr="00524381">
              <w:rPr>
                <w:rFonts w:ascii="Times New Roman" w:hAnsi="Times New Roman" w:cs="Times New Roman"/>
                <w:sz w:val="20"/>
                <w:szCs w:val="20"/>
                <w:lang w:eastAsia="en-US"/>
              </w:rPr>
              <w:t>zákona, ktorým sa mení a dopĺňa zákon č. 98/2004 Z. z. o spotrebnej dani z minerálneho ole</w:t>
            </w:r>
            <w:r>
              <w:rPr>
                <w:rFonts w:ascii="Times New Roman" w:hAnsi="Times New Roman" w:cs="Times New Roman"/>
                <w:sz w:val="20"/>
                <w:szCs w:val="20"/>
                <w:lang w:eastAsia="en-US"/>
              </w:rPr>
              <w:t>ja v znení neskorších predpisov</w:t>
            </w:r>
          </w:p>
          <w:p w:rsidR="004F25A7" w:rsidRPr="00524381" w:rsidRDefault="004F25A7" w:rsidP="00847E3A">
            <w:pPr>
              <w:pStyle w:val="Zkladntext"/>
              <w:jc w:val="both"/>
              <w:rPr>
                <w:bCs/>
                <w:sz w:val="20"/>
                <w:szCs w:val="20"/>
                <w:lang w:eastAsia="en-US"/>
              </w:rPr>
            </w:pPr>
          </w:p>
        </w:tc>
      </w:tr>
      <w:tr w:rsidR="004F25A7" w:rsidRPr="003C289B" w:rsidTr="007700D5">
        <w:tc>
          <w:tcPr>
            <w:tcW w:w="9185" w:type="dxa"/>
            <w:gridSpan w:val="10"/>
            <w:tcBorders>
              <w:bottom w:val="single" w:sz="4" w:space="0" w:color="FFFFFF"/>
            </w:tcBorders>
            <w:shd w:val="clear" w:color="auto" w:fill="E2E2E2"/>
          </w:tcPr>
          <w:p w:rsidR="004F25A7" w:rsidRPr="00524381" w:rsidRDefault="004F25A7" w:rsidP="00847E3A">
            <w:pPr>
              <w:pStyle w:val="Odsekzoznamu"/>
              <w:ind w:left="142"/>
              <w:rPr>
                <w:rFonts w:ascii="Times New Roman" w:hAnsi="Times New Roman"/>
                <w:b/>
              </w:rPr>
            </w:pPr>
            <w:r w:rsidRPr="00524381">
              <w:rPr>
                <w:rFonts w:ascii="Times New Roman" w:hAnsi="Times New Roman"/>
                <w:b/>
              </w:rPr>
              <w:t>Predkladateľ (a spolupredkladateľ)</w:t>
            </w:r>
          </w:p>
        </w:tc>
      </w:tr>
      <w:tr w:rsidR="004F25A7" w:rsidRPr="003C289B" w:rsidTr="007700D5">
        <w:tc>
          <w:tcPr>
            <w:tcW w:w="9185" w:type="dxa"/>
            <w:gridSpan w:val="10"/>
            <w:tcBorders>
              <w:top w:val="single" w:sz="4" w:space="0" w:color="FFFFFF"/>
              <w:bottom w:val="nil"/>
            </w:tcBorders>
            <w:shd w:val="clear" w:color="auto" w:fill="FFFFFF"/>
          </w:tcPr>
          <w:p w:rsidR="007700D5" w:rsidRPr="00524381" w:rsidRDefault="007700D5" w:rsidP="0090697F">
            <w:pPr>
              <w:rPr>
                <w:sz w:val="22"/>
                <w:szCs w:val="22"/>
                <w:lang w:eastAsia="en-US"/>
              </w:rPr>
            </w:pPr>
            <w:r w:rsidRPr="00CF4A98">
              <w:rPr>
                <w:sz w:val="22"/>
                <w:szCs w:val="22"/>
                <w:lang w:eastAsia="en-US"/>
              </w:rPr>
              <w:t>Poslanci Národnej rady Slovenskej republiky</w:t>
            </w:r>
            <w:r w:rsidR="009B7913" w:rsidRPr="00CF4A98">
              <w:rPr>
                <w:sz w:val="22"/>
                <w:szCs w:val="22"/>
                <w:lang w:eastAsia="en-US"/>
              </w:rPr>
              <w:t xml:space="preserve"> </w:t>
            </w:r>
            <w:r w:rsidR="00CF4A98">
              <w:t xml:space="preserve">Peter KREMSKÝ, </w:t>
            </w:r>
            <w:r w:rsidR="0090697F">
              <w:t>Marián VISKUPIČ</w:t>
            </w:r>
            <w:r w:rsidR="00CF4A98">
              <w:t>, Ľuboš KRAJČÍR, Tomáš LEHOTSKÝ a Marek KRAJČÍ</w:t>
            </w:r>
            <w:r w:rsidR="00CF4A98" w:rsidRPr="00524381">
              <w:rPr>
                <w:sz w:val="22"/>
                <w:szCs w:val="22"/>
                <w:lang w:eastAsia="en-US"/>
              </w:rPr>
              <w:t xml:space="preserve"> </w:t>
            </w:r>
          </w:p>
        </w:tc>
      </w:tr>
      <w:tr w:rsidR="004F25A7" w:rsidRPr="003C289B" w:rsidTr="007700D5">
        <w:tc>
          <w:tcPr>
            <w:tcW w:w="4212" w:type="dxa"/>
            <w:gridSpan w:val="2"/>
            <w:vMerge w:val="restart"/>
            <w:tcBorders>
              <w:top w:val="nil"/>
              <w:bottom w:val="single" w:sz="4" w:space="0" w:color="FFFFFF"/>
            </w:tcBorders>
            <w:shd w:val="clear" w:color="auto" w:fill="E2E2E2"/>
            <w:vAlign w:val="center"/>
          </w:tcPr>
          <w:p w:rsidR="004F25A7" w:rsidRPr="00524381" w:rsidRDefault="004F25A7" w:rsidP="00847E3A">
            <w:pPr>
              <w:pStyle w:val="Odsekzoznamu"/>
              <w:ind w:left="142"/>
              <w:rPr>
                <w:rFonts w:ascii="Times New Roman" w:hAnsi="Times New Roman"/>
                <w:b/>
              </w:rPr>
            </w:pPr>
            <w:r w:rsidRPr="00524381">
              <w:rPr>
                <w:rFonts w:ascii="Times New Roman" w:hAnsi="Times New Roman"/>
                <w:b/>
              </w:rPr>
              <w:t>Charakter predkladaného materiálu</w:t>
            </w:r>
          </w:p>
        </w:tc>
        <w:tc>
          <w:tcPr>
            <w:tcW w:w="705" w:type="dxa"/>
            <w:gridSpan w:val="2"/>
            <w:tcBorders>
              <w:top w:val="nil"/>
              <w:right w:val="nil"/>
            </w:tcBorders>
            <w:shd w:val="clear" w:color="auto" w:fill="FFFFFF"/>
          </w:tcPr>
          <w:p w:rsidR="004F25A7" w:rsidRPr="00524381" w:rsidRDefault="004F25A7" w:rsidP="00847E3A">
            <w:pPr>
              <w:jc w:val="center"/>
              <w:rPr>
                <w:sz w:val="22"/>
                <w:szCs w:val="22"/>
                <w:lang w:eastAsia="en-US"/>
              </w:rPr>
            </w:pPr>
            <w:r w:rsidRPr="00524381">
              <w:rPr>
                <w:rFonts w:ascii="Segoe UI Symbol" w:eastAsia="MS Mincho" w:hAnsi="Segoe UI Symbol" w:cs="Segoe UI Symbol"/>
                <w:sz w:val="22"/>
                <w:szCs w:val="22"/>
                <w:lang w:eastAsia="en-US"/>
              </w:rPr>
              <w:t>☐</w:t>
            </w:r>
          </w:p>
        </w:tc>
        <w:tc>
          <w:tcPr>
            <w:tcW w:w="4268" w:type="dxa"/>
            <w:gridSpan w:val="6"/>
            <w:tcBorders>
              <w:top w:val="nil"/>
              <w:left w:val="nil"/>
            </w:tcBorders>
            <w:shd w:val="clear" w:color="auto" w:fill="FFFFFF"/>
          </w:tcPr>
          <w:p w:rsidR="004F25A7" w:rsidRPr="00524381" w:rsidRDefault="004F25A7" w:rsidP="00847E3A">
            <w:pPr>
              <w:rPr>
                <w:sz w:val="22"/>
                <w:szCs w:val="22"/>
                <w:lang w:eastAsia="en-US"/>
              </w:rPr>
            </w:pPr>
            <w:r w:rsidRPr="00524381">
              <w:rPr>
                <w:sz w:val="22"/>
                <w:szCs w:val="22"/>
                <w:lang w:eastAsia="en-US"/>
              </w:rPr>
              <w:t>Materiál nelegislatívnej povahy</w:t>
            </w:r>
          </w:p>
        </w:tc>
      </w:tr>
      <w:tr w:rsidR="004F25A7" w:rsidRPr="003C289B" w:rsidTr="00F6075C">
        <w:tc>
          <w:tcPr>
            <w:tcW w:w="4212" w:type="dxa"/>
            <w:gridSpan w:val="2"/>
            <w:vMerge/>
            <w:tcBorders>
              <w:top w:val="nil"/>
              <w:bottom w:val="single" w:sz="4" w:space="0" w:color="FFFFFF"/>
            </w:tcBorders>
            <w:shd w:val="clear" w:color="auto" w:fill="E2E2E2"/>
          </w:tcPr>
          <w:p w:rsidR="004F25A7" w:rsidRPr="00524381" w:rsidRDefault="004F25A7" w:rsidP="00847E3A">
            <w:pPr>
              <w:rPr>
                <w:sz w:val="22"/>
                <w:szCs w:val="22"/>
                <w:lang w:eastAsia="en-US"/>
              </w:rPr>
            </w:pPr>
          </w:p>
        </w:tc>
        <w:tc>
          <w:tcPr>
            <w:tcW w:w="705" w:type="dxa"/>
            <w:gridSpan w:val="2"/>
            <w:tcBorders>
              <w:right w:val="nil"/>
            </w:tcBorders>
            <w:shd w:val="clear" w:color="auto" w:fill="FFFFFF"/>
          </w:tcPr>
          <w:p w:rsidR="004F25A7" w:rsidRPr="00524381" w:rsidRDefault="004F25A7" w:rsidP="00847E3A">
            <w:pPr>
              <w:jc w:val="center"/>
              <w:rPr>
                <w:sz w:val="22"/>
                <w:szCs w:val="22"/>
                <w:lang w:eastAsia="en-US"/>
              </w:rPr>
            </w:pPr>
            <w:r w:rsidRPr="00524381">
              <w:rPr>
                <w:rFonts w:ascii="Segoe UI Symbol" w:eastAsia="MS Mincho" w:hAnsi="Segoe UI Symbol" w:cs="Segoe UI Symbol"/>
                <w:sz w:val="22"/>
                <w:szCs w:val="22"/>
                <w:lang w:eastAsia="en-US"/>
              </w:rPr>
              <w:t>☒</w:t>
            </w:r>
          </w:p>
        </w:tc>
        <w:tc>
          <w:tcPr>
            <w:tcW w:w="4268" w:type="dxa"/>
            <w:gridSpan w:val="6"/>
            <w:tcBorders>
              <w:left w:val="nil"/>
            </w:tcBorders>
            <w:shd w:val="clear" w:color="auto" w:fill="FFFFFF"/>
          </w:tcPr>
          <w:p w:rsidR="004F25A7" w:rsidRPr="00524381" w:rsidRDefault="004F25A7" w:rsidP="00847E3A">
            <w:pPr>
              <w:ind w:left="175" w:hanging="175"/>
              <w:rPr>
                <w:sz w:val="22"/>
                <w:szCs w:val="22"/>
                <w:lang w:eastAsia="en-US"/>
              </w:rPr>
            </w:pPr>
            <w:r w:rsidRPr="00524381">
              <w:rPr>
                <w:sz w:val="22"/>
                <w:szCs w:val="22"/>
                <w:lang w:eastAsia="en-US"/>
              </w:rPr>
              <w:t>Materiál legislatívnej povahy</w:t>
            </w:r>
          </w:p>
        </w:tc>
      </w:tr>
      <w:tr w:rsidR="004F25A7" w:rsidRPr="003C289B" w:rsidTr="00F6075C">
        <w:tc>
          <w:tcPr>
            <w:tcW w:w="4212" w:type="dxa"/>
            <w:gridSpan w:val="2"/>
            <w:vMerge/>
            <w:tcBorders>
              <w:top w:val="nil"/>
            </w:tcBorders>
            <w:shd w:val="clear" w:color="auto" w:fill="E2E2E2"/>
          </w:tcPr>
          <w:p w:rsidR="004F25A7" w:rsidRPr="00524381" w:rsidRDefault="004F25A7" w:rsidP="00847E3A">
            <w:pPr>
              <w:rPr>
                <w:sz w:val="22"/>
                <w:szCs w:val="22"/>
                <w:lang w:eastAsia="en-US"/>
              </w:rPr>
            </w:pPr>
          </w:p>
        </w:tc>
        <w:tc>
          <w:tcPr>
            <w:tcW w:w="705" w:type="dxa"/>
            <w:gridSpan w:val="2"/>
            <w:tcBorders>
              <w:right w:val="nil"/>
            </w:tcBorders>
            <w:shd w:val="clear" w:color="auto" w:fill="FFFFFF"/>
          </w:tcPr>
          <w:p w:rsidR="004F25A7" w:rsidRPr="00524381" w:rsidRDefault="004F25A7" w:rsidP="00847E3A">
            <w:pPr>
              <w:jc w:val="center"/>
              <w:rPr>
                <w:sz w:val="22"/>
                <w:szCs w:val="22"/>
                <w:lang w:eastAsia="en-US"/>
              </w:rPr>
            </w:pPr>
            <w:r w:rsidRPr="00524381">
              <w:rPr>
                <w:rFonts w:ascii="Segoe UI Symbol" w:eastAsia="MS Mincho" w:hAnsi="Segoe UI Symbol" w:cs="Segoe UI Symbol"/>
                <w:sz w:val="22"/>
                <w:szCs w:val="22"/>
                <w:lang w:eastAsia="en-US"/>
              </w:rPr>
              <w:t>☐</w:t>
            </w:r>
          </w:p>
        </w:tc>
        <w:tc>
          <w:tcPr>
            <w:tcW w:w="4268" w:type="dxa"/>
            <w:gridSpan w:val="6"/>
            <w:tcBorders>
              <w:left w:val="nil"/>
            </w:tcBorders>
            <w:shd w:val="clear" w:color="auto" w:fill="FFFFFF"/>
          </w:tcPr>
          <w:p w:rsidR="004F25A7" w:rsidRPr="00524381" w:rsidRDefault="004F25A7" w:rsidP="00847E3A">
            <w:pPr>
              <w:rPr>
                <w:sz w:val="22"/>
                <w:szCs w:val="22"/>
                <w:lang w:eastAsia="en-US"/>
              </w:rPr>
            </w:pPr>
            <w:r w:rsidRPr="00524381">
              <w:rPr>
                <w:sz w:val="22"/>
                <w:szCs w:val="22"/>
                <w:lang w:eastAsia="en-US"/>
              </w:rPr>
              <w:t>Transpozícia práva EÚ</w:t>
            </w:r>
          </w:p>
        </w:tc>
      </w:tr>
      <w:tr w:rsidR="004F25A7" w:rsidRPr="003C289B" w:rsidTr="00F6075C">
        <w:tc>
          <w:tcPr>
            <w:tcW w:w="9185" w:type="dxa"/>
            <w:gridSpan w:val="10"/>
            <w:tcBorders>
              <w:bottom w:val="single" w:sz="4" w:space="0" w:color="FFFFFF"/>
            </w:tcBorders>
            <w:shd w:val="clear" w:color="auto" w:fill="FFFFFF"/>
          </w:tcPr>
          <w:p w:rsidR="004F25A7" w:rsidRPr="00524381" w:rsidRDefault="004F25A7" w:rsidP="00847E3A">
            <w:pPr>
              <w:rPr>
                <w:i/>
                <w:sz w:val="22"/>
                <w:szCs w:val="22"/>
                <w:lang w:eastAsia="en-US"/>
              </w:rPr>
            </w:pPr>
            <w:r w:rsidRPr="00524381">
              <w:rPr>
                <w:i/>
                <w:sz w:val="22"/>
                <w:szCs w:val="22"/>
                <w:lang w:eastAsia="en-US"/>
              </w:rPr>
              <w:t>V prípade transpozície uveďte zoznam transponovaných predpisov:</w:t>
            </w:r>
          </w:p>
          <w:p w:rsidR="004F25A7" w:rsidRPr="00524381" w:rsidRDefault="004F25A7" w:rsidP="00847E3A">
            <w:pPr>
              <w:rPr>
                <w:sz w:val="22"/>
                <w:szCs w:val="22"/>
                <w:lang w:eastAsia="en-US"/>
              </w:rPr>
            </w:pPr>
            <w:r w:rsidRPr="00524381">
              <w:rPr>
                <w:sz w:val="20"/>
                <w:szCs w:val="20"/>
                <w:lang w:eastAsia="en-US"/>
              </w:rPr>
              <w:t>Zákon č. 98/2004 Z. z. o spotrebnej dani z minerálneho oleja v znení neskorších predpisov</w:t>
            </w:r>
          </w:p>
        </w:tc>
      </w:tr>
      <w:tr w:rsidR="004F25A7" w:rsidRPr="003C289B" w:rsidTr="00F6075C">
        <w:tc>
          <w:tcPr>
            <w:tcW w:w="5634" w:type="dxa"/>
            <w:gridSpan w:val="5"/>
            <w:tcBorders>
              <w:top w:val="single" w:sz="4" w:space="0" w:color="000000"/>
              <w:bottom w:val="single" w:sz="4" w:space="0" w:color="FFFFFF"/>
            </w:tcBorders>
            <w:shd w:val="clear" w:color="auto" w:fill="E2E2E2"/>
          </w:tcPr>
          <w:p w:rsidR="004F25A7" w:rsidRPr="00524381" w:rsidRDefault="004F25A7" w:rsidP="00847E3A">
            <w:pPr>
              <w:pStyle w:val="Odsekzoznamu"/>
              <w:ind w:left="142"/>
              <w:rPr>
                <w:rFonts w:ascii="Times New Roman" w:hAnsi="Times New Roman"/>
                <w:b/>
              </w:rPr>
            </w:pPr>
            <w:r w:rsidRPr="00524381">
              <w:rPr>
                <w:rFonts w:ascii="Times New Roman" w:hAnsi="Times New Roman"/>
                <w:b/>
              </w:rPr>
              <w:t>Termín začiatku a ukončenia PPK</w:t>
            </w:r>
          </w:p>
        </w:tc>
        <w:tc>
          <w:tcPr>
            <w:tcW w:w="3551" w:type="dxa"/>
            <w:gridSpan w:val="5"/>
            <w:tcBorders>
              <w:top w:val="single" w:sz="4" w:space="0" w:color="000000"/>
            </w:tcBorders>
            <w:vAlign w:val="center"/>
          </w:tcPr>
          <w:p w:rsidR="004F25A7" w:rsidRPr="00524381" w:rsidRDefault="007700D5" w:rsidP="00847E3A">
            <w:pPr>
              <w:rPr>
                <w:sz w:val="20"/>
                <w:szCs w:val="20"/>
                <w:lang w:eastAsia="en-US"/>
              </w:rPr>
            </w:pPr>
            <w:r>
              <w:rPr>
                <w:sz w:val="20"/>
                <w:szCs w:val="20"/>
                <w:lang w:eastAsia="en-US"/>
              </w:rPr>
              <w:t>Bezpredmetné.</w:t>
            </w:r>
          </w:p>
        </w:tc>
      </w:tr>
      <w:tr w:rsidR="007700D5" w:rsidRPr="003C289B" w:rsidTr="00F6075C">
        <w:tc>
          <w:tcPr>
            <w:tcW w:w="5634" w:type="dxa"/>
            <w:gridSpan w:val="5"/>
            <w:tcBorders>
              <w:bottom w:val="single" w:sz="4" w:space="0" w:color="FFFFFF"/>
            </w:tcBorders>
            <w:shd w:val="clear" w:color="auto" w:fill="E2E2E2"/>
          </w:tcPr>
          <w:p w:rsidR="007700D5" w:rsidRPr="00524381" w:rsidRDefault="007700D5" w:rsidP="007700D5">
            <w:pPr>
              <w:pStyle w:val="Odsekzoznamu"/>
              <w:ind w:left="142"/>
              <w:rPr>
                <w:rFonts w:ascii="Times New Roman" w:hAnsi="Times New Roman"/>
                <w:b/>
              </w:rPr>
            </w:pPr>
            <w:r w:rsidRPr="00524381">
              <w:rPr>
                <w:rFonts w:ascii="Times New Roman" w:hAnsi="Times New Roman"/>
                <w:b/>
              </w:rPr>
              <w:t>Predpokladaný termín predloženia na MPK*</w:t>
            </w:r>
          </w:p>
        </w:tc>
        <w:tc>
          <w:tcPr>
            <w:tcW w:w="3551" w:type="dxa"/>
            <w:gridSpan w:val="5"/>
            <w:vAlign w:val="center"/>
          </w:tcPr>
          <w:p w:rsidR="007700D5" w:rsidRPr="00524381" w:rsidRDefault="007700D5" w:rsidP="007700D5">
            <w:pPr>
              <w:rPr>
                <w:sz w:val="20"/>
                <w:szCs w:val="20"/>
                <w:lang w:eastAsia="en-US"/>
              </w:rPr>
            </w:pPr>
            <w:r>
              <w:rPr>
                <w:sz w:val="20"/>
                <w:szCs w:val="20"/>
                <w:lang w:eastAsia="en-US"/>
              </w:rPr>
              <w:t>Bezpredmetné.</w:t>
            </w:r>
          </w:p>
        </w:tc>
      </w:tr>
      <w:tr w:rsidR="007700D5" w:rsidRPr="003C289B" w:rsidTr="00F6075C">
        <w:tc>
          <w:tcPr>
            <w:tcW w:w="5634" w:type="dxa"/>
            <w:gridSpan w:val="5"/>
            <w:tcBorders>
              <w:bottom w:val="single" w:sz="4" w:space="0" w:color="FFFFFF"/>
            </w:tcBorders>
            <w:shd w:val="clear" w:color="auto" w:fill="E2E2E2"/>
          </w:tcPr>
          <w:p w:rsidR="007700D5" w:rsidRPr="00524381" w:rsidRDefault="007700D5" w:rsidP="007700D5">
            <w:pPr>
              <w:pStyle w:val="Odsekzoznamu"/>
              <w:ind w:left="142"/>
              <w:rPr>
                <w:rFonts w:ascii="Times New Roman" w:hAnsi="Times New Roman"/>
                <w:b/>
              </w:rPr>
            </w:pPr>
            <w:r w:rsidRPr="00524381">
              <w:rPr>
                <w:rFonts w:ascii="Times New Roman" w:hAnsi="Times New Roman"/>
                <w:b/>
              </w:rPr>
              <w:t>Predpokladaný termín predloženia na Rokovanie vlády SR*</w:t>
            </w:r>
          </w:p>
        </w:tc>
        <w:tc>
          <w:tcPr>
            <w:tcW w:w="3551" w:type="dxa"/>
            <w:gridSpan w:val="5"/>
            <w:vAlign w:val="center"/>
          </w:tcPr>
          <w:p w:rsidR="007700D5" w:rsidRPr="00524381" w:rsidRDefault="007700D5" w:rsidP="007700D5">
            <w:pPr>
              <w:rPr>
                <w:sz w:val="20"/>
                <w:szCs w:val="20"/>
                <w:lang w:eastAsia="en-US"/>
              </w:rPr>
            </w:pPr>
            <w:r>
              <w:rPr>
                <w:sz w:val="20"/>
                <w:szCs w:val="20"/>
                <w:lang w:eastAsia="en-US"/>
              </w:rPr>
              <w:t>Bezpredmetné.</w:t>
            </w:r>
          </w:p>
        </w:tc>
      </w:tr>
      <w:tr w:rsidR="004F25A7" w:rsidRPr="003C289B" w:rsidTr="00F6075C">
        <w:tc>
          <w:tcPr>
            <w:tcW w:w="9185" w:type="dxa"/>
            <w:gridSpan w:val="10"/>
            <w:tcBorders>
              <w:left w:val="nil"/>
              <w:right w:val="nil"/>
            </w:tcBorders>
            <w:shd w:val="clear" w:color="auto" w:fill="FFFFFF"/>
          </w:tcPr>
          <w:p w:rsidR="004F25A7" w:rsidRPr="00524381" w:rsidRDefault="004F25A7" w:rsidP="00847E3A">
            <w:pPr>
              <w:rPr>
                <w:sz w:val="22"/>
                <w:szCs w:val="22"/>
                <w:lang w:eastAsia="en-US"/>
              </w:rPr>
            </w:pPr>
          </w:p>
        </w:tc>
      </w:tr>
      <w:tr w:rsidR="004F25A7" w:rsidRPr="003C289B" w:rsidTr="00F6075C">
        <w:trPr>
          <w:trHeight w:val="286"/>
        </w:trPr>
        <w:tc>
          <w:tcPr>
            <w:tcW w:w="9185" w:type="dxa"/>
            <w:gridSpan w:val="10"/>
            <w:tcBorders>
              <w:bottom w:val="single" w:sz="4" w:space="0" w:color="FFFFFF"/>
            </w:tcBorders>
            <w:shd w:val="clear" w:color="auto" w:fill="E2E2E2"/>
          </w:tcPr>
          <w:p w:rsidR="004F25A7" w:rsidRPr="00524381" w:rsidRDefault="004F25A7" w:rsidP="004F25A7">
            <w:pPr>
              <w:pStyle w:val="Odsekzoznamu"/>
              <w:numPr>
                <w:ilvl w:val="0"/>
                <w:numId w:val="19"/>
              </w:numPr>
              <w:spacing w:after="0" w:line="240" w:lineRule="auto"/>
              <w:ind w:left="426"/>
              <w:rPr>
                <w:rFonts w:ascii="Times New Roman" w:hAnsi="Times New Roman"/>
                <w:b/>
              </w:rPr>
            </w:pPr>
            <w:r w:rsidRPr="00524381">
              <w:rPr>
                <w:rFonts w:ascii="Times New Roman" w:hAnsi="Times New Roman"/>
                <w:b/>
              </w:rPr>
              <w:t>Definovanie problému</w:t>
            </w:r>
          </w:p>
        </w:tc>
      </w:tr>
      <w:tr w:rsidR="004F25A7" w:rsidRPr="003C289B" w:rsidTr="00F6075C">
        <w:trPr>
          <w:trHeight w:val="850"/>
        </w:trPr>
        <w:tc>
          <w:tcPr>
            <w:tcW w:w="9185" w:type="dxa"/>
            <w:gridSpan w:val="10"/>
            <w:tcBorders>
              <w:top w:val="single" w:sz="4" w:space="0" w:color="FFFFFF"/>
            </w:tcBorders>
            <w:shd w:val="clear" w:color="auto" w:fill="FFFFFF"/>
            <w:vAlign w:val="center"/>
          </w:tcPr>
          <w:p w:rsidR="004F25A7" w:rsidRPr="00524381" w:rsidRDefault="004F25A7" w:rsidP="004F25A7">
            <w:pPr>
              <w:pStyle w:val="Odsekzoznamu"/>
              <w:numPr>
                <w:ilvl w:val="0"/>
                <w:numId w:val="20"/>
              </w:numPr>
              <w:spacing w:after="0" w:line="240" w:lineRule="auto"/>
              <w:ind w:left="284" w:hanging="284"/>
              <w:jc w:val="both"/>
              <w:rPr>
                <w:rFonts w:ascii="Times New Roman" w:hAnsi="Times New Roman"/>
                <w:sz w:val="20"/>
                <w:szCs w:val="20"/>
              </w:rPr>
            </w:pPr>
            <w:r w:rsidRPr="00524381">
              <w:rPr>
                <w:rFonts w:ascii="Times New Roman" w:hAnsi="Times New Roman"/>
                <w:sz w:val="20"/>
                <w:szCs w:val="20"/>
              </w:rPr>
              <w:t>legislatívno-technické úpravy zákona č. 98/2004 Z. z. o spotrebnej dani z minerálneho oleja v znení neskorších predpisov (ďalej len „zákon č. 98/2004 Z. z.“) vyplývajúce z poznatkov aplikačnej praxe.</w:t>
            </w:r>
          </w:p>
          <w:p w:rsidR="004F25A7" w:rsidRPr="00524381" w:rsidRDefault="004F25A7" w:rsidP="00847E3A">
            <w:pPr>
              <w:rPr>
                <w:color w:val="000000"/>
                <w:sz w:val="20"/>
                <w:szCs w:val="20"/>
                <w:lang w:eastAsia="en-US"/>
              </w:rPr>
            </w:pPr>
          </w:p>
        </w:tc>
      </w:tr>
      <w:tr w:rsidR="004F25A7" w:rsidRPr="003C289B" w:rsidTr="00F6075C">
        <w:tc>
          <w:tcPr>
            <w:tcW w:w="9185" w:type="dxa"/>
            <w:gridSpan w:val="10"/>
            <w:tcBorders>
              <w:bottom w:val="nil"/>
            </w:tcBorders>
            <w:shd w:val="clear" w:color="auto" w:fill="E2E2E2"/>
          </w:tcPr>
          <w:p w:rsidR="004F25A7" w:rsidRPr="00524381" w:rsidRDefault="004F25A7" w:rsidP="004F25A7">
            <w:pPr>
              <w:pStyle w:val="Odsekzoznamu"/>
              <w:numPr>
                <w:ilvl w:val="0"/>
                <w:numId w:val="19"/>
              </w:numPr>
              <w:spacing w:after="0" w:line="240" w:lineRule="auto"/>
              <w:ind w:left="426"/>
              <w:rPr>
                <w:rFonts w:ascii="Times New Roman" w:hAnsi="Times New Roman"/>
                <w:b/>
              </w:rPr>
            </w:pPr>
            <w:r w:rsidRPr="00524381">
              <w:rPr>
                <w:rFonts w:ascii="Times New Roman" w:hAnsi="Times New Roman"/>
                <w:b/>
              </w:rPr>
              <w:t>Ciele a výsledný stav</w:t>
            </w:r>
          </w:p>
        </w:tc>
      </w:tr>
      <w:tr w:rsidR="004F25A7" w:rsidRPr="003C289B" w:rsidTr="00F6075C">
        <w:trPr>
          <w:trHeight w:val="680"/>
        </w:trPr>
        <w:tc>
          <w:tcPr>
            <w:tcW w:w="9185" w:type="dxa"/>
            <w:gridSpan w:val="10"/>
            <w:tcBorders>
              <w:top w:val="nil"/>
            </w:tcBorders>
            <w:shd w:val="clear" w:color="auto" w:fill="FFFFFF"/>
            <w:vAlign w:val="center"/>
          </w:tcPr>
          <w:p w:rsidR="004F25A7" w:rsidRPr="00524381" w:rsidRDefault="004F25A7" w:rsidP="00847E3A">
            <w:pPr>
              <w:pStyle w:val="Bezriadkovania"/>
              <w:jc w:val="both"/>
              <w:rPr>
                <w:rStyle w:val="Zstupntext"/>
                <w:rFonts w:eastAsiaTheme="majorEastAsia"/>
                <w:color w:val="000000"/>
              </w:rPr>
            </w:pPr>
            <w:r>
              <w:rPr>
                <w:rFonts w:ascii="Times New Roman" w:hAnsi="Times New Roman"/>
                <w:sz w:val="20"/>
                <w:szCs w:val="20"/>
              </w:rPr>
              <w:t>L</w:t>
            </w:r>
            <w:r w:rsidRPr="00524381">
              <w:rPr>
                <w:rStyle w:val="Zstupntext"/>
                <w:rFonts w:eastAsiaTheme="majorEastAsia"/>
                <w:color w:val="000000"/>
                <w:sz w:val="20"/>
                <w:szCs w:val="20"/>
              </w:rPr>
              <w:t>egislatívne úpravy zamerané úpravu niektorých ustanovení vyplývajúce</w:t>
            </w:r>
            <w:r w:rsidRPr="00524381">
              <w:rPr>
                <w:rFonts w:ascii="Times New Roman" w:hAnsi="Times New Roman"/>
                <w:sz w:val="20"/>
                <w:szCs w:val="20"/>
              </w:rPr>
              <w:t xml:space="preserve"> z poznatkov aplikačnej praxe.</w:t>
            </w:r>
          </w:p>
          <w:p w:rsidR="004F25A7" w:rsidRPr="00524381" w:rsidRDefault="004F25A7" w:rsidP="00847E3A">
            <w:pPr>
              <w:pStyle w:val="Bezriadkovania"/>
              <w:jc w:val="both"/>
              <w:rPr>
                <w:rStyle w:val="Zstupntext"/>
                <w:rFonts w:eastAsiaTheme="majorEastAsia"/>
                <w:sz w:val="20"/>
                <w:szCs w:val="20"/>
              </w:rPr>
            </w:pPr>
          </w:p>
        </w:tc>
      </w:tr>
      <w:tr w:rsidR="004F25A7" w:rsidRPr="003C289B" w:rsidTr="00F6075C">
        <w:tc>
          <w:tcPr>
            <w:tcW w:w="9185" w:type="dxa"/>
            <w:gridSpan w:val="10"/>
            <w:tcBorders>
              <w:bottom w:val="nil"/>
            </w:tcBorders>
            <w:shd w:val="clear" w:color="auto" w:fill="E2E2E2"/>
          </w:tcPr>
          <w:p w:rsidR="004F25A7" w:rsidRPr="00524381" w:rsidRDefault="004F25A7" w:rsidP="004F25A7">
            <w:pPr>
              <w:pStyle w:val="Odsekzoznamu"/>
              <w:numPr>
                <w:ilvl w:val="0"/>
                <w:numId w:val="19"/>
              </w:numPr>
              <w:spacing w:after="0" w:line="240" w:lineRule="auto"/>
              <w:ind w:left="426"/>
              <w:rPr>
                <w:rStyle w:val="Zstupntext"/>
                <w:rFonts w:eastAsiaTheme="majorEastAsia"/>
                <w:color w:val="000000"/>
              </w:rPr>
            </w:pPr>
            <w:r w:rsidRPr="00524381">
              <w:rPr>
                <w:rFonts w:ascii="Times New Roman" w:hAnsi="Times New Roman"/>
                <w:b/>
              </w:rPr>
              <w:t>Dotknuté subjekty</w:t>
            </w:r>
          </w:p>
        </w:tc>
      </w:tr>
      <w:tr w:rsidR="004F25A7" w:rsidRPr="003C289B" w:rsidTr="00F6075C">
        <w:tc>
          <w:tcPr>
            <w:tcW w:w="9185" w:type="dxa"/>
            <w:gridSpan w:val="10"/>
            <w:tcBorders>
              <w:top w:val="nil"/>
            </w:tcBorders>
            <w:shd w:val="clear" w:color="auto" w:fill="FFFFFF"/>
          </w:tcPr>
          <w:p w:rsidR="004F25A7" w:rsidRPr="00524381" w:rsidRDefault="004F25A7" w:rsidP="00847E3A">
            <w:pPr>
              <w:jc w:val="both"/>
              <w:rPr>
                <w:sz w:val="20"/>
                <w:szCs w:val="20"/>
                <w:lang w:eastAsia="en-US"/>
              </w:rPr>
            </w:pPr>
            <w:r w:rsidRPr="00524381">
              <w:rPr>
                <w:sz w:val="20"/>
                <w:szCs w:val="20"/>
                <w:lang w:eastAsia="en-US"/>
              </w:rPr>
              <w:t>Podnikate</w:t>
            </w:r>
            <w:r>
              <w:rPr>
                <w:sz w:val="20"/>
                <w:szCs w:val="20"/>
                <w:lang w:eastAsia="en-US"/>
              </w:rPr>
              <w:t>ľské subjekty, ktoré používajú</w:t>
            </w:r>
            <w:r w:rsidRPr="004F25A7">
              <w:rPr>
                <w:sz w:val="20"/>
                <w:szCs w:val="20"/>
                <w:lang w:eastAsia="en-US"/>
              </w:rPr>
              <w:t>, dodá</w:t>
            </w:r>
            <w:r>
              <w:rPr>
                <w:sz w:val="20"/>
                <w:szCs w:val="20"/>
                <w:lang w:eastAsia="en-US"/>
              </w:rPr>
              <w:t>vajú</w:t>
            </w:r>
            <w:r w:rsidRPr="004F25A7">
              <w:rPr>
                <w:sz w:val="20"/>
                <w:szCs w:val="20"/>
                <w:lang w:eastAsia="en-US"/>
              </w:rPr>
              <w:t xml:space="preserve"> alebo ponúka</w:t>
            </w:r>
            <w:r>
              <w:rPr>
                <w:sz w:val="20"/>
                <w:szCs w:val="20"/>
                <w:lang w:eastAsia="en-US"/>
              </w:rPr>
              <w:t>jú</w:t>
            </w:r>
            <w:r w:rsidRPr="004F25A7">
              <w:rPr>
                <w:sz w:val="20"/>
                <w:szCs w:val="20"/>
                <w:lang w:eastAsia="en-US"/>
              </w:rPr>
              <w:t xml:space="preserve"> na použitie minerálny olej uvedený v § 6 ods. 5 ako </w:t>
            </w:r>
            <w:r w:rsidR="00BA6D63">
              <w:rPr>
                <w:sz w:val="20"/>
                <w:szCs w:val="20"/>
                <w:lang w:eastAsia="en-US"/>
              </w:rPr>
              <w:t>palivo na výrobu tepla</w:t>
            </w:r>
            <w:r w:rsidRPr="004F25A7">
              <w:rPr>
                <w:sz w:val="20"/>
                <w:szCs w:val="20"/>
                <w:lang w:eastAsia="en-US"/>
              </w:rPr>
              <w:t>,</w:t>
            </w:r>
            <w:r>
              <w:rPr>
                <w:sz w:val="20"/>
                <w:szCs w:val="20"/>
                <w:lang w:eastAsia="en-US"/>
              </w:rPr>
              <w:t xml:space="preserve"> </w:t>
            </w:r>
            <w:r w:rsidRPr="00524381">
              <w:rPr>
                <w:sz w:val="20"/>
                <w:szCs w:val="20"/>
                <w:lang w:eastAsia="en-US"/>
              </w:rPr>
              <w:t>podľa zákona č. 98/2004 Z. z</w:t>
            </w:r>
            <w:r w:rsidRPr="00524381">
              <w:rPr>
                <w:bCs/>
                <w:sz w:val="20"/>
                <w:szCs w:val="20"/>
                <w:lang w:eastAsia="en-US"/>
              </w:rPr>
              <w:t>.</w:t>
            </w:r>
            <w:r w:rsidR="003363BA">
              <w:rPr>
                <w:bCs/>
                <w:sz w:val="20"/>
                <w:szCs w:val="20"/>
                <w:lang w:eastAsia="en-US"/>
              </w:rPr>
              <w:t xml:space="preserve"> </w:t>
            </w:r>
            <w:r w:rsidR="003363BA" w:rsidRPr="00BA6D63">
              <w:rPr>
                <w:bCs/>
                <w:sz w:val="20"/>
                <w:szCs w:val="20"/>
                <w:lang w:eastAsia="en-US"/>
              </w:rPr>
              <w:t>v znení účinnom od 1. júla 2021.</w:t>
            </w:r>
          </w:p>
          <w:p w:rsidR="004F25A7" w:rsidRPr="00524381" w:rsidRDefault="004F25A7" w:rsidP="00847E3A">
            <w:pPr>
              <w:rPr>
                <w:sz w:val="20"/>
                <w:szCs w:val="20"/>
                <w:lang w:eastAsia="en-US"/>
              </w:rPr>
            </w:pPr>
          </w:p>
        </w:tc>
      </w:tr>
      <w:tr w:rsidR="004F25A7" w:rsidRPr="003C289B" w:rsidTr="00F6075C">
        <w:tc>
          <w:tcPr>
            <w:tcW w:w="9185" w:type="dxa"/>
            <w:gridSpan w:val="10"/>
            <w:tcBorders>
              <w:bottom w:val="nil"/>
            </w:tcBorders>
            <w:shd w:val="clear" w:color="auto" w:fill="E2E2E2"/>
          </w:tcPr>
          <w:p w:rsidR="004F25A7" w:rsidRPr="00524381" w:rsidRDefault="004F25A7" w:rsidP="004F25A7">
            <w:pPr>
              <w:pStyle w:val="Odsekzoznamu"/>
              <w:numPr>
                <w:ilvl w:val="0"/>
                <w:numId w:val="19"/>
              </w:numPr>
              <w:spacing w:after="0" w:line="240" w:lineRule="auto"/>
              <w:ind w:left="426"/>
              <w:rPr>
                <w:rFonts w:ascii="Times New Roman" w:hAnsi="Times New Roman"/>
                <w:b/>
              </w:rPr>
            </w:pPr>
            <w:r w:rsidRPr="00524381">
              <w:rPr>
                <w:rFonts w:ascii="Times New Roman" w:hAnsi="Times New Roman"/>
                <w:b/>
              </w:rPr>
              <w:t>Alternatívne riešenia</w:t>
            </w:r>
          </w:p>
        </w:tc>
      </w:tr>
      <w:tr w:rsidR="004F25A7" w:rsidRPr="003C289B" w:rsidTr="00F6075C">
        <w:trPr>
          <w:trHeight w:val="454"/>
        </w:trPr>
        <w:tc>
          <w:tcPr>
            <w:tcW w:w="9185" w:type="dxa"/>
            <w:gridSpan w:val="10"/>
            <w:tcBorders>
              <w:top w:val="nil"/>
            </w:tcBorders>
            <w:shd w:val="clear" w:color="auto" w:fill="FFFFFF"/>
            <w:vAlign w:val="center"/>
          </w:tcPr>
          <w:p w:rsidR="004F25A7" w:rsidRPr="00524381" w:rsidRDefault="004F25A7" w:rsidP="00847E3A">
            <w:pPr>
              <w:jc w:val="both"/>
              <w:rPr>
                <w:sz w:val="20"/>
                <w:szCs w:val="20"/>
                <w:lang w:eastAsia="en-US"/>
              </w:rPr>
            </w:pPr>
            <w:r>
              <w:rPr>
                <w:sz w:val="20"/>
                <w:szCs w:val="20"/>
                <w:lang w:eastAsia="en-US"/>
              </w:rPr>
              <w:t xml:space="preserve">Ponechanie v platnosti </w:t>
            </w:r>
            <w:r w:rsidRPr="00BA6D63">
              <w:rPr>
                <w:sz w:val="20"/>
                <w:szCs w:val="20"/>
                <w:lang w:eastAsia="en-US"/>
              </w:rPr>
              <w:t>úprav</w:t>
            </w:r>
            <w:r w:rsidR="003363BA" w:rsidRPr="00BA6D63">
              <w:rPr>
                <w:sz w:val="20"/>
                <w:szCs w:val="20"/>
                <w:lang w:eastAsia="en-US"/>
              </w:rPr>
              <w:t>u</w:t>
            </w:r>
            <w:r w:rsidRPr="00BA6D63">
              <w:rPr>
                <w:sz w:val="20"/>
                <w:szCs w:val="20"/>
                <w:lang w:eastAsia="en-US"/>
              </w:rPr>
              <w:t xml:space="preserve"> účinn</w:t>
            </w:r>
            <w:r w:rsidR="003363BA" w:rsidRPr="00BA6D63">
              <w:rPr>
                <w:sz w:val="20"/>
                <w:szCs w:val="20"/>
                <w:lang w:eastAsia="en-US"/>
              </w:rPr>
              <w:t>ú</w:t>
            </w:r>
            <w:r w:rsidRPr="00BA6D63">
              <w:rPr>
                <w:sz w:val="20"/>
                <w:szCs w:val="20"/>
                <w:lang w:eastAsia="en-US"/>
              </w:rPr>
              <w:t xml:space="preserve"> od 1. júla 2021 prijat</w:t>
            </w:r>
            <w:r w:rsidR="003363BA" w:rsidRPr="00BA6D63">
              <w:rPr>
                <w:sz w:val="20"/>
                <w:szCs w:val="20"/>
                <w:lang w:eastAsia="en-US"/>
              </w:rPr>
              <w:t>ú</w:t>
            </w:r>
            <w:r w:rsidRPr="00BA6D63">
              <w:rPr>
                <w:sz w:val="20"/>
                <w:szCs w:val="20"/>
                <w:lang w:eastAsia="en-US"/>
              </w:rPr>
              <w:t xml:space="preserve"> zákonom č. 387/2020</w:t>
            </w:r>
            <w:r w:rsidR="003363BA" w:rsidRPr="00BA6D63">
              <w:rPr>
                <w:sz w:val="20"/>
                <w:szCs w:val="20"/>
                <w:lang w:eastAsia="en-US"/>
              </w:rPr>
              <w:t xml:space="preserve"> Z. z.</w:t>
            </w:r>
          </w:p>
          <w:p w:rsidR="004F25A7" w:rsidRPr="00524381" w:rsidRDefault="004F25A7" w:rsidP="00847E3A">
            <w:pPr>
              <w:jc w:val="both"/>
              <w:rPr>
                <w:sz w:val="20"/>
                <w:szCs w:val="20"/>
                <w:lang w:eastAsia="en-US"/>
              </w:rPr>
            </w:pPr>
          </w:p>
        </w:tc>
      </w:tr>
      <w:tr w:rsidR="004F25A7" w:rsidRPr="003C289B" w:rsidTr="00F6075C">
        <w:tc>
          <w:tcPr>
            <w:tcW w:w="9185" w:type="dxa"/>
            <w:gridSpan w:val="10"/>
            <w:tcBorders>
              <w:bottom w:val="single" w:sz="4" w:space="0" w:color="FFFFFF"/>
            </w:tcBorders>
            <w:shd w:val="clear" w:color="auto" w:fill="E2E2E2"/>
          </w:tcPr>
          <w:p w:rsidR="004F25A7" w:rsidRPr="00524381" w:rsidRDefault="004F25A7" w:rsidP="004F25A7">
            <w:pPr>
              <w:pStyle w:val="Odsekzoznamu"/>
              <w:numPr>
                <w:ilvl w:val="0"/>
                <w:numId w:val="19"/>
              </w:numPr>
              <w:spacing w:after="0" w:line="240" w:lineRule="auto"/>
              <w:ind w:left="426"/>
              <w:rPr>
                <w:rFonts w:ascii="Times New Roman" w:hAnsi="Times New Roman"/>
                <w:b/>
              </w:rPr>
            </w:pPr>
            <w:r w:rsidRPr="00524381">
              <w:rPr>
                <w:rFonts w:ascii="Times New Roman" w:hAnsi="Times New Roman"/>
                <w:b/>
              </w:rPr>
              <w:t>Vykonávacie predpisy</w:t>
            </w:r>
          </w:p>
        </w:tc>
      </w:tr>
      <w:tr w:rsidR="004F25A7" w:rsidRPr="003C289B" w:rsidTr="00F6075C">
        <w:trPr>
          <w:trHeight w:val="340"/>
        </w:trPr>
        <w:tc>
          <w:tcPr>
            <w:tcW w:w="6203" w:type="dxa"/>
            <w:gridSpan w:val="6"/>
            <w:tcBorders>
              <w:top w:val="single" w:sz="4" w:space="0" w:color="FFFFFF"/>
              <w:bottom w:val="nil"/>
              <w:right w:val="nil"/>
            </w:tcBorders>
            <w:shd w:val="clear" w:color="auto" w:fill="FFFFFF"/>
          </w:tcPr>
          <w:p w:rsidR="004F25A7" w:rsidRPr="00524381" w:rsidRDefault="004F25A7" w:rsidP="00847E3A">
            <w:pPr>
              <w:rPr>
                <w:i/>
                <w:sz w:val="22"/>
                <w:szCs w:val="22"/>
                <w:lang w:eastAsia="en-US"/>
              </w:rPr>
            </w:pPr>
            <w:r w:rsidRPr="00524381">
              <w:rPr>
                <w:i/>
                <w:sz w:val="22"/>
                <w:szCs w:val="22"/>
                <w:lang w:eastAsia="en-US"/>
              </w:rPr>
              <w:t>Predpokladá sa prijatie/zmena vykonávacích predpisov?</w:t>
            </w:r>
          </w:p>
          <w:p w:rsidR="004F25A7" w:rsidRPr="00524381" w:rsidRDefault="004F25A7" w:rsidP="004F25A7">
            <w:pPr>
              <w:jc w:val="both"/>
              <w:rPr>
                <w:sz w:val="20"/>
                <w:szCs w:val="20"/>
                <w:lang w:eastAsia="en-US"/>
              </w:rPr>
            </w:pPr>
          </w:p>
        </w:tc>
        <w:tc>
          <w:tcPr>
            <w:tcW w:w="1417" w:type="dxa"/>
            <w:gridSpan w:val="2"/>
            <w:tcBorders>
              <w:top w:val="single" w:sz="4" w:space="0" w:color="FFFFFF"/>
              <w:left w:val="nil"/>
              <w:bottom w:val="nil"/>
              <w:right w:val="nil"/>
            </w:tcBorders>
            <w:shd w:val="clear" w:color="auto" w:fill="FFFFFF"/>
          </w:tcPr>
          <w:p w:rsidR="004F25A7" w:rsidRPr="00524381" w:rsidRDefault="004F25A7" w:rsidP="004F25A7">
            <w:pPr>
              <w:jc w:val="center"/>
              <w:rPr>
                <w:sz w:val="22"/>
                <w:szCs w:val="22"/>
                <w:lang w:eastAsia="en-US"/>
              </w:rPr>
            </w:pPr>
            <w:r w:rsidRPr="00524381">
              <w:rPr>
                <w:rFonts w:ascii="Segoe UI Symbol" w:eastAsia="MS Gothic" w:hAnsi="Segoe UI Symbol" w:cs="Segoe UI Symbol"/>
                <w:sz w:val="22"/>
                <w:szCs w:val="22"/>
                <w:lang w:eastAsia="en-US"/>
              </w:rPr>
              <w:t>☐</w:t>
            </w:r>
            <w:r w:rsidRPr="00524381">
              <w:rPr>
                <w:sz w:val="22"/>
                <w:szCs w:val="22"/>
                <w:lang w:eastAsia="en-US"/>
              </w:rPr>
              <w:t xml:space="preserve"> Áno</w:t>
            </w:r>
          </w:p>
        </w:tc>
        <w:tc>
          <w:tcPr>
            <w:tcW w:w="1565" w:type="dxa"/>
            <w:gridSpan w:val="2"/>
            <w:tcBorders>
              <w:top w:val="single" w:sz="4" w:space="0" w:color="FFFFFF"/>
              <w:left w:val="nil"/>
              <w:bottom w:val="nil"/>
            </w:tcBorders>
            <w:shd w:val="clear" w:color="auto" w:fill="FFFFFF"/>
          </w:tcPr>
          <w:p w:rsidR="004F25A7" w:rsidRPr="00524381" w:rsidRDefault="004F25A7" w:rsidP="00847E3A">
            <w:pPr>
              <w:jc w:val="center"/>
              <w:rPr>
                <w:sz w:val="22"/>
                <w:szCs w:val="22"/>
                <w:lang w:eastAsia="en-US"/>
              </w:rPr>
            </w:pPr>
            <w:r w:rsidRPr="00524381">
              <w:rPr>
                <w:rFonts w:ascii="Segoe UI Symbol" w:eastAsia="MS Gothic" w:hAnsi="Segoe UI Symbol" w:cs="Segoe UI Symbol"/>
                <w:sz w:val="22"/>
                <w:szCs w:val="22"/>
                <w:lang w:eastAsia="en-US"/>
              </w:rPr>
              <w:t>☒</w:t>
            </w:r>
            <w:r w:rsidRPr="00524381">
              <w:rPr>
                <w:sz w:val="22"/>
                <w:szCs w:val="22"/>
                <w:lang w:eastAsia="en-US"/>
              </w:rPr>
              <w:t xml:space="preserve"> Nie</w:t>
            </w:r>
          </w:p>
          <w:p w:rsidR="004F25A7" w:rsidRPr="00524381" w:rsidRDefault="004F25A7" w:rsidP="00847E3A">
            <w:pPr>
              <w:ind w:left="-7620"/>
              <w:jc w:val="center"/>
              <w:rPr>
                <w:sz w:val="22"/>
                <w:szCs w:val="22"/>
                <w:lang w:eastAsia="en-US"/>
              </w:rPr>
            </w:pPr>
          </w:p>
        </w:tc>
      </w:tr>
      <w:tr w:rsidR="004F25A7" w:rsidRPr="003C289B" w:rsidTr="00F6075C">
        <w:tc>
          <w:tcPr>
            <w:tcW w:w="9185" w:type="dxa"/>
            <w:gridSpan w:val="10"/>
          </w:tcPr>
          <w:p w:rsidR="004F25A7" w:rsidRPr="00524381" w:rsidRDefault="004F25A7" w:rsidP="004F25A7">
            <w:pPr>
              <w:pStyle w:val="Odsekzoznamu"/>
              <w:numPr>
                <w:ilvl w:val="0"/>
                <w:numId w:val="19"/>
              </w:numPr>
              <w:spacing w:after="0" w:line="240" w:lineRule="auto"/>
              <w:ind w:left="426"/>
              <w:rPr>
                <w:rFonts w:ascii="Times New Roman" w:hAnsi="Times New Roman"/>
                <w:b/>
              </w:rPr>
            </w:pPr>
            <w:r w:rsidRPr="00524381">
              <w:rPr>
                <w:rFonts w:ascii="Times New Roman" w:hAnsi="Times New Roman"/>
                <w:b/>
              </w:rPr>
              <w:t xml:space="preserve">Transpozícia práva EÚ </w:t>
            </w:r>
          </w:p>
        </w:tc>
      </w:tr>
      <w:tr w:rsidR="004F25A7" w:rsidRPr="003C289B" w:rsidTr="00F6075C">
        <w:trPr>
          <w:trHeight w:val="340"/>
        </w:trPr>
        <w:tc>
          <w:tcPr>
            <w:tcW w:w="9185" w:type="dxa"/>
            <w:gridSpan w:val="10"/>
          </w:tcPr>
          <w:p w:rsidR="004F25A7" w:rsidRPr="00524381" w:rsidRDefault="004F25A7" w:rsidP="00847E3A">
            <w:pPr>
              <w:rPr>
                <w:sz w:val="20"/>
                <w:szCs w:val="20"/>
                <w:lang w:eastAsia="en-US"/>
              </w:rPr>
            </w:pPr>
            <w:r>
              <w:rPr>
                <w:sz w:val="20"/>
                <w:szCs w:val="20"/>
                <w:lang w:eastAsia="en-US"/>
              </w:rPr>
              <w:t>Bezpredmetné.</w:t>
            </w:r>
          </w:p>
          <w:p w:rsidR="004F25A7" w:rsidRPr="00524381" w:rsidRDefault="004F25A7" w:rsidP="00847E3A">
            <w:pPr>
              <w:rPr>
                <w:sz w:val="20"/>
                <w:szCs w:val="20"/>
                <w:lang w:eastAsia="en-US"/>
              </w:rPr>
            </w:pPr>
          </w:p>
        </w:tc>
      </w:tr>
      <w:tr w:rsidR="004F25A7" w:rsidRPr="003C289B" w:rsidTr="00F6075C">
        <w:tc>
          <w:tcPr>
            <w:tcW w:w="9185" w:type="dxa"/>
            <w:gridSpan w:val="10"/>
          </w:tcPr>
          <w:p w:rsidR="004F25A7" w:rsidRPr="00524381" w:rsidRDefault="004F25A7" w:rsidP="004F25A7">
            <w:pPr>
              <w:pStyle w:val="Odsekzoznamu"/>
              <w:numPr>
                <w:ilvl w:val="0"/>
                <w:numId w:val="19"/>
              </w:numPr>
              <w:spacing w:after="0" w:line="240" w:lineRule="auto"/>
              <w:ind w:left="426"/>
              <w:rPr>
                <w:rFonts w:ascii="Times New Roman" w:hAnsi="Times New Roman"/>
                <w:b/>
              </w:rPr>
            </w:pPr>
            <w:r w:rsidRPr="00524381">
              <w:rPr>
                <w:rFonts w:ascii="Times New Roman" w:hAnsi="Times New Roman"/>
                <w:b/>
              </w:rPr>
              <w:t>Preskúmanie účelnosti**</w:t>
            </w:r>
          </w:p>
        </w:tc>
      </w:tr>
      <w:tr w:rsidR="004F25A7" w:rsidRPr="003C289B" w:rsidTr="00F6075C">
        <w:tc>
          <w:tcPr>
            <w:tcW w:w="9185" w:type="dxa"/>
            <w:gridSpan w:val="10"/>
            <w:tcBorders>
              <w:top w:val="single" w:sz="4" w:space="0" w:color="FFFFFF"/>
            </w:tcBorders>
            <w:shd w:val="clear" w:color="auto" w:fill="FFFFFF"/>
          </w:tcPr>
          <w:p w:rsidR="004F25A7" w:rsidRDefault="004F25A7" w:rsidP="00847E3A">
            <w:pPr>
              <w:rPr>
                <w:sz w:val="20"/>
                <w:szCs w:val="20"/>
                <w:lang w:eastAsia="en-US"/>
              </w:rPr>
            </w:pPr>
            <w:r w:rsidRPr="00524381">
              <w:rPr>
                <w:sz w:val="20"/>
                <w:szCs w:val="20"/>
                <w:lang w:eastAsia="en-US"/>
              </w:rPr>
              <w:t>Bezpredmetné.</w:t>
            </w:r>
          </w:p>
          <w:p w:rsidR="007700D5" w:rsidRPr="00524381" w:rsidRDefault="007700D5" w:rsidP="00847E3A">
            <w:pPr>
              <w:rPr>
                <w:sz w:val="20"/>
                <w:szCs w:val="20"/>
                <w:lang w:eastAsia="en-US"/>
              </w:rPr>
            </w:pPr>
          </w:p>
        </w:tc>
      </w:tr>
      <w:tr w:rsidR="004F25A7" w:rsidRPr="003C289B" w:rsidTr="00F6075C">
        <w:trPr>
          <w:trHeight w:val="715"/>
        </w:trPr>
        <w:tc>
          <w:tcPr>
            <w:tcW w:w="9185" w:type="dxa"/>
            <w:gridSpan w:val="10"/>
            <w:tcBorders>
              <w:left w:val="nil"/>
              <w:bottom w:val="nil"/>
              <w:right w:val="nil"/>
            </w:tcBorders>
            <w:shd w:val="clear" w:color="auto" w:fill="FFFFFF"/>
          </w:tcPr>
          <w:p w:rsidR="004F25A7" w:rsidRPr="00524381" w:rsidRDefault="004F25A7" w:rsidP="00847E3A">
            <w:pPr>
              <w:rPr>
                <w:sz w:val="22"/>
                <w:szCs w:val="22"/>
                <w:lang w:eastAsia="en-US"/>
              </w:rPr>
            </w:pPr>
          </w:p>
          <w:p w:rsidR="004F25A7" w:rsidRPr="00524381" w:rsidRDefault="004F25A7" w:rsidP="00847E3A">
            <w:pPr>
              <w:ind w:left="142" w:hanging="142"/>
              <w:jc w:val="both"/>
              <w:rPr>
                <w:sz w:val="20"/>
                <w:szCs w:val="20"/>
                <w:lang w:eastAsia="en-US"/>
              </w:rPr>
            </w:pPr>
            <w:r w:rsidRPr="00524381">
              <w:rPr>
                <w:sz w:val="20"/>
                <w:szCs w:val="20"/>
                <w:lang w:eastAsia="en-US"/>
              </w:rPr>
              <w:t>* vyplniť iba v prípade, ak materiál nie je zahrnutý do Plánu práce vlády Slovenskej republiky alebo Plánu legislatívnych úloh vlády Slovenskej republiky.</w:t>
            </w:r>
          </w:p>
          <w:p w:rsidR="004F25A7" w:rsidRPr="00524381" w:rsidRDefault="004F25A7" w:rsidP="00847E3A">
            <w:pPr>
              <w:rPr>
                <w:sz w:val="20"/>
                <w:szCs w:val="20"/>
                <w:lang w:eastAsia="en-US"/>
              </w:rPr>
            </w:pPr>
            <w:r w:rsidRPr="00524381">
              <w:rPr>
                <w:sz w:val="20"/>
                <w:szCs w:val="20"/>
                <w:lang w:eastAsia="en-US"/>
              </w:rPr>
              <w:t>** nepovinné</w:t>
            </w:r>
          </w:p>
          <w:p w:rsidR="004F25A7" w:rsidRDefault="004F25A7" w:rsidP="00847E3A">
            <w:pPr>
              <w:rPr>
                <w:sz w:val="22"/>
                <w:szCs w:val="22"/>
                <w:lang w:eastAsia="en-US"/>
              </w:rPr>
            </w:pPr>
          </w:p>
          <w:p w:rsidR="007700D5" w:rsidRPr="00524381" w:rsidRDefault="007700D5" w:rsidP="00847E3A">
            <w:pPr>
              <w:rPr>
                <w:sz w:val="22"/>
                <w:szCs w:val="22"/>
                <w:lang w:eastAsia="en-US"/>
              </w:rPr>
            </w:pPr>
          </w:p>
        </w:tc>
      </w:tr>
      <w:tr w:rsidR="004F25A7" w:rsidRPr="003C289B" w:rsidTr="00F6075C">
        <w:trPr>
          <w:trHeight w:val="577"/>
        </w:trPr>
        <w:tc>
          <w:tcPr>
            <w:tcW w:w="9185" w:type="dxa"/>
            <w:gridSpan w:val="10"/>
            <w:tcBorders>
              <w:bottom w:val="single" w:sz="4" w:space="0" w:color="FFFFFF"/>
            </w:tcBorders>
            <w:shd w:val="clear" w:color="auto" w:fill="E2E2E2"/>
            <w:vAlign w:val="center"/>
          </w:tcPr>
          <w:p w:rsidR="004F25A7" w:rsidRPr="00524381" w:rsidRDefault="004F25A7" w:rsidP="004F25A7">
            <w:pPr>
              <w:pStyle w:val="Odsekzoznamu"/>
              <w:numPr>
                <w:ilvl w:val="0"/>
                <w:numId w:val="19"/>
              </w:numPr>
              <w:spacing w:after="0" w:line="240" w:lineRule="auto"/>
              <w:ind w:left="426"/>
              <w:rPr>
                <w:rFonts w:ascii="Times New Roman" w:hAnsi="Times New Roman"/>
                <w:b/>
              </w:rPr>
            </w:pPr>
            <w:r w:rsidRPr="00524381">
              <w:rPr>
                <w:rFonts w:ascii="Times New Roman" w:hAnsi="Times New Roman"/>
                <w:b/>
              </w:rPr>
              <w:lastRenderedPageBreak/>
              <w:t>Vplyvy navrhovaného materiálu</w:t>
            </w:r>
          </w:p>
        </w:tc>
      </w:tr>
      <w:tr w:rsidR="004F25A7" w:rsidRPr="003C289B" w:rsidTr="00F6075C">
        <w:tc>
          <w:tcPr>
            <w:tcW w:w="3812" w:type="dxa"/>
            <w:tcBorders>
              <w:bottom w:val="nil"/>
            </w:tcBorders>
            <w:shd w:val="clear" w:color="auto" w:fill="E2E2E2"/>
          </w:tcPr>
          <w:p w:rsidR="004F25A7" w:rsidRPr="00524381" w:rsidRDefault="004F25A7" w:rsidP="00847E3A">
            <w:pPr>
              <w:rPr>
                <w:b/>
                <w:sz w:val="22"/>
                <w:szCs w:val="22"/>
                <w:lang w:eastAsia="en-US"/>
              </w:rPr>
            </w:pPr>
            <w:r w:rsidRPr="00524381">
              <w:rPr>
                <w:b/>
                <w:sz w:val="22"/>
                <w:szCs w:val="22"/>
                <w:lang w:eastAsia="en-US"/>
              </w:rPr>
              <w:t>Vplyvy na rozpočet verejnej správy</w:t>
            </w:r>
          </w:p>
        </w:tc>
        <w:tc>
          <w:tcPr>
            <w:tcW w:w="541" w:type="dxa"/>
            <w:gridSpan w:val="2"/>
            <w:tcBorders>
              <w:right w:val="nil"/>
            </w:tcBorders>
          </w:tcPr>
          <w:p w:rsidR="004F25A7" w:rsidRPr="00524381" w:rsidRDefault="004F25A7" w:rsidP="00847E3A">
            <w:pPr>
              <w:jc w:val="center"/>
              <w:rPr>
                <w:b/>
                <w:sz w:val="22"/>
                <w:szCs w:val="22"/>
                <w:lang w:eastAsia="en-US"/>
              </w:rPr>
            </w:pPr>
            <w:r w:rsidRPr="00524381">
              <w:rPr>
                <w:rFonts w:ascii="Segoe UI Symbol" w:eastAsia="MS Mincho" w:hAnsi="Segoe UI Symbol" w:cs="Segoe UI Symbol"/>
                <w:b/>
                <w:sz w:val="22"/>
                <w:szCs w:val="22"/>
                <w:lang w:eastAsia="en-US"/>
              </w:rPr>
              <w:t>☐</w:t>
            </w:r>
          </w:p>
        </w:tc>
        <w:tc>
          <w:tcPr>
            <w:tcW w:w="1281" w:type="dxa"/>
            <w:gridSpan w:val="2"/>
            <w:tcBorders>
              <w:left w:val="nil"/>
              <w:right w:val="nil"/>
            </w:tcBorders>
          </w:tcPr>
          <w:p w:rsidR="004F25A7" w:rsidRPr="00524381" w:rsidRDefault="004F25A7" w:rsidP="00847E3A">
            <w:pPr>
              <w:rPr>
                <w:b/>
                <w:sz w:val="22"/>
                <w:szCs w:val="22"/>
                <w:lang w:eastAsia="en-US"/>
              </w:rPr>
            </w:pPr>
            <w:r w:rsidRPr="00524381">
              <w:rPr>
                <w:b/>
                <w:sz w:val="22"/>
                <w:szCs w:val="22"/>
                <w:lang w:eastAsia="en-US"/>
              </w:rPr>
              <w:t>Pozitívne</w:t>
            </w:r>
          </w:p>
        </w:tc>
        <w:tc>
          <w:tcPr>
            <w:tcW w:w="569" w:type="dxa"/>
            <w:tcBorders>
              <w:left w:val="nil"/>
              <w:right w:val="nil"/>
            </w:tcBorders>
          </w:tcPr>
          <w:p w:rsidR="004F25A7" w:rsidRPr="00524381" w:rsidRDefault="004F25A7" w:rsidP="00847E3A">
            <w:pPr>
              <w:jc w:val="center"/>
              <w:rPr>
                <w:b/>
                <w:sz w:val="22"/>
                <w:szCs w:val="22"/>
                <w:lang w:eastAsia="en-US"/>
              </w:rPr>
            </w:pPr>
            <w:r w:rsidRPr="00524381">
              <w:rPr>
                <w:rFonts w:ascii="Segoe UI Symbol" w:eastAsia="MS Gothic" w:hAnsi="Segoe UI Symbol" w:cs="Segoe UI Symbol"/>
                <w:sz w:val="22"/>
                <w:szCs w:val="22"/>
                <w:lang w:eastAsia="en-US"/>
              </w:rPr>
              <w:t>☒</w:t>
            </w:r>
          </w:p>
        </w:tc>
        <w:tc>
          <w:tcPr>
            <w:tcW w:w="1133" w:type="dxa"/>
            <w:tcBorders>
              <w:left w:val="nil"/>
              <w:right w:val="nil"/>
            </w:tcBorders>
          </w:tcPr>
          <w:p w:rsidR="004F25A7" w:rsidRPr="00524381" w:rsidRDefault="004F25A7" w:rsidP="00847E3A">
            <w:pPr>
              <w:rPr>
                <w:b/>
                <w:sz w:val="22"/>
                <w:szCs w:val="22"/>
                <w:lang w:eastAsia="en-US"/>
              </w:rPr>
            </w:pPr>
            <w:r w:rsidRPr="00524381">
              <w:rPr>
                <w:b/>
                <w:sz w:val="22"/>
                <w:szCs w:val="22"/>
                <w:lang w:eastAsia="en-US"/>
              </w:rPr>
              <w:t>Žiadne</w:t>
            </w:r>
          </w:p>
        </w:tc>
        <w:tc>
          <w:tcPr>
            <w:tcW w:w="547" w:type="dxa"/>
            <w:gridSpan w:val="2"/>
            <w:tcBorders>
              <w:left w:val="nil"/>
              <w:right w:val="nil"/>
            </w:tcBorders>
          </w:tcPr>
          <w:p w:rsidR="004F25A7" w:rsidRPr="00524381" w:rsidRDefault="00AF4F35" w:rsidP="00847E3A">
            <w:pPr>
              <w:ind w:left="-107" w:right="-108"/>
              <w:jc w:val="center"/>
              <w:rPr>
                <w:b/>
                <w:sz w:val="22"/>
                <w:szCs w:val="22"/>
                <w:lang w:eastAsia="en-US"/>
              </w:rPr>
            </w:pPr>
            <w:r w:rsidRPr="00524381">
              <w:rPr>
                <w:rFonts w:ascii="Segoe UI Symbol" w:eastAsia="MS Mincho" w:hAnsi="Segoe UI Symbol" w:cs="Segoe UI Symbol"/>
                <w:sz w:val="22"/>
                <w:szCs w:val="22"/>
                <w:lang w:eastAsia="en-US"/>
              </w:rPr>
              <w:t>☐</w:t>
            </w:r>
          </w:p>
        </w:tc>
        <w:tc>
          <w:tcPr>
            <w:tcW w:w="1302" w:type="dxa"/>
            <w:tcBorders>
              <w:left w:val="nil"/>
            </w:tcBorders>
          </w:tcPr>
          <w:p w:rsidR="004F25A7" w:rsidRPr="00524381" w:rsidRDefault="004F25A7" w:rsidP="00847E3A">
            <w:pPr>
              <w:ind w:left="34"/>
              <w:rPr>
                <w:b/>
                <w:sz w:val="22"/>
                <w:szCs w:val="22"/>
                <w:lang w:eastAsia="en-US"/>
              </w:rPr>
            </w:pPr>
            <w:r w:rsidRPr="00524381">
              <w:rPr>
                <w:b/>
                <w:sz w:val="22"/>
                <w:szCs w:val="22"/>
                <w:lang w:eastAsia="en-US"/>
              </w:rPr>
              <w:t>Negatívne</w:t>
            </w:r>
          </w:p>
        </w:tc>
      </w:tr>
      <w:tr w:rsidR="004F25A7" w:rsidRPr="003C289B" w:rsidTr="00F6075C">
        <w:tc>
          <w:tcPr>
            <w:tcW w:w="3812" w:type="dxa"/>
            <w:tcBorders>
              <w:top w:val="nil"/>
              <w:bottom w:val="single" w:sz="4" w:space="0" w:color="000000"/>
            </w:tcBorders>
            <w:shd w:val="clear" w:color="auto" w:fill="E2E2E2"/>
          </w:tcPr>
          <w:p w:rsidR="004F25A7" w:rsidRPr="00524381" w:rsidRDefault="004F25A7" w:rsidP="00847E3A">
            <w:pPr>
              <w:rPr>
                <w:sz w:val="22"/>
                <w:szCs w:val="22"/>
                <w:lang w:eastAsia="en-US"/>
              </w:rPr>
            </w:pPr>
            <w:r w:rsidRPr="00524381">
              <w:rPr>
                <w:sz w:val="22"/>
                <w:szCs w:val="22"/>
                <w:lang w:eastAsia="en-US"/>
              </w:rPr>
              <w:t xml:space="preserve">    z toho rozpočtovo zabezpečené vplyvy</w:t>
            </w:r>
          </w:p>
        </w:tc>
        <w:tc>
          <w:tcPr>
            <w:tcW w:w="541" w:type="dxa"/>
            <w:gridSpan w:val="2"/>
            <w:tcBorders>
              <w:right w:val="nil"/>
            </w:tcBorders>
          </w:tcPr>
          <w:p w:rsidR="004F25A7" w:rsidRPr="00524381" w:rsidRDefault="00AF4F35" w:rsidP="00847E3A">
            <w:pPr>
              <w:jc w:val="center"/>
              <w:rPr>
                <w:sz w:val="22"/>
                <w:szCs w:val="22"/>
                <w:lang w:eastAsia="en-US"/>
              </w:rPr>
            </w:pPr>
            <w:r w:rsidRPr="00524381">
              <w:rPr>
                <w:rFonts w:ascii="Segoe UI Symbol" w:eastAsia="MS Mincho" w:hAnsi="Segoe UI Symbol" w:cs="Segoe UI Symbol"/>
                <w:sz w:val="22"/>
                <w:szCs w:val="22"/>
                <w:lang w:eastAsia="en-US"/>
              </w:rPr>
              <w:t>☐</w:t>
            </w:r>
          </w:p>
        </w:tc>
        <w:tc>
          <w:tcPr>
            <w:tcW w:w="1281" w:type="dxa"/>
            <w:gridSpan w:val="2"/>
            <w:tcBorders>
              <w:left w:val="nil"/>
              <w:right w:val="nil"/>
            </w:tcBorders>
          </w:tcPr>
          <w:p w:rsidR="004F25A7" w:rsidRPr="00524381" w:rsidRDefault="004F25A7" w:rsidP="00847E3A">
            <w:pPr>
              <w:rPr>
                <w:sz w:val="22"/>
                <w:szCs w:val="22"/>
                <w:lang w:eastAsia="en-US"/>
              </w:rPr>
            </w:pPr>
            <w:r w:rsidRPr="00524381">
              <w:rPr>
                <w:sz w:val="22"/>
                <w:szCs w:val="22"/>
                <w:lang w:eastAsia="en-US"/>
              </w:rPr>
              <w:t>Áno</w:t>
            </w:r>
          </w:p>
        </w:tc>
        <w:tc>
          <w:tcPr>
            <w:tcW w:w="569" w:type="dxa"/>
            <w:tcBorders>
              <w:left w:val="nil"/>
              <w:right w:val="nil"/>
            </w:tcBorders>
          </w:tcPr>
          <w:p w:rsidR="004F25A7" w:rsidRPr="00524381" w:rsidRDefault="004F25A7" w:rsidP="00847E3A">
            <w:pPr>
              <w:jc w:val="center"/>
              <w:rPr>
                <w:sz w:val="22"/>
                <w:szCs w:val="22"/>
                <w:lang w:eastAsia="en-US"/>
              </w:rPr>
            </w:pPr>
            <w:r w:rsidRPr="00524381">
              <w:rPr>
                <w:rFonts w:ascii="Segoe UI Symbol" w:eastAsia="MS Gothic" w:hAnsi="Segoe UI Symbol" w:cs="Segoe UI Symbol"/>
                <w:sz w:val="22"/>
                <w:szCs w:val="22"/>
                <w:lang w:eastAsia="en-US"/>
              </w:rPr>
              <w:t>☒</w:t>
            </w:r>
          </w:p>
        </w:tc>
        <w:tc>
          <w:tcPr>
            <w:tcW w:w="1133" w:type="dxa"/>
            <w:tcBorders>
              <w:left w:val="nil"/>
              <w:right w:val="nil"/>
            </w:tcBorders>
          </w:tcPr>
          <w:p w:rsidR="004F25A7" w:rsidRPr="00524381" w:rsidRDefault="004F25A7" w:rsidP="00847E3A">
            <w:pPr>
              <w:rPr>
                <w:sz w:val="22"/>
                <w:szCs w:val="22"/>
                <w:lang w:eastAsia="en-US"/>
              </w:rPr>
            </w:pPr>
            <w:r w:rsidRPr="00524381">
              <w:rPr>
                <w:sz w:val="22"/>
                <w:szCs w:val="22"/>
                <w:lang w:eastAsia="en-US"/>
              </w:rPr>
              <w:t>Nie</w:t>
            </w:r>
          </w:p>
        </w:tc>
        <w:tc>
          <w:tcPr>
            <w:tcW w:w="547" w:type="dxa"/>
            <w:gridSpan w:val="2"/>
            <w:tcBorders>
              <w:left w:val="nil"/>
              <w:right w:val="nil"/>
            </w:tcBorders>
          </w:tcPr>
          <w:p w:rsidR="004F25A7" w:rsidRPr="00524381" w:rsidRDefault="004F25A7" w:rsidP="00847E3A">
            <w:pPr>
              <w:ind w:left="-107" w:right="-108"/>
              <w:jc w:val="center"/>
              <w:rPr>
                <w:sz w:val="22"/>
                <w:szCs w:val="22"/>
                <w:lang w:eastAsia="en-US"/>
              </w:rPr>
            </w:pPr>
            <w:r w:rsidRPr="00524381">
              <w:rPr>
                <w:rFonts w:ascii="Segoe UI Symbol" w:eastAsia="MS Mincho" w:hAnsi="Segoe UI Symbol" w:cs="Segoe UI Symbol"/>
                <w:sz w:val="22"/>
                <w:szCs w:val="22"/>
                <w:lang w:eastAsia="en-US"/>
              </w:rPr>
              <w:t>☐</w:t>
            </w:r>
          </w:p>
        </w:tc>
        <w:tc>
          <w:tcPr>
            <w:tcW w:w="1302" w:type="dxa"/>
            <w:tcBorders>
              <w:left w:val="nil"/>
            </w:tcBorders>
          </w:tcPr>
          <w:p w:rsidR="004F25A7" w:rsidRPr="00524381" w:rsidRDefault="004F25A7" w:rsidP="00847E3A">
            <w:pPr>
              <w:ind w:left="34"/>
              <w:rPr>
                <w:sz w:val="22"/>
                <w:szCs w:val="22"/>
                <w:lang w:eastAsia="en-US"/>
              </w:rPr>
            </w:pPr>
            <w:r w:rsidRPr="00524381">
              <w:rPr>
                <w:sz w:val="22"/>
                <w:szCs w:val="22"/>
                <w:lang w:eastAsia="en-US"/>
              </w:rPr>
              <w:t>Čiastočne</w:t>
            </w:r>
          </w:p>
        </w:tc>
      </w:tr>
      <w:tr w:rsidR="004F25A7" w:rsidRPr="003C289B" w:rsidTr="00F6075C">
        <w:tc>
          <w:tcPr>
            <w:tcW w:w="3812" w:type="dxa"/>
            <w:tcBorders>
              <w:top w:val="single" w:sz="4" w:space="0" w:color="000000"/>
              <w:bottom w:val="nil"/>
            </w:tcBorders>
            <w:shd w:val="clear" w:color="auto" w:fill="E2E2E2"/>
          </w:tcPr>
          <w:p w:rsidR="004F25A7" w:rsidRPr="00524381" w:rsidRDefault="004F25A7" w:rsidP="00847E3A">
            <w:pPr>
              <w:rPr>
                <w:b/>
                <w:sz w:val="22"/>
                <w:szCs w:val="22"/>
                <w:lang w:eastAsia="en-US"/>
              </w:rPr>
            </w:pPr>
            <w:r w:rsidRPr="00524381">
              <w:rPr>
                <w:b/>
                <w:sz w:val="22"/>
                <w:szCs w:val="22"/>
                <w:lang w:eastAsia="en-US"/>
              </w:rPr>
              <w:t>Vplyvy na podnikateľské prostredie</w:t>
            </w:r>
          </w:p>
        </w:tc>
        <w:tc>
          <w:tcPr>
            <w:tcW w:w="541" w:type="dxa"/>
            <w:gridSpan w:val="2"/>
            <w:tcBorders>
              <w:right w:val="nil"/>
            </w:tcBorders>
          </w:tcPr>
          <w:p w:rsidR="004F25A7" w:rsidRPr="00524381" w:rsidRDefault="004F25A7" w:rsidP="00847E3A">
            <w:pPr>
              <w:jc w:val="center"/>
              <w:rPr>
                <w:b/>
                <w:sz w:val="22"/>
                <w:szCs w:val="22"/>
                <w:lang w:eastAsia="en-US"/>
              </w:rPr>
            </w:pPr>
            <w:r w:rsidRPr="00524381">
              <w:rPr>
                <w:rFonts w:ascii="Segoe UI Symbol" w:eastAsia="MS Gothic" w:hAnsi="Segoe UI Symbol" w:cs="Segoe UI Symbol"/>
                <w:sz w:val="22"/>
                <w:szCs w:val="22"/>
                <w:lang w:eastAsia="en-US"/>
              </w:rPr>
              <w:t>☒</w:t>
            </w:r>
          </w:p>
        </w:tc>
        <w:tc>
          <w:tcPr>
            <w:tcW w:w="1281" w:type="dxa"/>
            <w:gridSpan w:val="2"/>
            <w:tcBorders>
              <w:left w:val="nil"/>
              <w:right w:val="nil"/>
            </w:tcBorders>
          </w:tcPr>
          <w:p w:rsidR="004F25A7" w:rsidRPr="00524381" w:rsidRDefault="004F25A7" w:rsidP="00847E3A">
            <w:pPr>
              <w:ind w:right="-108"/>
              <w:rPr>
                <w:b/>
                <w:sz w:val="22"/>
                <w:szCs w:val="22"/>
                <w:lang w:eastAsia="en-US"/>
              </w:rPr>
            </w:pPr>
            <w:r w:rsidRPr="00524381">
              <w:rPr>
                <w:b/>
                <w:sz w:val="22"/>
                <w:szCs w:val="22"/>
                <w:lang w:eastAsia="en-US"/>
              </w:rPr>
              <w:t>Pozitívne</w:t>
            </w:r>
          </w:p>
        </w:tc>
        <w:tc>
          <w:tcPr>
            <w:tcW w:w="569" w:type="dxa"/>
            <w:tcBorders>
              <w:left w:val="nil"/>
              <w:right w:val="nil"/>
            </w:tcBorders>
          </w:tcPr>
          <w:p w:rsidR="004F25A7" w:rsidRPr="00524381" w:rsidRDefault="00AF4F35" w:rsidP="00847E3A">
            <w:pPr>
              <w:jc w:val="center"/>
              <w:rPr>
                <w:b/>
                <w:sz w:val="22"/>
                <w:szCs w:val="22"/>
                <w:lang w:eastAsia="en-US"/>
              </w:rPr>
            </w:pPr>
            <w:r w:rsidRPr="00524381">
              <w:rPr>
                <w:rFonts w:ascii="Segoe UI Symbol" w:eastAsia="MS Mincho" w:hAnsi="Segoe UI Symbol" w:cs="Segoe UI Symbol"/>
                <w:sz w:val="22"/>
                <w:szCs w:val="22"/>
                <w:lang w:eastAsia="en-US"/>
              </w:rPr>
              <w:t>☐</w:t>
            </w:r>
          </w:p>
        </w:tc>
        <w:tc>
          <w:tcPr>
            <w:tcW w:w="1133" w:type="dxa"/>
            <w:tcBorders>
              <w:left w:val="nil"/>
              <w:right w:val="nil"/>
            </w:tcBorders>
          </w:tcPr>
          <w:p w:rsidR="004F25A7" w:rsidRPr="00524381" w:rsidRDefault="004F25A7" w:rsidP="00847E3A">
            <w:pPr>
              <w:rPr>
                <w:b/>
                <w:sz w:val="22"/>
                <w:szCs w:val="22"/>
                <w:lang w:eastAsia="en-US"/>
              </w:rPr>
            </w:pPr>
            <w:r w:rsidRPr="00524381">
              <w:rPr>
                <w:b/>
                <w:sz w:val="22"/>
                <w:szCs w:val="22"/>
                <w:lang w:eastAsia="en-US"/>
              </w:rPr>
              <w:t>Žiadne</w:t>
            </w:r>
          </w:p>
        </w:tc>
        <w:tc>
          <w:tcPr>
            <w:tcW w:w="547" w:type="dxa"/>
            <w:gridSpan w:val="2"/>
            <w:tcBorders>
              <w:left w:val="nil"/>
              <w:right w:val="nil"/>
            </w:tcBorders>
          </w:tcPr>
          <w:p w:rsidR="004F25A7" w:rsidRPr="00524381" w:rsidRDefault="00AF4F35" w:rsidP="00847E3A">
            <w:pPr>
              <w:jc w:val="center"/>
              <w:rPr>
                <w:b/>
                <w:sz w:val="22"/>
                <w:szCs w:val="22"/>
                <w:lang w:eastAsia="en-US"/>
              </w:rPr>
            </w:pPr>
            <w:r w:rsidRPr="00524381">
              <w:rPr>
                <w:rFonts w:ascii="Segoe UI Symbol" w:eastAsia="MS Mincho" w:hAnsi="Segoe UI Symbol" w:cs="Segoe UI Symbol"/>
                <w:sz w:val="22"/>
                <w:szCs w:val="22"/>
                <w:lang w:eastAsia="en-US"/>
              </w:rPr>
              <w:t>☐</w:t>
            </w:r>
          </w:p>
        </w:tc>
        <w:tc>
          <w:tcPr>
            <w:tcW w:w="1302" w:type="dxa"/>
            <w:tcBorders>
              <w:left w:val="nil"/>
            </w:tcBorders>
          </w:tcPr>
          <w:p w:rsidR="004F25A7" w:rsidRPr="00524381" w:rsidRDefault="004F25A7" w:rsidP="00847E3A">
            <w:pPr>
              <w:ind w:left="54"/>
              <w:rPr>
                <w:b/>
                <w:sz w:val="22"/>
                <w:szCs w:val="22"/>
                <w:lang w:eastAsia="en-US"/>
              </w:rPr>
            </w:pPr>
            <w:r w:rsidRPr="00524381">
              <w:rPr>
                <w:b/>
                <w:sz w:val="22"/>
                <w:szCs w:val="22"/>
                <w:lang w:eastAsia="en-US"/>
              </w:rPr>
              <w:t>Negatívne</w:t>
            </w:r>
          </w:p>
        </w:tc>
      </w:tr>
      <w:tr w:rsidR="004F25A7" w:rsidRPr="003C289B" w:rsidTr="00F6075C">
        <w:tc>
          <w:tcPr>
            <w:tcW w:w="3812" w:type="dxa"/>
            <w:tcBorders>
              <w:top w:val="nil"/>
              <w:left w:val="single" w:sz="4" w:space="0" w:color="000000"/>
              <w:bottom w:val="single" w:sz="4" w:space="0" w:color="000000"/>
              <w:right w:val="single" w:sz="4" w:space="0" w:color="000000"/>
            </w:tcBorders>
            <w:shd w:val="clear" w:color="auto" w:fill="E2E2E2"/>
          </w:tcPr>
          <w:p w:rsidR="004F25A7" w:rsidRPr="00524381" w:rsidRDefault="004F25A7" w:rsidP="00847E3A">
            <w:pPr>
              <w:rPr>
                <w:sz w:val="22"/>
                <w:szCs w:val="22"/>
                <w:lang w:eastAsia="en-US"/>
              </w:rPr>
            </w:pPr>
            <w:r w:rsidRPr="00524381">
              <w:rPr>
                <w:sz w:val="22"/>
                <w:szCs w:val="22"/>
                <w:lang w:eastAsia="en-US"/>
              </w:rPr>
              <w:t xml:space="preserve">    z toho vplyvy na MSP</w:t>
            </w:r>
          </w:p>
        </w:tc>
        <w:tc>
          <w:tcPr>
            <w:tcW w:w="541" w:type="dxa"/>
            <w:gridSpan w:val="2"/>
            <w:tcBorders>
              <w:left w:val="single" w:sz="4" w:space="0" w:color="000000"/>
              <w:right w:val="nil"/>
            </w:tcBorders>
          </w:tcPr>
          <w:p w:rsidR="004F25A7" w:rsidRPr="00524381" w:rsidRDefault="004F25A7" w:rsidP="00847E3A">
            <w:pPr>
              <w:jc w:val="center"/>
              <w:rPr>
                <w:sz w:val="22"/>
                <w:szCs w:val="22"/>
                <w:lang w:eastAsia="en-US"/>
              </w:rPr>
            </w:pPr>
            <w:r w:rsidRPr="00524381">
              <w:rPr>
                <w:rFonts w:ascii="Segoe UI Symbol" w:eastAsia="MS Mincho" w:hAnsi="Segoe UI Symbol" w:cs="Segoe UI Symbol"/>
                <w:b/>
                <w:sz w:val="22"/>
                <w:szCs w:val="22"/>
                <w:lang w:eastAsia="en-US"/>
              </w:rPr>
              <w:t>☐</w:t>
            </w:r>
          </w:p>
        </w:tc>
        <w:tc>
          <w:tcPr>
            <w:tcW w:w="1281" w:type="dxa"/>
            <w:gridSpan w:val="2"/>
            <w:tcBorders>
              <w:left w:val="nil"/>
              <w:right w:val="nil"/>
            </w:tcBorders>
          </w:tcPr>
          <w:p w:rsidR="004F25A7" w:rsidRPr="00524381" w:rsidRDefault="004F25A7" w:rsidP="00847E3A">
            <w:pPr>
              <w:ind w:right="-108"/>
              <w:rPr>
                <w:sz w:val="22"/>
                <w:szCs w:val="22"/>
                <w:lang w:eastAsia="en-US"/>
              </w:rPr>
            </w:pPr>
            <w:r w:rsidRPr="00524381">
              <w:rPr>
                <w:sz w:val="22"/>
                <w:szCs w:val="22"/>
                <w:lang w:eastAsia="en-US"/>
              </w:rPr>
              <w:t>Pozitívne</w:t>
            </w:r>
          </w:p>
        </w:tc>
        <w:tc>
          <w:tcPr>
            <w:tcW w:w="569" w:type="dxa"/>
            <w:tcBorders>
              <w:left w:val="nil"/>
              <w:right w:val="nil"/>
            </w:tcBorders>
          </w:tcPr>
          <w:p w:rsidR="004F25A7" w:rsidRPr="00524381" w:rsidRDefault="004F25A7" w:rsidP="00847E3A">
            <w:pPr>
              <w:jc w:val="center"/>
              <w:rPr>
                <w:sz w:val="22"/>
                <w:szCs w:val="22"/>
                <w:lang w:eastAsia="en-US"/>
              </w:rPr>
            </w:pPr>
            <w:r w:rsidRPr="00524381">
              <w:rPr>
                <w:rFonts w:ascii="Segoe UI Symbol" w:eastAsia="MS Gothic" w:hAnsi="Segoe UI Symbol" w:cs="Segoe UI Symbol"/>
                <w:sz w:val="22"/>
                <w:szCs w:val="22"/>
                <w:lang w:eastAsia="en-US"/>
              </w:rPr>
              <w:t>☒</w:t>
            </w:r>
          </w:p>
        </w:tc>
        <w:tc>
          <w:tcPr>
            <w:tcW w:w="1133" w:type="dxa"/>
            <w:tcBorders>
              <w:left w:val="nil"/>
              <w:right w:val="nil"/>
            </w:tcBorders>
          </w:tcPr>
          <w:p w:rsidR="004F25A7" w:rsidRPr="00524381" w:rsidRDefault="004F25A7" w:rsidP="00847E3A">
            <w:pPr>
              <w:rPr>
                <w:sz w:val="22"/>
                <w:szCs w:val="22"/>
                <w:lang w:eastAsia="en-US"/>
              </w:rPr>
            </w:pPr>
            <w:r w:rsidRPr="00524381">
              <w:rPr>
                <w:sz w:val="22"/>
                <w:szCs w:val="22"/>
                <w:lang w:eastAsia="en-US"/>
              </w:rPr>
              <w:t>Žiadne</w:t>
            </w:r>
          </w:p>
        </w:tc>
        <w:tc>
          <w:tcPr>
            <w:tcW w:w="547" w:type="dxa"/>
            <w:gridSpan w:val="2"/>
            <w:tcBorders>
              <w:left w:val="nil"/>
              <w:right w:val="nil"/>
            </w:tcBorders>
          </w:tcPr>
          <w:p w:rsidR="004F25A7" w:rsidRPr="00524381" w:rsidRDefault="004F25A7" w:rsidP="00847E3A">
            <w:pPr>
              <w:jc w:val="center"/>
              <w:rPr>
                <w:sz w:val="22"/>
                <w:szCs w:val="22"/>
                <w:lang w:eastAsia="en-US"/>
              </w:rPr>
            </w:pPr>
            <w:r w:rsidRPr="00524381">
              <w:rPr>
                <w:rFonts w:ascii="Segoe UI Symbol" w:eastAsia="MS Mincho" w:hAnsi="Segoe UI Symbol" w:cs="Segoe UI Symbol"/>
                <w:sz w:val="22"/>
                <w:szCs w:val="22"/>
                <w:lang w:eastAsia="en-US"/>
              </w:rPr>
              <w:t>☐</w:t>
            </w:r>
          </w:p>
        </w:tc>
        <w:tc>
          <w:tcPr>
            <w:tcW w:w="1302" w:type="dxa"/>
            <w:tcBorders>
              <w:left w:val="nil"/>
            </w:tcBorders>
          </w:tcPr>
          <w:p w:rsidR="004F25A7" w:rsidRPr="00524381" w:rsidRDefault="004F25A7" w:rsidP="00847E3A">
            <w:pPr>
              <w:ind w:left="54"/>
              <w:rPr>
                <w:sz w:val="22"/>
                <w:szCs w:val="22"/>
                <w:lang w:eastAsia="en-US"/>
              </w:rPr>
            </w:pPr>
            <w:r w:rsidRPr="00524381">
              <w:rPr>
                <w:sz w:val="22"/>
                <w:szCs w:val="22"/>
                <w:lang w:eastAsia="en-US"/>
              </w:rPr>
              <w:t>Negatívne</w:t>
            </w:r>
          </w:p>
        </w:tc>
      </w:tr>
      <w:tr w:rsidR="004F25A7" w:rsidRPr="003C289B" w:rsidTr="00F6075C">
        <w:tc>
          <w:tcPr>
            <w:tcW w:w="3812" w:type="dxa"/>
            <w:tcBorders>
              <w:top w:val="single" w:sz="4" w:space="0" w:color="000000"/>
            </w:tcBorders>
            <w:shd w:val="clear" w:color="auto" w:fill="E2E2E2"/>
          </w:tcPr>
          <w:p w:rsidR="004F25A7" w:rsidRPr="00524381" w:rsidRDefault="004F25A7" w:rsidP="00847E3A">
            <w:pPr>
              <w:rPr>
                <w:b/>
                <w:sz w:val="22"/>
                <w:szCs w:val="22"/>
                <w:lang w:eastAsia="en-US"/>
              </w:rPr>
            </w:pPr>
            <w:r w:rsidRPr="00524381">
              <w:rPr>
                <w:b/>
                <w:sz w:val="22"/>
                <w:szCs w:val="22"/>
                <w:lang w:eastAsia="en-US"/>
              </w:rPr>
              <w:t>Sociálne vplyvy</w:t>
            </w:r>
          </w:p>
        </w:tc>
        <w:tc>
          <w:tcPr>
            <w:tcW w:w="541" w:type="dxa"/>
            <w:gridSpan w:val="2"/>
            <w:tcBorders>
              <w:right w:val="nil"/>
            </w:tcBorders>
          </w:tcPr>
          <w:p w:rsidR="004F25A7" w:rsidRPr="00524381" w:rsidRDefault="004F25A7" w:rsidP="00847E3A">
            <w:pPr>
              <w:jc w:val="center"/>
              <w:rPr>
                <w:b/>
                <w:sz w:val="22"/>
                <w:szCs w:val="22"/>
                <w:lang w:eastAsia="en-US"/>
              </w:rPr>
            </w:pPr>
            <w:r w:rsidRPr="00524381">
              <w:rPr>
                <w:rFonts w:ascii="Segoe UI Symbol" w:eastAsia="MS Mincho" w:hAnsi="Segoe UI Symbol" w:cs="Segoe UI Symbol"/>
                <w:b/>
                <w:sz w:val="22"/>
                <w:szCs w:val="22"/>
                <w:lang w:eastAsia="en-US"/>
              </w:rPr>
              <w:t>☐</w:t>
            </w:r>
          </w:p>
        </w:tc>
        <w:tc>
          <w:tcPr>
            <w:tcW w:w="1281" w:type="dxa"/>
            <w:gridSpan w:val="2"/>
            <w:tcBorders>
              <w:left w:val="nil"/>
              <w:right w:val="nil"/>
            </w:tcBorders>
          </w:tcPr>
          <w:p w:rsidR="004F25A7" w:rsidRPr="00524381" w:rsidRDefault="004F25A7" w:rsidP="00847E3A">
            <w:pPr>
              <w:ind w:right="-108"/>
              <w:rPr>
                <w:b/>
                <w:sz w:val="22"/>
                <w:szCs w:val="22"/>
                <w:lang w:eastAsia="en-US"/>
              </w:rPr>
            </w:pPr>
            <w:r w:rsidRPr="00524381">
              <w:rPr>
                <w:b/>
                <w:sz w:val="22"/>
                <w:szCs w:val="22"/>
                <w:lang w:eastAsia="en-US"/>
              </w:rPr>
              <w:t>Pozitívne</w:t>
            </w:r>
          </w:p>
        </w:tc>
        <w:tc>
          <w:tcPr>
            <w:tcW w:w="569" w:type="dxa"/>
            <w:tcBorders>
              <w:left w:val="nil"/>
              <w:right w:val="nil"/>
            </w:tcBorders>
          </w:tcPr>
          <w:p w:rsidR="004F25A7" w:rsidRPr="00524381" w:rsidRDefault="004F25A7" w:rsidP="00847E3A">
            <w:pPr>
              <w:jc w:val="center"/>
              <w:rPr>
                <w:b/>
                <w:sz w:val="22"/>
                <w:szCs w:val="22"/>
                <w:lang w:eastAsia="en-US"/>
              </w:rPr>
            </w:pPr>
            <w:r w:rsidRPr="00524381">
              <w:rPr>
                <w:rFonts w:ascii="Segoe UI Symbol" w:eastAsia="MS Gothic" w:hAnsi="Segoe UI Symbol" w:cs="Segoe UI Symbol"/>
                <w:sz w:val="22"/>
                <w:szCs w:val="22"/>
                <w:lang w:eastAsia="en-US"/>
              </w:rPr>
              <w:t>☒</w:t>
            </w:r>
          </w:p>
        </w:tc>
        <w:tc>
          <w:tcPr>
            <w:tcW w:w="1133" w:type="dxa"/>
            <w:tcBorders>
              <w:left w:val="nil"/>
              <w:right w:val="nil"/>
            </w:tcBorders>
          </w:tcPr>
          <w:p w:rsidR="004F25A7" w:rsidRPr="00524381" w:rsidRDefault="004F25A7" w:rsidP="00847E3A">
            <w:pPr>
              <w:rPr>
                <w:b/>
                <w:sz w:val="22"/>
                <w:szCs w:val="22"/>
                <w:lang w:eastAsia="en-US"/>
              </w:rPr>
            </w:pPr>
            <w:r w:rsidRPr="00524381">
              <w:rPr>
                <w:b/>
                <w:sz w:val="22"/>
                <w:szCs w:val="22"/>
                <w:lang w:eastAsia="en-US"/>
              </w:rPr>
              <w:t>Žiadne</w:t>
            </w:r>
          </w:p>
        </w:tc>
        <w:tc>
          <w:tcPr>
            <w:tcW w:w="547" w:type="dxa"/>
            <w:gridSpan w:val="2"/>
            <w:tcBorders>
              <w:left w:val="nil"/>
              <w:right w:val="nil"/>
            </w:tcBorders>
          </w:tcPr>
          <w:p w:rsidR="004F25A7" w:rsidRPr="00524381" w:rsidRDefault="004F25A7" w:rsidP="00847E3A">
            <w:pPr>
              <w:jc w:val="center"/>
              <w:rPr>
                <w:b/>
                <w:sz w:val="22"/>
                <w:szCs w:val="22"/>
                <w:lang w:eastAsia="en-US"/>
              </w:rPr>
            </w:pPr>
            <w:r w:rsidRPr="00524381">
              <w:rPr>
                <w:rFonts w:ascii="Segoe UI Symbol" w:eastAsia="MS Mincho" w:hAnsi="Segoe UI Symbol" w:cs="Segoe UI Symbol"/>
                <w:b/>
                <w:sz w:val="22"/>
                <w:szCs w:val="22"/>
                <w:lang w:eastAsia="en-US"/>
              </w:rPr>
              <w:t>☐</w:t>
            </w:r>
          </w:p>
        </w:tc>
        <w:tc>
          <w:tcPr>
            <w:tcW w:w="1302" w:type="dxa"/>
            <w:tcBorders>
              <w:left w:val="nil"/>
            </w:tcBorders>
          </w:tcPr>
          <w:p w:rsidR="004F25A7" w:rsidRPr="00524381" w:rsidRDefault="004F25A7" w:rsidP="00847E3A">
            <w:pPr>
              <w:ind w:left="54"/>
              <w:rPr>
                <w:b/>
                <w:sz w:val="22"/>
                <w:szCs w:val="22"/>
                <w:lang w:eastAsia="en-US"/>
              </w:rPr>
            </w:pPr>
            <w:r w:rsidRPr="00524381">
              <w:rPr>
                <w:b/>
                <w:sz w:val="22"/>
                <w:szCs w:val="22"/>
                <w:lang w:eastAsia="en-US"/>
              </w:rPr>
              <w:t>Negatívne</w:t>
            </w:r>
          </w:p>
        </w:tc>
      </w:tr>
      <w:tr w:rsidR="004F25A7" w:rsidRPr="003C289B" w:rsidTr="00F6075C">
        <w:tc>
          <w:tcPr>
            <w:tcW w:w="3812" w:type="dxa"/>
            <w:shd w:val="clear" w:color="auto" w:fill="E2E2E2"/>
          </w:tcPr>
          <w:p w:rsidR="004F25A7" w:rsidRPr="00524381" w:rsidRDefault="004F25A7" w:rsidP="00847E3A">
            <w:pPr>
              <w:rPr>
                <w:b/>
                <w:sz w:val="22"/>
                <w:szCs w:val="22"/>
                <w:lang w:eastAsia="en-US"/>
              </w:rPr>
            </w:pPr>
            <w:r w:rsidRPr="00524381">
              <w:rPr>
                <w:b/>
                <w:sz w:val="22"/>
                <w:szCs w:val="22"/>
                <w:lang w:eastAsia="en-US"/>
              </w:rPr>
              <w:t>Vplyvy na životné prostredie</w:t>
            </w:r>
          </w:p>
        </w:tc>
        <w:tc>
          <w:tcPr>
            <w:tcW w:w="541" w:type="dxa"/>
            <w:gridSpan w:val="2"/>
            <w:tcBorders>
              <w:right w:val="nil"/>
            </w:tcBorders>
          </w:tcPr>
          <w:p w:rsidR="004F25A7" w:rsidRPr="00524381" w:rsidRDefault="004F25A7" w:rsidP="00847E3A">
            <w:pPr>
              <w:jc w:val="center"/>
              <w:rPr>
                <w:b/>
                <w:sz w:val="22"/>
                <w:szCs w:val="22"/>
                <w:lang w:eastAsia="en-US"/>
              </w:rPr>
            </w:pPr>
            <w:r w:rsidRPr="00524381">
              <w:rPr>
                <w:rFonts w:ascii="Segoe UI Symbol" w:eastAsia="MS Mincho" w:hAnsi="Segoe UI Symbol" w:cs="Segoe UI Symbol"/>
                <w:b/>
                <w:sz w:val="22"/>
                <w:szCs w:val="22"/>
                <w:lang w:eastAsia="en-US"/>
              </w:rPr>
              <w:t>☐</w:t>
            </w:r>
          </w:p>
        </w:tc>
        <w:tc>
          <w:tcPr>
            <w:tcW w:w="1281" w:type="dxa"/>
            <w:gridSpan w:val="2"/>
            <w:tcBorders>
              <w:left w:val="nil"/>
              <w:right w:val="nil"/>
            </w:tcBorders>
          </w:tcPr>
          <w:p w:rsidR="004F25A7" w:rsidRPr="00524381" w:rsidRDefault="004F25A7" w:rsidP="00847E3A">
            <w:pPr>
              <w:ind w:right="-108"/>
              <w:rPr>
                <w:b/>
                <w:sz w:val="22"/>
                <w:szCs w:val="22"/>
                <w:lang w:eastAsia="en-US"/>
              </w:rPr>
            </w:pPr>
            <w:r w:rsidRPr="00524381">
              <w:rPr>
                <w:b/>
                <w:sz w:val="22"/>
                <w:szCs w:val="22"/>
                <w:lang w:eastAsia="en-US"/>
              </w:rPr>
              <w:t>Pozitívne</w:t>
            </w:r>
          </w:p>
        </w:tc>
        <w:tc>
          <w:tcPr>
            <w:tcW w:w="569" w:type="dxa"/>
            <w:tcBorders>
              <w:left w:val="nil"/>
              <w:right w:val="nil"/>
            </w:tcBorders>
          </w:tcPr>
          <w:p w:rsidR="004F25A7" w:rsidRPr="00524381" w:rsidRDefault="004F25A7" w:rsidP="00847E3A">
            <w:pPr>
              <w:jc w:val="center"/>
              <w:rPr>
                <w:b/>
                <w:sz w:val="22"/>
                <w:szCs w:val="22"/>
                <w:lang w:eastAsia="en-US"/>
              </w:rPr>
            </w:pPr>
            <w:r w:rsidRPr="00524381">
              <w:rPr>
                <w:rFonts w:ascii="Segoe UI Symbol" w:eastAsia="MS Gothic" w:hAnsi="Segoe UI Symbol" w:cs="Segoe UI Symbol"/>
                <w:sz w:val="22"/>
                <w:szCs w:val="22"/>
                <w:lang w:eastAsia="en-US"/>
              </w:rPr>
              <w:t>☒</w:t>
            </w:r>
          </w:p>
        </w:tc>
        <w:tc>
          <w:tcPr>
            <w:tcW w:w="1133" w:type="dxa"/>
            <w:tcBorders>
              <w:left w:val="nil"/>
              <w:right w:val="nil"/>
            </w:tcBorders>
          </w:tcPr>
          <w:p w:rsidR="004F25A7" w:rsidRPr="00524381" w:rsidRDefault="004F25A7" w:rsidP="00847E3A">
            <w:pPr>
              <w:rPr>
                <w:b/>
                <w:sz w:val="22"/>
                <w:szCs w:val="22"/>
                <w:lang w:eastAsia="en-US"/>
              </w:rPr>
            </w:pPr>
            <w:r w:rsidRPr="00524381">
              <w:rPr>
                <w:b/>
                <w:sz w:val="22"/>
                <w:szCs w:val="22"/>
                <w:lang w:eastAsia="en-US"/>
              </w:rPr>
              <w:t>Žiadne</w:t>
            </w:r>
          </w:p>
        </w:tc>
        <w:tc>
          <w:tcPr>
            <w:tcW w:w="547" w:type="dxa"/>
            <w:gridSpan w:val="2"/>
            <w:tcBorders>
              <w:left w:val="nil"/>
              <w:right w:val="nil"/>
            </w:tcBorders>
          </w:tcPr>
          <w:p w:rsidR="004F25A7" w:rsidRPr="00524381" w:rsidRDefault="004F25A7" w:rsidP="00847E3A">
            <w:pPr>
              <w:jc w:val="center"/>
              <w:rPr>
                <w:b/>
                <w:sz w:val="22"/>
                <w:szCs w:val="22"/>
                <w:lang w:eastAsia="en-US"/>
              </w:rPr>
            </w:pPr>
            <w:r w:rsidRPr="00524381">
              <w:rPr>
                <w:rFonts w:ascii="Segoe UI Symbol" w:eastAsia="MS Mincho" w:hAnsi="Segoe UI Symbol" w:cs="Segoe UI Symbol"/>
                <w:b/>
                <w:sz w:val="22"/>
                <w:szCs w:val="22"/>
                <w:lang w:eastAsia="en-US"/>
              </w:rPr>
              <w:t>☐</w:t>
            </w:r>
          </w:p>
        </w:tc>
        <w:tc>
          <w:tcPr>
            <w:tcW w:w="1302" w:type="dxa"/>
            <w:tcBorders>
              <w:left w:val="nil"/>
            </w:tcBorders>
          </w:tcPr>
          <w:p w:rsidR="004F25A7" w:rsidRPr="00524381" w:rsidRDefault="004F25A7" w:rsidP="00847E3A">
            <w:pPr>
              <w:ind w:left="54"/>
              <w:rPr>
                <w:b/>
                <w:sz w:val="22"/>
                <w:szCs w:val="22"/>
                <w:lang w:eastAsia="en-US"/>
              </w:rPr>
            </w:pPr>
            <w:r w:rsidRPr="00524381">
              <w:rPr>
                <w:b/>
                <w:sz w:val="22"/>
                <w:szCs w:val="22"/>
                <w:lang w:eastAsia="en-US"/>
              </w:rPr>
              <w:t>Negatívne</w:t>
            </w:r>
          </w:p>
        </w:tc>
      </w:tr>
      <w:tr w:rsidR="004F25A7" w:rsidRPr="003C289B" w:rsidTr="00F6075C">
        <w:tc>
          <w:tcPr>
            <w:tcW w:w="3812" w:type="dxa"/>
            <w:shd w:val="clear" w:color="auto" w:fill="E2E2E2"/>
          </w:tcPr>
          <w:p w:rsidR="004F25A7" w:rsidRPr="00524381" w:rsidRDefault="004F25A7" w:rsidP="00847E3A">
            <w:pPr>
              <w:rPr>
                <w:b/>
                <w:sz w:val="22"/>
                <w:szCs w:val="22"/>
                <w:lang w:eastAsia="en-US"/>
              </w:rPr>
            </w:pPr>
            <w:r w:rsidRPr="00524381">
              <w:rPr>
                <w:b/>
                <w:sz w:val="22"/>
                <w:szCs w:val="22"/>
                <w:lang w:eastAsia="en-US"/>
              </w:rPr>
              <w:t>Vplyvy na informatizáciu</w:t>
            </w:r>
          </w:p>
        </w:tc>
        <w:tc>
          <w:tcPr>
            <w:tcW w:w="541" w:type="dxa"/>
            <w:gridSpan w:val="2"/>
            <w:tcBorders>
              <w:right w:val="nil"/>
            </w:tcBorders>
          </w:tcPr>
          <w:p w:rsidR="004F25A7" w:rsidRPr="00524381" w:rsidRDefault="00AF4F35" w:rsidP="00847E3A">
            <w:pPr>
              <w:jc w:val="center"/>
              <w:rPr>
                <w:b/>
                <w:sz w:val="22"/>
                <w:szCs w:val="22"/>
                <w:lang w:eastAsia="en-US"/>
              </w:rPr>
            </w:pPr>
            <w:r w:rsidRPr="00524381">
              <w:rPr>
                <w:rFonts w:ascii="Segoe UI Symbol" w:eastAsia="MS Mincho" w:hAnsi="Segoe UI Symbol" w:cs="Segoe UI Symbol"/>
                <w:sz w:val="22"/>
                <w:szCs w:val="22"/>
                <w:lang w:eastAsia="en-US"/>
              </w:rPr>
              <w:t>☐</w:t>
            </w:r>
          </w:p>
        </w:tc>
        <w:tc>
          <w:tcPr>
            <w:tcW w:w="1281" w:type="dxa"/>
            <w:gridSpan w:val="2"/>
            <w:tcBorders>
              <w:left w:val="nil"/>
              <w:right w:val="nil"/>
            </w:tcBorders>
          </w:tcPr>
          <w:p w:rsidR="004F25A7" w:rsidRPr="00524381" w:rsidRDefault="004F25A7" w:rsidP="00847E3A">
            <w:pPr>
              <w:ind w:right="-108"/>
              <w:rPr>
                <w:b/>
                <w:sz w:val="22"/>
                <w:szCs w:val="22"/>
                <w:lang w:eastAsia="en-US"/>
              </w:rPr>
            </w:pPr>
            <w:r w:rsidRPr="00524381">
              <w:rPr>
                <w:b/>
                <w:sz w:val="22"/>
                <w:szCs w:val="22"/>
                <w:lang w:eastAsia="en-US"/>
              </w:rPr>
              <w:t>Pozitívne</w:t>
            </w:r>
          </w:p>
        </w:tc>
        <w:tc>
          <w:tcPr>
            <w:tcW w:w="569" w:type="dxa"/>
            <w:tcBorders>
              <w:left w:val="nil"/>
              <w:right w:val="nil"/>
            </w:tcBorders>
          </w:tcPr>
          <w:p w:rsidR="004F25A7" w:rsidRPr="00524381" w:rsidRDefault="00AF4F35" w:rsidP="00847E3A">
            <w:pPr>
              <w:jc w:val="center"/>
              <w:rPr>
                <w:b/>
                <w:sz w:val="22"/>
                <w:szCs w:val="22"/>
                <w:lang w:eastAsia="en-US"/>
              </w:rPr>
            </w:pPr>
            <w:r w:rsidRPr="00524381">
              <w:rPr>
                <w:rFonts w:ascii="Segoe UI Symbol" w:eastAsia="MS Gothic" w:hAnsi="Segoe UI Symbol" w:cs="Segoe UI Symbol"/>
                <w:sz w:val="22"/>
                <w:szCs w:val="22"/>
                <w:lang w:eastAsia="en-US"/>
              </w:rPr>
              <w:t>☒</w:t>
            </w:r>
          </w:p>
        </w:tc>
        <w:tc>
          <w:tcPr>
            <w:tcW w:w="1133" w:type="dxa"/>
            <w:tcBorders>
              <w:left w:val="nil"/>
              <w:right w:val="nil"/>
            </w:tcBorders>
          </w:tcPr>
          <w:p w:rsidR="004F25A7" w:rsidRPr="00524381" w:rsidRDefault="004F25A7" w:rsidP="00847E3A">
            <w:pPr>
              <w:rPr>
                <w:b/>
                <w:sz w:val="22"/>
                <w:szCs w:val="22"/>
                <w:lang w:eastAsia="en-US"/>
              </w:rPr>
            </w:pPr>
            <w:r w:rsidRPr="00524381">
              <w:rPr>
                <w:b/>
                <w:sz w:val="22"/>
                <w:szCs w:val="22"/>
                <w:lang w:eastAsia="en-US"/>
              </w:rPr>
              <w:t>Žiadne</w:t>
            </w:r>
          </w:p>
        </w:tc>
        <w:tc>
          <w:tcPr>
            <w:tcW w:w="547" w:type="dxa"/>
            <w:gridSpan w:val="2"/>
            <w:tcBorders>
              <w:left w:val="nil"/>
              <w:right w:val="nil"/>
            </w:tcBorders>
          </w:tcPr>
          <w:p w:rsidR="004F25A7" w:rsidRPr="00524381" w:rsidRDefault="004F25A7" w:rsidP="00847E3A">
            <w:pPr>
              <w:jc w:val="center"/>
              <w:rPr>
                <w:b/>
                <w:sz w:val="22"/>
                <w:szCs w:val="22"/>
                <w:lang w:eastAsia="en-US"/>
              </w:rPr>
            </w:pPr>
            <w:r w:rsidRPr="00524381">
              <w:rPr>
                <w:rFonts w:ascii="Segoe UI Symbol" w:eastAsia="MS Mincho" w:hAnsi="Segoe UI Symbol" w:cs="Segoe UI Symbol"/>
                <w:b/>
                <w:sz w:val="22"/>
                <w:szCs w:val="22"/>
                <w:lang w:eastAsia="en-US"/>
              </w:rPr>
              <w:t>☐</w:t>
            </w:r>
          </w:p>
        </w:tc>
        <w:tc>
          <w:tcPr>
            <w:tcW w:w="1302" w:type="dxa"/>
            <w:tcBorders>
              <w:left w:val="nil"/>
            </w:tcBorders>
          </w:tcPr>
          <w:p w:rsidR="004F25A7" w:rsidRPr="00524381" w:rsidRDefault="004F25A7" w:rsidP="00847E3A">
            <w:pPr>
              <w:ind w:left="54"/>
              <w:rPr>
                <w:b/>
                <w:sz w:val="22"/>
                <w:szCs w:val="22"/>
                <w:lang w:eastAsia="en-US"/>
              </w:rPr>
            </w:pPr>
            <w:r w:rsidRPr="00524381">
              <w:rPr>
                <w:b/>
                <w:sz w:val="22"/>
                <w:szCs w:val="22"/>
                <w:lang w:eastAsia="en-US"/>
              </w:rPr>
              <w:t>Negatívne</w:t>
            </w:r>
          </w:p>
        </w:tc>
      </w:tr>
      <w:tr w:rsidR="00060D72" w:rsidRPr="003C289B" w:rsidTr="00F6075C">
        <w:tc>
          <w:tcPr>
            <w:tcW w:w="3812" w:type="dxa"/>
            <w:tcBorders>
              <w:bottom w:val="nil"/>
            </w:tcBorders>
            <w:shd w:val="clear" w:color="auto" w:fill="E2E2E2"/>
          </w:tcPr>
          <w:p w:rsidR="00060D72" w:rsidRPr="00AF4F35" w:rsidRDefault="00060D72" w:rsidP="00847E3A">
            <w:pPr>
              <w:rPr>
                <w:b/>
                <w:sz w:val="22"/>
                <w:szCs w:val="22"/>
              </w:rPr>
            </w:pPr>
            <w:r w:rsidRPr="00AF4F35">
              <w:rPr>
                <w:b/>
                <w:sz w:val="22"/>
                <w:szCs w:val="22"/>
              </w:rPr>
              <w:t>Vplyvy na služby verejnej správy pre občana, z toho</w:t>
            </w:r>
          </w:p>
        </w:tc>
        <w:tc>
          <w:tcPr>
            <w:tcW w:w="541" w:type="dxa"/>
            <w:gridSpan w:val="2"/>
            <w:tcBorders>
              <w:bottom w:val="nil"/>
              <w:right w:val="nil"/>
            </w:tcBorders>
          </w:tcPr>
          <w:p w:rsidR="00060D72" w:rsidRPr="00AF4F35" w:rsidRDefault="00060D72" w:rsidP="00847E3A">
            <w:pPr>
              <w:jc w:val="center"/>
              <w:rPr>
                <w:rFonts w:eastAsia="MS Mincho"/>
                <w:b/>
                <w:sz w:val="22"/>
                <w:szCs w:val="22"/>
              </w:rPr>
            </w:pPr>
          </w:p>
        </w:tc>
        <w:tc>
          <w:tcPr>
            <w:tcW w:w="1281" w:type="dxa"/>
            <w:gridSpan w:val="2"/>
            <w:tcBorders>
              <w:left w:val="nil"/>
              <w:bottom w:val="nil"/>
              <w:right w:val="nil"/>
            </w:tcBorders>
          </w:tcPr>
          <w:p w:rsidR="00060D72" w:rsidRPr="00AF4F35" w:rsidRDefault="00060D72" w:rsidP="00847E3A">
            <w:pPr>
              <w:ind w:right="-108"/>
              <w:rPr>
                <w:b/>
                <w:sz w:val="22"/>
                <w:szCs w:val="22"/>
              </w:rPr>
            </w:pPr>
          </w:p>
        </w:tc>
        <w:tc>
          <w:tcPr>
            <w:tcW w:w="569" w:type="dxa"/>
            <w:tcBorders>
              <w:left w:val="nil"/>
              <w:bottom w:val="nil"/>
              <w:right w:val="nil"/>
            </w:tcBorders>
          </w:tcPr>
          <w:p w:rsidR="00060D72" w:rsidRPr="00AF4F35" w:rsidRDefault="00060D72" w:rsidP="00847E3A">
            <w:pPr>
              <w:jc w:val="center"/>
              <w:rPr>
                <w:rFonts w:eastAsia="MS Mincho"/>
                <w:b/>
                <w:sz w:val="22"/>
                <w:szCs w:val="22"/>
              </w:rPr>
            </w:pPr>
          </w:p>
        </w:tc>
        <w:tc>
          <w:tcPr>
            <w:tcW w:w="1133" w:type="dxa"/>
            <w:tcBorders>
              <w:left w:val="nil"/>
              <w:bottom w:val="nil"/>
              <w:right w:val="nil"/>
            </w:tcBorders>
          </w:tcPr>
          <w:p w:rsidR="00060D72" w:rsidRPr="00AF4F35" w:rsidRDefault="00060D72" w:rsidP="00847E3A">
            <w:pPr>
              <w:rPr>
                <w:b/>
                <w:sz w:val="22"/>
                <w:szCs w:val="22"/>
              </w:rPr>
            </w:pPr>
          </w:p>
        </w:tc>
        <w:tc>
          <w:tcPr>
            <w:tcW w:w="547" w:type="dxa"/>
            <w:gridSpan w:val="2"/>
            <w:tcBorders>
              <w:left w:val="nil"/>
              <w:bottom w:val="nil"/>
              <w:right w:val="nil"/>
            </w:tcBorders>
          </w:tcPr>
          <w:p w:rsidR="00060D72" w:rsidRPr="00AF4F35" w:rsidRDefault="00060D72" w:rsidP="00847E3A">
            <w:pPr>
              <w:jc w:val="center"/>
              <w:rPr>
                <w:rFonts w:eastAsia="MS Mincho"/>
                <w:b/>
                <w:sz w:val="22"/>
                <w:szCs w:val="22"/>
              </w:rPr>
            </w:pPr>
          </w:p>
        </w:tc>
        <w:tc>
          <w:tcPr>
            <w:tcW w:w="1302" w:type="dxa"/>
            <w:tcBorders>
              <w:left w:val="nil"/>
              <w:bottom w:val="nil"/>
            </w:tcBorders>
          </w:tcPr>
          <w:p w:rsidR="00060D72" w:rsidRPr="00AF4F35" w:rsidRDefault="00060D72" w:rsidP="00847E3A">
            <w:pPr>
              <w:ind w:left="54"/>
              <w:rPr>
                <w:b/>
                <w:sz w:val="22"/>
                <w:szCs w:val="22"/>
              </w:rPr>
            </w:pPr>
          </w:p>
        </w:tc>
      </w:tr>
      <w:tr w:rsidR="00060D72" w:rsidRPr="003C289B" w:rsidTr="00F6075C">
        <w:tc>
          <w:tcPr>
            <w:tcW w:w="3812" w:type="dxa"/>
            <w:tcBorders>
              <w:top w:val="nil"/>
              <w:bottom w:val="nil"/>
            </w:tcBorders>
            <w:shd w:val="clear" w:color="auto" w:fill="E2E2E2"/>
          </w:tcPr>
          <w:p w:rsidR="00060D72" w:rsidRPr="00AF4F35" w:rsidRDefault="00060D72" w:rsidP="00847E3A">
            <w:pPr>
              <w:ind w:left="196" w:hanging="196"/>
              <w:rPr>
                <w:b/>
                <w:sz w:val="22"/>
                <w:szCs w:val="22"/>
              </w:rPr>
            </w:pPr>
            <w:r w:rsidRPr="00AF4F35">
              <w:rPr>
                <w:b/>
                <w:sz w:val="22"/>
                <w:szCs w:val="22"/>
              </w:rPr>
              <w:t xml:space="preserve">    vplyvy služieb verejnej správy na občana</w:t>
            </w:r>
          </w:p>
        </w:tc>
        <w:tc>
          <w:tcPr>
            <w:tcW w:w="541" w:type="dxa"/>
            <w:gridSpan w:val="2"/>
            <w:tcBorders>
              <w:top w:val="nil"/>
              <w:bottom w:val="nil"/>
              <w:right w:val="nil"/>
            </w:tcBorders>
          </w:tcPr>
          <w:p w:rsidR="00060D72" w:rsidRPr="00AF4F35" w:rsidRDefault="00060D72" w:rsidP="00847E3A">
            <w:pPr>
              <w:jc w:val="center"/>
              <w:rPr>
                <w:rFonts w:eastAsia="MS Mincho"/>
                <w:b/>
                <w:sz w:val="22"/>
                <w:szCs w:val="22"/>
              </w:rPr>
            </w:pPr>
            <w:r w:rsidRPr="00AF4F35">
              <w:rPr>
                <w:rFonts w:ascii="Segoe UI Symbol" w:eastAsia="MS Mincho" w:hAnsi="Segoe UI Symbol" w:cs="Segoe UI Symbol"/>
                <w:b/>
                <w:sz w:val="22"/>
                <w:szCs w:val="22"/>
              </w:rPr>
              <w:t>☐</w:t>
            </w:r>
          </w:p>
        </w:tc>
        <w:tc>
          <w:tcPr>
            <w:tcW w:w="1281" w:type="dxa"/>
            <w:gridSpan w:val="2"/>
            <w:tcBorders>
              <w:top w:val="nil"/>
              <w:left w:val="nil"/>
              <w:bottom w:val="nil"/>
              <w:right w:val="nil"/>
            </w:tcBorders>
          </w:tcPr>
          <w:p w:rsidR="00060D72" w:rsidRPr="00AF4F35" w:rsidRDefault="00060D72" w:rsidP="00847E3A">
            <w:pPr>
              <w:ind w:right="-108"/>
              <w:rPr>
                <w:b/>
                <w:sz w:val="22"/>
                <w:szCs w:val="22"/>
              </w:rPr>
            </w:pPr>
            <w:r w:rsidRPr="00AF4F35">
              <w:rPr>
                <w:b/>
                <w:sz w:val="22"/>
                <w:szCs w:val="22"/>
              </w:rPr>
              <w:t>Pozitívne</w:t>
            </w:r>
          </w:p>
        </w:tc>
        <w:tc>
          <w:tcPr>
            <w:tcW w:w="569" w:type="dxa"/>
            <w:tcBorders>
              <w:top w:val="nil"/>
              <w:left w:val="nil"/>
              <w:bottom w:val="nil"/>
              <w:right w:val="nil"/>
            </w:tcBorders>
          </w:tcPr>
          <w:p w:rsidR="00060D72" w:rsidRPr="00AF4F35" w:rsidRDefault="00060D72" w:rsidP="00847E3A">
            <w:pPr>
              <w:jc w:val="center"/>
              <w:rPr>
                <w:rFonts w:eastAsia="MS Mincho"/>
                <w:b/>
                <w:sz w:val="22"/>
                <w:szCs w:val="22"/>
              </w:rPr>
            </w:pPr>
            <w:r w:rsidRPr="00AF4F35">
              <w:rPr>
                <w:rFonts w:ascii="Segoe UI Symbol" w:eastAsia="MS Gothic" w:hAnsi="Segoe UI Symbol" w:cs="Segoe UI Symbol"/>
                <w:sz w:val="22"/>
                <w:szCs w:val="22"/>
              </w:rPr>
              <w:t>☒</w:t>
            </w:r>
          </w:p>
        </w:tc>
        <w:tc>
          <w:tcPr>
            <w:tcW w:w="1133" w:type="dxa"/>
            <w:tcBorders>
              <w:top w:val="nil"/>
              <w:left w:val="nil"/>
              <w:bottom w:val="nil"/>
              <w:right w:val="nil"/>
            </w:tcBorders>
          </w:tcPr>
          <w:p w:rsidR="00060D72" w:rsidRPr="00AF4F35" w:rsidRDefault="00060D72" w:rsidP="00847E3A">
            <w:pPr>
              <w:rPr>
                <w:b/>
                <w:sz w:val="22"/>
                <w:szCs w:val="22"/>
              </w:rPr>
            </w:pPr>
            <w:r w:rsidRPr="00AF4F35">
              <w:rPr>
                <w:b/>
                <w:sz w:val="22"/>
                <w:szCs w:val="22"/>
              </w:rPr>
              <w:t>Žiadne</w:t>
            </w:r>
          </w:p>
        </w:tc>
        <w:tc>
          <w:tcPr>
            <w:tcW w:w="547" w:type="dxa"/>
            <w:gridSpan w:val="2"/>
            <w:tcBorders>
              <w:top w:val="nil"/>
              <w:left w:val="nil"/>
              <w:bottom w:val="nil"/>
              <w:right w:val="nil"/>
            </w:tcBorders>
          </w:tcPr>
          <w:p w:rsidR="00060D72" w:rsidRPr="00AF4F35" w:rsidRDefault="00060D72" w:rsidP="00847E3A">
            <w:pPr>
              <w:jc w:val="center"/>
              <w:rPr>
                <w:rFonts w:eastAsia="MS Mincho"/>
                <w:b/>
                <w:sz w:val="22"/>
                <w:szCs w:val="22"/>
              </w:rPr>
            </w:pPr>
            <w:r w:rsidRPr="00AF4F35">
              <w:rPr>
                <w:rFonts w:ascii="Segoe UI Symbol" w:eastAsia="MS Mincho" w:hAnsi="Segoe UI Symbol" w:cs="Segoe UI Symbol"/>
                <w:b/>
                <w:sz w:val="22"/>
                <w:szCs w:val="22"/>
              </w:rPr>
              <w:t>☐</w:t>
            </w:r>
          </w:p>
        </w:tc>
        <w:tc>
          <w:tcPr>
            <w:tcW w:w="1302" w:type="dxa"/>
            <w:tcBorders>
              <w:top w:val="nil"/>
              <w:left w:val="nil"/>
              <w:bottom w:val="nil"/>
            </w:tcBorders>
          </w:tcPr>
          <w:p w:rsidR="00060D72" w:rsidRPr="00AF4F35" w:rsidRDefault="00060D72" w:rsidP="00847E3A">
            <w:pPr>
              <w:ind w:left="54"/>
              <w:rPr>
                <w:b/>
                <w:sz w:val="22"/>
                <w:szCs w:val="22"/>
              </w:rPr>
            </w:pPr>
            <w:r w:rsidRPr="00AF4F35">
              <w:rPr>
                <w:b/>
                <w:sz w:val="22"/>
                <w:szCs w:val="22"/>
              </w:rPr>
              <w:t>Negatívne</w:t>
            </w:r>
          </w:p>
        </w:tc>
      </w:tr>
      <w:tr w:rsidR="00060D72" w:rsidRPr="003C289B" w:rsidTr="00F6075C">
        <w:tc>
          <w:tcPr>
            <w:tcW w:w="3812" w:type="dxa"/>
            <w:tcBorders>
              <w:top w:val="nil"/>
            </w:tcBorders>
            <w:shd w:val="clear" w:color="auto" w:fill="E2E2E2"/>
          </w:tcPr>
          <w:p w:rsidR="00060D72" w:rsidRPr="00AF4F35" w:rsidRDefault="00060D72" w:rsidP="00847E3A">
            <w:pPr>
              <w:ind w:left="168" w:hanging="168"/>
              <w:rPr>
                <w:b/>
                <w:sz w:val="22"/>
                <w:szCs w:val="22"/>
              </w:rPr>
            </w:pPr>
            <w:r w:rsidRPr="00AF4F35">
              <w:rPr>
                <w:b/>
                <w:sz w:val="22"/>
                <w:szCs w:val="22"/>
              </w:rPr>
              <w:t xml:space="preserve">    vplyvy na procesy služieb vo verejnej správe</w:t>
            </w:r>
          </w:p>
        </w:tc>
        <w:tc>
          <w:tcPr>
            <w:tcW w:w="541" w:type="dxa"/>
            <w:gridSpan w:val="2"/>
            <w:tcBorders>
              <w:top w:val="nil"/>
              <w:right w:val="nil"/>
            </w:tcBorders>
          </w:tcPr>
          <w:p w:rsidR="00060D72" w:rsidRPr="00AF4F35" w:rsidRDefault="00060D72" w:rsidP="00847E3A">
            <w:pPr>
              <w:jc w:val="center"/>
              <w:rPr>
                <w:rFonts w:eastAsia="MS Mincho"/>
                <w:b/>
                <w:sz w:val="22"/>
                <w:szCs w:val="22"/>
              </w:rPr>
            </w:pPr>
            <w:r w:rsidRPr="00AF4F35">
              <w:rPr>
                <w:rFonts w:ascii="Segoe UI Symbol" w:eastAsia="MS Mincho" w:hAnsi="Segoe UI Symbol" w:cs="Segoe UI Symbol"/>
                <w:b/>
                <w:sz w:val="22"/>
                <w:szCs w:val="22"/>
              </w:rPr>
              <w:t>☐</w:t>
            </w:r>
          </w:p>
        </w:tc>
        <w:tc>
          <w:tcPr>
            <w:tcW w:w="1281" w:type="dxa"/>
            <w:gridSpan w:val="2"/>
            <w:tcBorders>
              <w:top w:val="nil"/>
              <w:left w:val="nil"/>
              <w:right w:val="nil"/>
            </w:tcBorders>
          </w:tcPr>
          <w:p w:rsidR="00060D72" w:rsidRPr="00AF4F35" w:rsidRDefault="00060D72" w:rsidP="00847E3A">
            <w:pPr>
              <w:ind w:right="-108"/>
              <w:rPr>
                <w:b/>
                <w:sz w:val="22"/>
                <w:szCs w:val="22"/>
              </w:rPr>
            </w:pPr>
            <w:r w:rsidRPr="00AF4F35">
              <w:rPr>
                <w:b/>
                <w:sz w:val="22"/>
                <w:szCs w:val="22"/>
              </w:rPr>
              <w:t>Pozitívne</w:t>
            </w:r>
          </w:p>
        </w:tc>
        <w:tc>
          <w:tcPr>
            <w:tcW w:w="569" w:type="dxa"/>
            <w:tcBorders>
              <w:top w:val="nil"/>
              <w:left w:val="nil"/>
              <w:right w:val="nil"/>
            </w:tcBorders>
          </w:tcPr>
          <w:p w:rsidR="00060D72" w:rsidRPr="00AF4F35" w:rsidRDefault="00060D72" w:rsidP="00847E3A">
            <w:pPr>
              <w:jc w:val="center"/>
              <w:rPr>
                <w:rFonts w:eastAsia="MS Mincho"/>
                <w:b/>
                <w:sz w:val="22"/>
                <w:szCs w:val="22"/>
              </w:rPr>
            </w:pPr>
            <w:r w:rsidRPr="00AF4F35">
              <w:rPr>
                <w:rFonts w:ascii="Segoe UI Symbol" w:eastAsia="MS Gothic" w:hAnsi="Segoe UI Symbol" w:cs="Segoe UI Symbol"/>
                <w:sz w:val="22"/>
                <w:szCs w:val="22"/>
              </w:rPr>
              <w:t>☒</w:t>
            </w:r>
          </w:p>
        </w:tc>
        <w:tc>
          <w:tcPr>
            <w:tcW w:w="1133" w:type="dxa"/>
            <w:tcBorders>
              <w:top w:val="nil"/>
              <w:left w:val="nil"/>
              <w:right w:val="nil"/>
            </w:tcBorders>
          </w:tcPr>
          <w:p w:rsidR="00060D72" w:rsidRPr="00AF4F35" w:rsidRDefault="00060D72" w:rsidP="00847E3A">
            <w:pPr>
              <w:rPr>
                <w:b/>
                <w:sz w:val="22"/>
                <w:szCs w:val="22"/>
              </w:rPr>
            </w:pPr>
            <w:r w:rsidRPr="00AF4F35">
              <w:rPr>
                <w:b/>
                <w:sz w:val="22"/>
                <w:szCs w:val="22"/>
              </w:rPr>
              <w:t>Žiadne</w:t>
            </w:r>
          </w:p>
        </w:tc>
        <w:tc>
          <w:tcPr>
            <w:tcW w:w="547" w:type="dxa"/>
            <w:gridSpan w:val="2"/>
            <w:tcBorders>
              <w:top w:val="nil"/>
              <w:left w:val="nil"/>
              <w:right w:val="nil"/>
            </w:tcBorders>
          </w:tcPr>
          <w:p w:rsidR="00060D72" w:rsidRPr="00AF4F35" w:rsidRDefault="00060D72" w:rsidP="00847E3A">
            <w:pPr>
              <w:jc w:val="center"/>
              <w:rPr>
                <w:rFonts w:eastAsia="MS Mincho"/>
                <w:b/>
                <w:sz w:val="22"/>
                <w:szCs w:val="22"/>
              </w:rPr>
            </w:pPr>
            <w:r w:rsidRPr="00AF4F35">
              <w:rPr>
                <w:rFonts w:ascii="Segoe UI Symbol" w:eastAsia="MS Mincho" w:hAnsi="Segoe UI Symbol" w:cs="Segoe UI Symbol"/>
                <w:b/>
                <w:sz w:val="22"/>
                <w:szCs w:val="22"/>
              </w:rPr>
              <w:t>☐</w:t>
            </w:r>
          </w:p>
        </w:tc>
        <w:tc>
          <w:tcPr>
            <w:tcW w:w="1302" w:type="dxa"/>
            <w:tcBorders>
              <w:top w:val="nil"/>
              <w:left w:val="nil"/>
            </w:tcBorders>
          </w:tcPr>
          <w:p w:rsidR="00060D72" w:rsidRPr="00AF4F35" w:rsidRDefault="00060D72" w:rsidP="00847E3A">
            <w:pPr>
              <w:ind w:left="54"/>
              <w:rPr>
                <w:b/>
                <w:sz w:val="22"/>
                <w:szCs w:val="22"/>
              </w:rPr>
            </w:pPr>
            <w:r w:rsidRPr="00AF4F35">
              <w:rPr>
                <w:b/>
                <w:sz w:val="22"/>
                <w:szCs w:val="22"/>
              </w:rPr>
              <w:t>Negatívne</w:t>
            </w:r>
          </w:p>
        </w:tc>
      </w:tr>
      <w:tr w:rsidR="00F6075C" w:rsidRPr="003C289B" w:rsidTr="00F6075C">
        <w:tc>
          <w:tcPr>
            <w:tcW w:w="3812" w:type="dxa"/>
            <w:shd w:val="clear" w:color="auto" w:fill="E2E2E2"/>
          </w:tcPr>
          <w:p w:rsidR="00F6075C" w:rsidRPr="00524381" w:rsidRDefault="00F6075C" w:rsidP="00F6075C">
            <w:pPr>
              <w:rPr>
                <w:b/>
                <w:sz w:val="22"/>
                <w:szCs w:val="22"/>
                <w:lang w:eastAsia="en-US"/>
              </w:rPr>
            </w:pPr>
            <w:r w:rsidRPr="00AF4F35">
              <w:rPr>
                <w:b/>
                <w:bCs/>
                <w:sz w:val="22"/>
                <w:szCs w:val="22"/>
              </w:rPr>
              <w:t>Vplyvy na manželstvo, rodičovstvo a rodinu</w:t>
            </w:r>
          </w:p>
        </w:tc>
        <w:tc>
          <w:tcPr>
            <w:tcW w:w="541" w:type="dxa"/>
            <w:gridSpan w:val="2"/>
            <w:tcBorders>
              <w:right w:val="nil"/>
            </w:tcBorders>
          </w:tcPr>
          <w:p w:rsidR="00F6075C" w:rsidRPr="00524381" w:rsidRDefault="00F6075C" w:rsidP="00F6075C">
            <w:pPr>
              <w:jc w:val="center"/>
              <w:rPr>
                <w:rFonts w:ascii="Segoe UI Symbol" w:eastAsia="MS Mincho" w:hAnsi="Segoe UI Symbol" w:cs="Segoe UI Symbol"/>
                <w:sz w:val="22"/>
                <w:szCs w:val="22"/>
                <w:lang w:eastAsia="en-US"/>
              </w:rPr>
            </w:pPr>
            <w:r w:rsidRPr="00524381">
              <w:rPr>
                <w:rFonts w:ascii="Segoe UI Symbol" w:eastAsia="MS Mincho" w:hAnsi="Segoe UI Symbol" w:cs="Segoe UI Symbol"/>
                <w:sz w:val="22"/>
                <w:szCs w:val="22"/>
                <w:lang w:eastAsia="en-US"/>
              </w:rPr>
              <w:t>☐</w:t>
            </w:r>
          </w:p>
        </w:tc>
        <w:tc>
          <w:tcPr>
            <w:tcW w:w="1281" w:type="dxa"/>
            <w:gridSpan w:val="2"/>
            <w:tcBorders>
              <w:left w:val="nil"/>
              <w:right w:val="nil"/>
            </w:tcBorders>
          </w:tcPr>
          <w:p w:rsidR="00F6075C" w:rsidRPr="00524381" w:rsidRDefault="00F6075C" w:rsidP="00F6075C">
            <w:pPr>
              <w:ind w:right="-108"/>
              <w:rPr>
                <w:b/>
                <w:sz w:val="22"/>
                <w:szCs w:val="22"/>
                <w:lang w:eastAsia="en-US"/>
              </w:rPr>
            </w:pPr>
            <w:r w:rsidRPr="00524381">
              <w:rPr>
                <w:b/>
                <w:sz w:val="22"/>
                <w:szCs w:val="22"/>
                <w:lang w:eastAsia="en-US"/>
              </w:rPr>
              <w:t>Pozitívne</w:t>
            </w:r>
          </w:p>
        </w:tc>
        <w:tc>
          <w:tcPr>
            <w:tcW w:w="569" w:type="dxa"/>
            <w:tcBorders>
              <w:left w:val="nil"/>
              <w:right w:val="nil"/>
            </w:tcBorders>
          </w:tcPr>
          <w:p w:rsidR="00F6075C" w:rsidRPr="00524381" w:rsidRDefault="00F6075C" w:rsidP="00F6075C">
            <w:pPr>
              <w:jc w:val="center"/>
              <w:rPr>
                <w:rFonts w:ascii="Segoe UI Symbol" w:eastAsia="MS Gothic" w:hAnsi="Segoe UI Symbol" w:cs="Segoe UI Symbol"/>
                <w:sz w:val="22"/>
                <w:szCs w:val="22"/>
                <w:lang w:eastAsia="en-US"/>
              </w:rPr>
            </w:pPr>
            <w:r w:rsidRPr="00524381">
              <w:rPr>
                <w:rFonts w:ascii="Segoe UI Symbol" w:eastAsia="MS Gothic" w:hAnsi="Segoe UI Symbol" w:cs="Segoe UI Symbol"/>
                <w:sz w:val="22"/>
                <w:szCs w:val="22"/>
                <w:lang w:eastAsia="en-US"/>
              </w:rPr>
              <w:t>☒</w:t>
            </w:r>
          </w:p>
        </w:tc>
        <w:tc>
          <w:tcPr>
            <w:tcW w:w="1133" w:type="dxa"/>
            <w:tcBorders>
              <w:left w:val="nil"/>
              <w:right w:val="nil"/>
            </w:tcBorders>
          </w:tcPr>
          <w:p w:rsidR="00F6075C" w:rsidRPr="00524381" w:rsidRDefault="00F6075C" w:rsidP="00F6075C">
            <w:pPr>
              <w:rPr>
                <w:b/>
                <w:sz w:val="22"/>
                <w:szCs w:val="22"/>
                <w:lang w:eastAsia="en-US"/>
              </w:rPr>
            </w:pPr>
            <w:r w:rsidRPr="00524381">
              <w:rPr>
                <w:b/>
                <w:sz w:val="22"/>
                <w:szCs w:val="22"/>
                <w:lang w:eastAsia="en-US"/>
              </w:rPr>
              <w:t>Žiadne</w:t>
            </w:r>
          </w:p>
        </w:tc>
        <w:tc>
          <w:tcPr>
            <w:tcW w:w="547" w:type="dxa"/>
            <w:gridSpan w:val="2"/>
            <w:tcBorders>
              <w:left w:val="nil"/>
              <w:right w:val="nil"/>
            </w:tcBorders>
          </w:tcPr>
          <w:p w:rsidR="00F6075C" w:rsidRPr="00524381" w:rsidRDefault="00F6075C" w:rsidP="00F6075C">
            <w:pPr>
              <w:jc w:val="center"/>
              <w:rPr>
                <w:rFonts w:ascii="Segoe UI Symbol" w:eastAsia="MS Mincho" w:hAnsi="Segoe UI Symbol" w:cs="Segoe UI Symbol"/>
                <w:b/>
                <w:sz w:val="22"/>
                <w:szCs w:val="22"/>
                <w:lang w:eastAsia="en-US"/>
              </w:rPr>
            </w:pPr>
            <w:r w:rsidRPr="00524381">
              <w:rPr>
                <w:rFonts w:ascii="Segoe UI Symbol" w:eastAsia="MS Mincho" w:hAnsi="Segoe UI Symbol" w:cs="Segoe UI Symbol"/>
                <w:b/>
                <w:sz w:val="22"/>
                <w:szCs w:val="22"/>
                <w:lang w:eastAsia="en-US"/>
              </w:rPr>
              <w:t>☐</w:t>
            </w:r>
          </w:p>
        </w:tc>
        <w:tc>
          <w:tcPr>
            <w:tcW w:w="1302" w:type="dxa"/>
            <w:tcBorders>
              <w:left w:val="nil"/>
            </w:tcBorders>
          </w:tcPr>
          <w:p w:rsidR="00F6075C" w:rsidRPr="00524381" w:rsidRDefault="00F6075C" w:rsidP="00F6075C">
            <w:pPr>
              <w:ind w:left="54"/>
              <w:rPr>
                <w:b/>
                <w:sz w:val="22"/>
                <w:szCs w:val="22"/>
                <w:lang w:eastAsia="en-US"/>
              </w:rPr>
            </w:pPr>
            <w:r w:rsidRPr="00524381">
              <w:rPr>
                <w:b/>
                <w:sz w:val="22"/>
                <w:szCs w:val="22"/>
                <w:lang w:eastAsia="en-US"/>
              </w:rPr>
              <w:t>Negatívne</w:t>
            </w:r>
          </w:p>
        </w:tc>
      </w:tr>
    </w:tbl>
    <w:p w:rsidR="00FE3DEA" w:rsidRDefault="00FE3DEA" w:rsidP="00FE3DEA"/>
    <w:p w:rsidR="00E7790D" w:rsidRDefault="00E7790D" w:rsidP="00FE3DEA"/>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EF5E03" w:rsidRPr="00524381" w:rsidTr="001E43DA">
        <w:trPr>
          <w:trHeight w:val="567"/>
        </w:trPr>
        <w:tc>
          <w:tcPr>
            <w:tcW w:w="9209" w:type="dxa"/>
            <w:shd w:val="clear" w:color="auto" w:fill="D9D9D9"/>
          </w:tcPr>
          <w:p w:rsidR="00EF5E03" w:rsidRPr="00524381" w:rsidRDefault="00EF5E03" w:rsidP="003420B8">
            <w:pPr>
              <w:jc w:val="center"/>
              <w:rPr>
                <w:b/>
                <w:szCs w:val="22"/>
                <w:lang w:eastAsia="en-US"/>
              </w:rPr>
            </w:pPr>
            <w:r w:rsidRPr="00524381">
              <w:rPr>
                <w:b/>
                <w:sz w:val="28"/>
                <w:szCs w:val="22"/>
                <w:lang w:eastAsia="en-US"/>
              </w:rPr>
              <w:t xml:space="preserve">Analýza vplyvov na podnikateľské prostredie </w:t>
            </w:r>
          </w:p>
          <w:p w:rsidR="00EF5E03" w:rsidRPr="00524381" w:rsidRDefault="00EF5E03" w:rsidP="003420B8">
            <w:pPr>
              <w:jc w:val="center"/>
              <w:rPr>
                <w:b/>
                <w:sz w:val="22"/>
                <w:szCs w:val="22"/>
                <w:lang w:eastAsia="en-US"/>
              </w:rPr>
            </w:pPr>
            <w:r w:rsidRPr="00524381">
              <w:rPr>
                <w:b/>
                <w:szCs w:val="22"/>
                <w:lang w:eastAsia="en-US"/>
              </w:rPr>
              <w:t>(vrátane testu MSP)</w:t>
            </w:r>
          </w:p>
        </w:tc>
      </w:tr>
      <w:tr w:rsidR="00EF5E03" w:rsidRPr="00524381" w:rsidTr="001E43DA">
        <w:trPr>
          <w:trHeight w:val="567"/>
        </w:trPr>
        <w:tc>
          <w:tcPr>
            <w:tcW w:w="9209" w:type="dxa"/>
            <w:shd w:val="clear" w:color="auto" w:fill="D9D9D9"/>
          </w:tcPr>
          <w:p w:rsidR="00EF5E03" w:rsidRPr="00524381" w:rsidRDefault="00EF5E03" w:rsidP="003420B8">
            <w:pPr>
              <w:rPr>
                <w:b/>
                <w:szCs w:val="22"/>
                <w:lang w:eastAsia="en-US"/>
              </w:rPr>
            </w:pPr>
            <w:r w:rsidRPr="00524381">
              <w:rPr>
                <w:b/>
                <w:szCs w:val="22"/>
                <w:lang w:eastAsia="en-US"/>
              </w:rPr>
              <w:t>Materiál bude mať vplyv s ohľadom na veľkostnú kategóriu podnikov:</w:t>
            </w:r>
          </w:p>
        </w:tc>
      </w:tr>
      <w:tr w:rsidR="00EF5E03" w:rsidRPr="00524381" w:rsidTr="001E43DA">
        <w:trPr>
          <w:trHeight w:val="567"/>
        </w:trPr>
        <w:tc>
          <w:tcPr>
            <w:tcW w:w="9209" w:type="dxa"/>
          </w:tcPr>
          <w:tbl>
            <w:tblPr>
              <w:tblW w:w="0" w:type="auto"/>
              <w:tblLook w:val="04A0" w:firstRow="1" w:lastRow="0" w:firstColumn="1" w:lastColumn="0" w:noHBand="0" w:noVBand="1"/>
            </w:tblPr>
            <w:tblGrid>
              <w:gridCol w:w="436"/>
              <w:gridCol w:w="8545"/>
            </w:tblGrid>
            <w:tr w:rsidR="00EF5E03" w:rsidRPr="003C289B" w:rsidTr="003420B8">
              <w:tc>
                <w:tcPr>
                  <w:tcW w:w="436" w:type="dxa"/>
                </w:tcPr>
                <w:p w:rsidR="00EF5E03" w:rsidRPr="00524381" w:rsidRDefault="00EF5E03" w:rsidP="003420B8">
                  <w:pPr>
                    <w:jc w:val="center"/>
                    <w:rPr>
                      <w:sz w:val="22"/>
                      <w:szCs w:val="22"/>
                      <w:lang w:eastAsia="en-US"/>
                    </w:rPr>
                  </w:pPr>
                  <w:r w:rsidRPr="00524381">
                    <w:rPr>
                      <w:rFonts w:ascii="Segoe UI Symbol" w:eastAsia="MS Mincho" w:hAnsi="Segoe UI Symbol" w:cs="Segoe UI Symbol"/>
                      <w:sz w:val="22"/>
                      <w:szCs w:val="22"/>
                      <w:lang w:eastAsia="en-US"/>
                    </w:rPr>
                    <w:t>☐</w:t>
                  </w:r>
                </w:p>
              </w:tc>
              <w:tc>
                <w:tcPr>
                  <w:tcW w:w="8545" w:type="dxa"/>
                </w:tcPr>
                <w:p w:rsidR="00EF5E03" w:rsidRPr="00524381" w:rsidRDefault="00EF5E03" w:rsidP="003420B8">
                  <w:pPr>
                    <w:rPr>
                      <w:b/>
                      <w:sz w:val="22"/>
                      <w:szCs w:val="22"/>
                      <w:lang w:eastAsia="en-US"/>
                    </w:rPr>
                  </w:pPr>
                  <w:r w:rsidRPr="00524381">
                    <w:rPr>
                      <w:b/>
                      <w:sz w:val="22"/>
                      <w:szCs w:val="22"/>
                      <w:lang w:eastAsia="en-US"/>
                    </w:rPr>
                    <w:t xml:space="preserve">iba na MSP (0 - 249 zamestnancov) </w:t>
                  </w:r>
                </w:p>
              </w:tc>
            </w:tr>
            <w:tr w:rsidR="00EF5E03" w:rsidRPr="003C289B" w:rsidTr="003420B8">
              <w:tc>
                <w:tcPr>
                  <w:tcW w:w="436" w:type="dxa"/>
                </w:tcPr>
                <w:p w:rsidR="00EF5E03" w:rsidRPr="00524381" w:rsidRDefault="00EF5E03" w:rsidP="003420B8">
                  <w:pPr>
                    <w:jc w:val="center"/>
                    <w:rPr>
                      <w:sz w:val="22"/>
                      <w:szCs w:val="22"/>
                      <w:lang w:eastAsia="en-US"/>
                    </w:rPr>
                  </w:pPr>
                  <w:r w:rsidRPr="00524381">
                    <w:rPr>
                      <w:rFonts w:ascii="Segoe UI Symbol" w:eastAsia="MS Mincho" w:hAnsi="Segoe UI Symbol" w:cs="Segoe UI Symbol"/>
                      <w:sz w:val="22"/>
                      <w:szCs w:val="22"/>
                      <w:lang w:eastAsia="en-US"/>
                    </w:rPr>
                    <w:t>☐</w:t>
                  </w:r>
                </w:p>
              </w:tc>
              <w:tc>
                <w:tcPr>
                  <w:tcW w:w="8545" w:type="dxa"/>
                </w:tcPr>
                <w:p w:rsidR="00EF5E03" w:rsidRPr="00524381" w:rsidRDefault="00EF5E03" w:rsidP="003420B8">
                  <w:pPr>
                    <w:rPr>
                      <w:b/>
                      <w:sz w:val="22"/>
                      <w:szCs w:val="22"/>
                      <w:lang w:eastAsia="en-US"/>
                    </w:rPr>
                  </w:pPr>
                  <w:r w:rsidRPr="00524381">
                    <w:rPr>
                      <w:b/>
                      <w:sz w:val="22"/>
                      <w:szCs w:val="22"/>
                      <w:lang w:eastAsia="en-US"/>
                    </w:rPr>
                    <w:t>iba na veľké podniky (250 a viac zamestnancov)</w:t>
                  </w:r>
                </w:p>
              </w:tc>
            </w:tr>
            <w:tr w:rsidR="00EF5E03" w:rsidRPr="003C289B" w:rsidTr="003420B8">
              <w:tc>
                <w:tcPr>
                  <w:tcW w:w="436" w:type="dxa"/>
                </w:tcPr>
                <w:p w:rsidR="00EF5E03" w:rsidRPr="00524381" w:rsidRDefault="00EF5E03" w:rsidP="003420B8">
                  <w:pPr>
                    <w:jc w:val="center"/>
                    <w:rPr>
                      <w:sz w:val="22"/>
                      <w:szCs w:val="22"/>
                      <w:lang w:eastAsia="en-US"/>
                    </w:rPr>
                  </w:pPr>
                  <w:r w:rsidRPr="00524381">
                    <w:rPr>
                      <w:rFonts w:ascii="Segoe UI Symbol" w:eastAsia="MS Gothic" w:hAnsi="Segoe UI Symbol" w:cs="Segoe UI Symbol"/>
                      <w:sz w:val="22"/>
                      <w:szCs w:val="22"/>
                      <w:lang w:eastAsia="en-US"/>
                    </w:rPr>
                    <w:t>☒</w:t>
                  </w:r>
                </w:p>
              </w:tc>
              <w:tc>
                <w:tcPr>
                  <w:tcW w:w="8545" w:type="dxa"/>
                </w:tcPr>
                <w:p w:rsidR="00EF5E03" w:rsidRPr="00524381" w:rsidRDefault="00EF5E03" w:rsidP="003420B8">
                  <w:pPr>
                    <w:rPr>
                      <w:sz w:val="22"/>
                      <w:szCs w:val="22"/>
                      <w:lang w:eastAsia="en-US"/>
                    </w:rPr>
                  </w:pPr>
                  <w:r w:rsidRPr="00524381">
                    <w:rPr>
                      <w:b/>
                      <w:sz w:val="22"/>
                      <w:szCs w:val="22"/>
                      <w:lang w:eastAsia="en-US"/>
                    </w:rPr>
                    <w:t>na všetky kategórie podnikov</w:t>
                  </w:r>
                </w:p>
              </w:tc>
            </w:tr>
          </w:tbl>
          <w:p w:rsidR="00EF5E03" w:rsidRPr="00524381" w:rsidRDefault="00EF5E03" w:rsidP="003420B8">
            <w:pPr>
              <w:rPr>
                <w:b/>
                <w:sz w:val="22"/>
                <w:szCs w:val="22"/>
                <w:lang w:eastAsia="en-US"/>
              </w:rPr>
            </w:pPr>
          </w:p>
        </w:tc>
      </w:tr>
      <w:tr w:rsidR="00EF5E03" w:rsidRPr="00524381" w:rsidTr="001E43DA">
        <w:tc>
          <w:tcPr>
            <w:tcW w:w="9209" w:type="dxa"/>
            <w:shd w:val="clear" w:color="auto" w:fill="D9D9D9"/>
          </w:tcPr>
          <w:p w:rsidR="00EF5E03" w:rsidRPr="00524381" w:rsidRDefault="00EF5E03" w:rsidP="003420B8">
            <w:pPr>
              <w:rPr>
                <w:b/>
                <w:szCs w:val="22"/>
                <w:lang w:eastAsia="en-US"/>
              </w:rPr>
            </w:pPr>
            <w:r w:rsidRPr="00524381">
              <w:rPr>
                <w:b/>
                <w:szCs w:val="22"/>
                <w:lang w:eastAsia="en-US"/>
              </w:rPr>
              <w:t>3.1 Dotknuté podnikateľské subjekty</w:t>
            </w:r>
          </w:p>
          <w:p w:rsidR="00EF5E03" w:rsidRPr="00524381" w:rsidRDefault="00EF5E03" w:rsidP="003420B8">
            <w:pPr>
              <w:ind w:left="284"/>
              <w:rPr>
                <w:b/>
                <w:sz w:val="22"/>
                <w:szCs w:val="22"/>
                <w:lang w:eastAsia="en-US"/>
              </w:rPr>
            </w:pPr>
            <w:r w:rsidRPr="00524381">
              <w:rPr>
                <w:szCs w:val="22"/>
                <w:lang w:eastAsia="en-US"/>
              </w:rPr>
              <w:t xml:space="preserve"> - </w:t>
            </w:r>
            <w:r w:rsidRPr="00524381">
              <w:rPr>
                <w:b/>
                <w:szCs w:val="22"/>
                <w:lang w:eastAsia="en-US"/>
              </w:rPr>
              <w:t>z toho MSP</w:t>
            </w:r>
          </w:p>
        </w:tc>
      </w:tr>
      <w:tr w:rsidR="00EF5E03" w:rsidRPr="00524381" w:rsidTr="001E43DA">
        <w:tc>
          <w:tcPr>
            <w:tcW w:w="9209" w:type="dxa"/>
          </w:tcPr>
          <w:p w:rsidR="00EF5E03" w:rsidRPr="00524381" w:rsidRDefault="00EF5E03" w:rsidP="003420B8">
            <w:pPr>
              <w:jc w:val="both"/>
              <w:rPr>
                <w:i/>
                <w:sz w:val="22"/>
                <w:szCs w:val="22"/>
                <w:lang w:eastAsia="en-US"/>
              </w:rPr>
            </w:pPr>
            <w:r w:rsidRPr="00524381">
              <w:rPr>
                <w:i/>
                <w:sz w:val="22"/>
                <w:szCs w:val="22"/>
                <w:lang w:eastAsia="en-US"/>
              </w:rPr>
              <w:t>Uveďte, aké podnikateľské subjekty budú predkladaným návrhom ovplyvnené.</w:t>
            </w:r>
          </w:p>
          <w:p w:rsidR="00EF5E03" w:rsidRPr="00524381" w:rsidRDefault="00EF5E03" w:rsidP="003420B8">
            <w:pPr>
              <w:jc w:val="both"/>
              <w:rPr>
                <w:i/>
                <w:sz w:val="22"/>
                <w:szCs w:val="22"/>
                <w:lang w:eastAsia="en-US"/>
              </w:rPr>
            </w:pPr>
            <w:r w:rsidRPr="00524381">
              <w:rPr>
                <w:i/>
                <w:sz w:val="22"/>
                <w:szCs w:val="22"/>
                <w:lang w:eastAsia="en-US"/>
              </w:rPr>
              <w:t>Aký je ich počet?</w:t>
            </w:r>
          </w:p>
        </w:tc>
      </w:tr>
      <w:tr w:rsidR="00EF5E03" w:rsidRPr="003C289B" w:rsidTr="001E43DA">
        <w:trPr>
          <w:trHeight w:val="637"/>
        </w:trPr>
        <w:tc>
          <w:tcPr>
            <w:tcW w:w="9209" w:type="dxa"/>
          </w:tcPr>
          <w:p w:rsidR="00EF5E03" w:rsidRPr="00524381" w:rsidRDefault="00EF5E03" w:rsidP="003420B8">
            <w:pPr>
              <w:rPr>
                <w:sz w:val="20"/>
                <w:szCs w:val="20"/>
                <w:lang w:eastAsia="en-US"/>
              </w:rPr>
            </w:pPr>
          </w:p>
          <w:p w:rsidR="00EF5E03" w:rsidRPr="00524381" w:rsidRDefault="00EF5E03" w:rsidP="003420B8">
            <w:pPr>
              <w:jc w:val="both"/>
              <w:rPr>
                <w:sz w:val="20"/>
                <w:szCs w:val="20"/>
                <w:lang w:eastAsia="en-US"/>
              </w:rPr>
            </w:pPr>
            <w:r w:rsidRPr="00524381">
              <w:rPr>
                <w:sz w:val="20"/>
                <w:szCs w:val="20"/>
                <w:lang w:eastAsia="en-US"/>
              </w:rPr>
              <w:t>Všeobecne sa predpokladá, že návrh zákona ovplyvní tie podnikateľské subjekty, ktoré obchodujú s</w:t>
            </w:r>
            <w:r>
              <w:rPr>
                <w:sz w:val="20"/>
                <w:szCs w:val="20"/>
                <w:lang w:eastAsia="en-US"/>
              </w:rPr>
              <w:t xml:space="preserve"> LPG určeným na použitie ako palivo na výrobu tepla a </w:t>
            </w:r>
            <w:r w:rsidRPr="00524381">
              <w:rPr>
                <w:sz w:val="20"/>
                <w:szCs w:val="20"/>
                <w:lang w:eastAsia="en-US"/>
              </w:rPr>
              <w:t xml:space="preserve"> </w:t>
            </w:r>
            <w:r>
              <w:rPr>
                <w:sz w:val="20"/>
                <w:szCs w:val="20"/>
                <w:lang w:eastAsia="en-US"/>
              </w:rPr>
              <w:t>tie</w:t>
            </w:r>
            <w:r w:rsidRPr="00524381">
              <w:rPr>
                <w:sz w:val="20"/>
                <w:szCs w:val="20"/>
                <w:lang w:eastAsia="en-US"/>
              </w:rPr>
              <w:t xml:space="preserve"> subjekty, ktoré </w:t>
            </w:r>
            <w:r>
              <w:rPr>
                <w:sz w:val="20"/>
                <w:szCs w:val="20"/>
                <w:lang w:eastAsia="en-US"/>
              </w:rPr>
              <w:t>sú konečnými spotrebiteľmi LPG a tento minerálny olej používajú ako palivo na výrobu tepla</w:t>
            </w:r>
            <w:r w:rsidRPr="00524381">
              <w:rPr>
                <w:sz w:val="20"/>
                <w:szCs w:val="20"/>
                <w:lang w:eastAsia="en-US"/>
              </w:rPr>
              <w:t>.</w:t>
            </w:r>
          </w:p>
          <w:p w:rsidR="00EF5E03" w:rsidRPr="00524381" w:rsidRDefault="00EF5E03" w:rsidP="003420B8">
            <w:pPr>
              <w:rPr>
                <w:sz w:val="20"/>
                <w:szCs w:val="20"/>
                <w:lang w:eastAsia="en-US"/>
              </w:rPr>
            </w:pPr>
          </w:p>
        </w:tc>
      </w:tr>
      <w:tr w:rsidR="00EF5E03" w:rsidRPr="00524381" w:rsidTr="001E43DA">
        <w:trPr>
          <w:trHeight w:val="339"/>
        </w:trPr>
        <w:tc>
          <w:tcPr>
            <w:tcW w:w="9209" w:type="dxa"/>
            <w:shd w:val="clear" w:color="auto" w:fill="D9D9D9"/>
          </w:tcPr>
          <w:p w:rsidR="00EF5E03" w:rsidRPr="00524381" w:rsidRDefault="00EF5E03" w:rsidP="003420B8">
            <w:pPr>
              <w:rPr>
                <w:b/>
                <w:szCs w:val="22"/>
                <w:lang w:eastAsia="en-US"/>
              </w:rPr>
            </w:pPr>
            <w:r w:rsidRPr="00524381">
              <w:rPr>
                <w:b/>
                <w:szCs w:val="22"/>
                <w:lang w:eastAsia="en-US"/>
              </w:rPr>
              <w:t>3.2 Vyhodnotenie konzultácií</w:t>
            </w:r>
          </w:p>
          <w:p w:rsidR="00EF5E03" w:rsidRPr="00524381" w:rsidRDefault="00EF5E03" w:rsidP="003420B8">
            <w:pPr>
              <w:rPr>
                <w:b/>
                <w:sz w:val="22"/>
                <w:szCs w:val="22"/>
                <w:lang w:eastAsia="en-US"/>
              </w:rPr>
            </w:pPr>
            <w:r w:rsidRPr="00524381">
              <w:rPr>
                <w:szCs w:val="22"/>
                <w:lang w:eastAsia="en-US"/>
              </w:rPr>
              <w:t xml:space="preserve">       - </w:t>
            </w:r>
            <w:r w:rsidRPr="00524381">
              <w:rPr>
                <w:b/>
                <w:szCs w:val="22"/>
                <w:lang w:eastAsia="en-US"/>
              </w:rPr>
              <w:t>z toho MSP</w:t>
            </w:r>
          </w:p>
        </w:tc>
      </w:tr>
      <w:tr w:rsidR="00EF5E03" w:rsidRPr="00524381" w:rsidTr="001E43DA">
        <w:trPr>
          <w:trHeight w:val="557"/>
        </w:trPr>
        <w:tc>
          <w:tcPr>
            <w:tcW w:w="9209" w:type="dxa"/>
          </w:tcPr>
          <w:p w:rsidR="00EF5E03" w:rsidRPr="00524381" w:rsidRDefault="00EF5E03" w:rsidP="003420B8">
            <w:pPr>
              <w:jc w:val="both"/>
              <w:rPr>
                <w:i/>
                <w:sz w:val="22"/>
                <w:szCs w:val="22"/>
                <w:lang w:eastAsia="en-US"/>
              </w:rPr>
            </w:pPr>
            <w:r w:rsidRPr="00524381">
              <w:rPr>
                <w:i/>
                <w:sz w:val="22"/>
                <w:szCs w:val="22"/>
                <w:lang w:eastAsia="en-US"/>
              </w:rPr>
              <w:t>Uveďte, akou formou (verejné alebo cielené konzultácie a prečo) a s kým bol návrh konzultovaný.</w:t>
            </w:r>
          </w:p>
          <w:p w:rsidR="00EF5E03" w:rsidRPr="00524381" w:rsidRDefault="00EF5E03" w:rsidP="003420B8">
            <w:pPr>
              <w:jc w:val="both"/>
              <w:rPr>
                <w:i/>
                <w:sz w:val="22"/>
                <w:szCs w:val="22"/>
                <w:lang w:eastAsia="en-US"/>
              </w:rPr>
            </w:pPr>
            <w:r w:rsidRPr="00524381">
              <w:rPr>
                <w:i/>
                <w:sz w:val="22"/>
                <w:szCs w:val="22"/>
                <w:lang w:eastAsia="en-US"/>
              </w:rPr>
              <w:t>Ako dlho trvali konzultácie?</w:t>
            </w:r>
          </w:p>
          <w:p w:rsidR="00EF5E03" w:rsidRPr="00524381" w:rsidRDefault="00EF5E03" w:rsidP="003420B8">
            <w:pPr>
              <w:jc w:val="both"/>
              <w:rPr>
                <w:i/>
                <w:sz w:val="22"/>
                <w:szCs w:val="22"/>
                <w:lang w:eastAsia="en-US"/>
              </w:rPr>
            </w:pPr>
            <w:r w:rsidRPr="00524381">
              <w:rPr>
                <w:i/>
                <w:sz w:val="22"/>
                <w:szCs w:val="22"/>
                <w:lang w:eastAsia="en-US"/>
              </w:rPr>
              <w:t xml:space="preserve">Uveďte hlavné body konzultácií a výsledky konzultácií. </w:t>
            </w:r>
          </w:p>
        </w:tc>
      </w:tr>
      <w:tr w:rsidR="00EF5E03" w:rsidRPr="003C289B" w:rsidTr="001E43DA">
        <w:trPr>
          <w:trHeight w:val="460"/>
        </w:trPr>
        <w:tc>
          <w:tcPr>
            <w:tcW w:w="9209" w:type="dxa"/>
            <w:vAlign w:val="center"/>
          </w:tcPr>
          <w:p w:rsidR="00EF5E03" w:rsidRPr="00EF5E03" w:rsidRDefault="00EF5E03" w:rsidP="00EF5E03">
            <w:pPr>
              <w:pStyle w:val="Normlnywebov"/>
              <w:spacing w:before="0" w:beforeAutospacing="0" w:after="0" w:afterAutospacing="0"/>
              <w:rPr>
                <w:sz w:val="20"/>
                <w:szCs w:val="20"/>
                <w:lang w:eastAsia="en-US"/>
              </w:rPr>
            </w:pPr>
            <w:r w:rsidRPr="00EF5E03">
              <w:rPr>
                <w:sz w:val="20"/>
                <w:szCs w:val="20"/>
                <w:lang w:eastAsia="en-US"/>
              </w:rPr>
              <w:t>Bezpredmetné.</w:t>
            </w:r>
          </w:p>
        </w:tc>
      </w:tr>
      <w:tr w:rsidR="00EF5E03" w:rsidRPr="00524381" w:rsidTr="001E43DA">
        <w:tc>
          <w:tcPr>
            <w:tcW w:w="9209" w:type="dxa"/>
            <w:shd w:val="clear" w:color="auto" w:fill="D9D9D9"/>
          </w:tcPr>
          <w:p w:rsidR="00EF5E03" w:rsidRPr="00524381" w:rsidRDefault="00EF5E03" w:rsidP="003420B8">
            <w:pPr>
              <w:rPr>
                <w:b/>
                <w:szCs w:val="22"/>
                <w:lang w:eastAsia="en-US"/>
              </w:rPr>
            </w:pPr>
            <w:r w:rsidRPr="00524381">
              <w:rPr>
                <w:b/>
                <w:szCs w:val="22"/>
                <w:lang w:eastAsia="en-US"/>
              </w:rPr>
              <w:t>3.3 Náklady regulácie</w:t>
            </w:r>
          </w:p>
          <w:p w:rsidR="00EF5E03" w:rsidRPr="00524381" w:rsidRDefault="00EF5E03" w:rsidP="003420B8">
            <w:pPr>
              <w:rPr>
                <w:b/>
                <w:sz w:val="22"/>
                <w:szCs w:val="22"/>
                <w:lang w:eastAsia="en-US"/>
              </w:rPr>
            </w:pPr>
            <w:r w:rsidRPr="00524381">
              <w:rPr>
                <w:szCs w:val="22"/>
                <w:lang w:eastAsia="en-US"/>
              </w:rPr>
              <w:t xml:space="preserve">      - </w:t>
            </w:r>
            <w:r w:rsidRPr="00524381">
              <w:rPr>
                <w:b/>
                <w:szCs w:val="22"/>
                <w:lang w:eastAsia="en-US"/>
              </w:rPr>
              <w:t>z toho MSP</w:t>
            </w:r>
          </w:p>
        </w:tc>
      </w:tr>
      <w:tr w:rsidR="00EF5E03" w:rsidRPr="00524381" w:rsidTr="001E43DA">
        <w:tc>
          <w:tcPr>
            <w:tcW w:w="9209" w:type="dxa"/>
          </w:tcPr>
          <w:p w:rsidR="00EF5E03" w:rsidRPr="00524381" w:rsidRDefault="00EF5E03" w:rsidP="003420B8">
            <w:pPr>
              <w:rPr>
                <w:b/>
                <w:i/>
                <w:sz w:val="22"/>
                <w:szCs w:val="22"/>
                <w:lang w:eastAsia="en-US"/>
              </w:rPr>
            </w:pPr>
            <w:r w:rsidRPr="00524381">
              <w:rPr>
                <w:b/>
                <w:i/>
                <w:sz w:val="22"/>
                <w:szCs w:val="22"/>
                <w:lang w:eastAsia="en-US"/>
              </w:rPr>
              <w:t>3.3.1 Priame finančné náklady</w:t>
            </w:r>
          </w:p>
          <w:p w:rsidR="00EF5E03" w:rsidRPr="00524381" w:rsidRDefault="00EF5E03" w:rsidP="003420B8">
            <w:pPr>
              <w:jc w:val="both"/>
              <w:rPr>
                <w:i/>
                <w:sz w:val="22"/>
                <w:szCs w:val="22"/>
                <w:lang w:eastAsia="en-US"/>
              </w:rPr>
            </w:pPr>
            <w:r w:rsidRPr="00524381">
              <w:rPr>
                <w:i/>
                <w:sz w:val="22"/>
                <w:szCs w:val="22"/>
                <w:lang w:eastAsia="en-US"/>
              </w:rPr>
              <w:t xml:space="preserve">Dochádza k zvýšeniu/zníženiu priamych finančných nákladov (poplatky, odvody, dane clá...)? Ak áno, popíšte a vyčíslite ich. Uveďte tiež spôsob ich výpočtu. </w:t>
            </w:r>
          </w:p>
        </w:tc>
      </w:tr>
      <w:tr w:rsidR="00EF5E03" w:rsidRPr="00524381" w:rsidTr="001E43DA">
        <w:tc>
          <w:tcPr>
            <w:tcW w:w="9209" w:type="dxa"/>
          </w:tcPr>
          <w:p w:rsidR="00EF5E03" w:rsidRPr="00524381" w:rsidRDefault="00EF5E03" w:rsidP="003420B8">
            <w:pPr>
              <w:jc w:val="both"/>
              <w:rPr>
                <w:sz w:val="20"/>
                <w:szCs w:val="20"/>
                <w:lang w:eastAsia="en-US"/>
              </w:rPr>
            </w:pPr>
          </w:p>
          <w:p w:rsidR="00EF5E03" w:rsidRPr="00524381" w:rsidRDefault="001E43DA" w:rsidP="003420B8">
            <w:pPr>
              <w:jc w:val="both"/>
              <w:rPr>
                <w:sz w:val="20"/>
                <w:szCs w:val="20"/>
                <w:lang w:eastAsia="en-US"/>
              </w:rPr>
            </w:pPr>
            <w:r>
              <w:rPr>
                <w:sz w:val="20"/>
                <w:szCs w:val="20"/>
                <w:lang w:eastAsia="en-US"/>
              </w:rPr>
              <w:t>P</w:t>
            </w:r>
            <w:r w:rsidR="00EF5E03" w:rsidRPr="00524381">
              <w:rPr>
                <w:sz w:val="20"/>
                <w:szCs w:val="20"/>
                <w:lang w:eastAsia="en-US"/>
              </w:rPr>
              <w:t>redpokladá</w:t>
            </w:r>
            <w:r w:rsidR="003363BA">
              <w:rPr>
                <w:sz w:val="20"/>
                <w:szCs w:val="20"/>
                <w:lang w:eastAsia="en-US"/>
              </w:rPr>
              <w:t xml:space="preserve"> </w:t>
            </w:r>
            <w:r w:rsidR="003363BA" w:rsidRPr="00F76491">
              <w:rPr>
                <w:sz w:val="20"/>
                <w:szCs w:val="20"/>
                <w:lang w:eastAsia="en-US"/>
              </w:rPr>
              <w:t>sa</w:t>
            </w:r>
            <w:r w:rsidR="00EF5E03" w:rsidRPr="00524381">
              <w:rPr>
                <w:sz w:val="20"/>
                <w:szCs w:val="20"/>
                <w:lang w:eastAsia="en-US"/>
              </w:rPr>
              <w:t xml:space="preserve"> zníženie finančných nákladov pre tie subjekty, ktoré </w:t>
            </w:r>
            <w:r>
              <w:rPr>
                <w:sz w:val="20"/>
                <w:szCs w:val="20"/>
                <w:lang w:eastAsia="en-US"/>
              </w:rPr>
              <w:t xml:space="preserve">boli vyňaté z povinnosti byť užívateľským podnikom, </w:t>
            </w:r>
            <w:r w:rsidR="00EF5E03" w:rsidRPr="00524381">
              <w:rPr>
                <w:sz w:val="20"/>
                <w:szCs w:val="20"/>
                <w:lang w:eastAsia="en-US"/>
              </w:rPr>
              <w:t>a to v súvislosti so znížením admi</w:t>
            </w:r>
            <w:r>
              <w:rPr>
                <w:sz w:val="20"/>
                <w:szCs w:val="20"/>
                <w:lang w:eastAsia="en-US"/>
              </w:rPr>
              <w:t xml:space="preserve">nistratívnej záťaže súvisiacej s vydaním povolenia na použitie </w:t>
            </w:r>
            <w:r>
              <w:rPr>
                <w:sz w:val="20"/>
                <w:szCs w:val="20"/>
                <w:lang w:eastAsia="en-US"/>
              </w:rPr>
              <w:lastRenderedPageBreak/>
              <w:t>daňovo zvýhodneného minerálneho oleja, vydaním odberného poukazu a vedením evidencie použitia daňovo zvýhodneného minerálneho oleja (LPG).</w:t>
            </w:r>
          </w:p>
          <w:p w:rsidR="00EF5E03" w:rsidRPr="00524381" w:rsidRDefault="00EF5E03" w:rsidP="003420B8">
            <w:pPr>
              <w:jc w:val="both"/>
              <w:rPr>
                <w:sz w:val="20"/>
                <w:szCs w:val="20"/>
                <w:lang w:eastAsia="en-US"/>
              </w:rPr>
            </w:pPr>
          </w:p>
        </w:tc>
      </w:tr>
      <w:tr w:rsidR="00EF5E03" w:rsidRPr="00524381" w:rsidTr="001E43DA">
        <w:tc>
          <w:tcPr>
            <w:tcW w:w="9209" w:type="dxa"/>
          </w:tcPr>
          <w:p w:rsidR="00EF5E03" w:rsidRPr="00524381" w:rsidRDefault="00EF5E03" w:rsidP="003420B8">
            <w:pPr>
              <w:rPr>
                <w:b/>
                <w:i/>
                <w:sz w:val="22"/>
                <w:szCs w:val="22"/>
                <w:lang w:eastAsia="en-US"/>
              </w:rPr>
            </w:pPr>
            <w:r w:rsidRPr="00524381">
              <w:rPr>
                <w:b/>
                <w:i/>
                <w:sz w:val="22"/>
                <w:szCs w:val="22"/>
                <w:lang w:eastAsia="en-US"/>
              </w:rPr>
              <w:lastRenderedPageBreak/>
              <w:t>3.3.2 Nepriame finančné náklady</w:t>
            </w:r>
          </w:p>
          <w:p w:rsidR="00EF5E03" w:rsidRPr="00524381" w:rsidRDefault="00EF5E03" w:rsidP="003420B8">
            <w:pPr>
              <w:jc w:val="both"/>
              <w:rPr>
                <w:i/>
                <w:sz w:val="22"/>
                <w:szCs w:val="22"/>
                <w:lang w:eastAsia="en-US"/>
              </w:rPr>
            </w:pPr>
            <w:r w:rsidRPr="00524381">
              <w:rPr>
                <w:i/>
                <w:sz w:val="22"/>
                <w:szCs w:val="22"/>
                <w:lang w:eastAsia="en-US"/>
              </w:rPr>
              <w:t>Vyžaduje si predkladaný návrh dodatočné náklady na nákup tovarov alebo služieb? Zvyšuje predkladaný návrh náklady súvisiace so zamestnávaním? Ak áno, popíšte a vyčíslite ich. Uveďte tiež spôsob ich výpočtu.</w:t>
            </w:r>
          </w:p>
        </w:tc>
      </w:tr>
      <w:tr w:rsidR="00EF5E03" w:rsidRPr="00524381" w:rsidTr="001E43DA">
        <w:tc>
          <w:tcPr>
            <w:tcW w:w="9209" w:type="dxa"/>
          </w:tcPr>
          <w:p w:rsidR="00EF5E03" w:rsidRPr="00524381" w:rsidRDefault="00EF5E03" w:rsidP="003420B8">
            <w:pPr>
              <w:rPr>
                <w:sz w:val="20"/>
                <w:szCs w:val="20"/>
                <w:lang w:eastAsia="en-US"/>
              </w:rPr>
            </w:pPr>
          </w:p>
          <w:p w:rsidR="00EF5E03" w:rsidRPr="00524381" w:rsidRDefault="00EF5E03" w:rsidP="003420B8">
            <w:pPr>
              <w:rPr>
                <w:sz w:val="20"/>
                <w:szCs w:val="20"/>
                <w:lang w:eastAsia="en-US"/>
              </w:rPr>
            </w:pPr>
            <w:r w:rsidRPr="00524381">
              <w:rPr>
                <w:sz w:val="20"/>
                <w:szCs w:val="20"/>
                <w:lang w:eastAsia="en-US"/>
              </w:rPr>
              <w:t>Nepredpokladajú sa nepriame finančné náklady.</w:t>
            </w:r>
          </w:p>
          <w:p w:rsidR="00EF5E03" w:rsidRPr="00524381" w:rsidRDefault="00EF5E03" w:rsidP="003420B8">
            <w:pPr>
              <w:rPr>
                <w:sz w:val="20"/>
                <w:szCs w:val="20"/>
                <w:lang w:eastAsia="en-US"/>
              </w:rPr>
            </w:pPr>
          </w:p>
        </w:tc>
      </w:tr>
      <w:tr w:rsidR="00EF5E03" w:rsidRPr="00524381" w:rsidTr="001E43DA">
        <w:tc>
          <w:tcPr>
            <w:tcW w:w="9209" w:type="dxa"/>
          </w:tcPr>
          <w:p w:rsidR="00EF5E03" w:rsidRPr="00524381" w:rsidRDefault="00EF5E03" w:rsidP="003420B8">
            <w:pPr>
              <w:rPr>
                <w:b/>
                <w:i/>
                <w:sz w:val="22"/>
                <w:szCs w:val="22"/>
                <w:lang w:eastAsia="en-US"/>
              </w:rPr>
            </w:pPr>
            <w:r w:rsidRPr="00524381">
              <w:rPr>
                <w:b/>
                <w:i/>
                <w:sz w:val="22"/>
                <w:szCs w:val="22"/>
                <w:lang w:eastAsia="en-US"/>
              </w:rPr>
              <w:t>3.3.3 Administratívne náklady</w:t>
            </w:r>
          </w:p>
          <w:p w:rsidR="00EF5E03" w:rsidRPr="00524381" w:rsidRDefault="00EF5E03" w:rsidP="003420B8">
            <w:pPr>
              <w:jc w:val="both"/>
              <w:rPr>
                <w:i/>
                <w:sz w:val="22"/>
                <w:szCs w:val="22"/>
                <w:lang w:eastAsia="en-US"/>
              </w:rPr>
            </w:pPr>
            <w:r w:rsidRPr="00524381">
              <w:rPr>
                <w:i/>
                <w:sz w:val="22"/>
                <w:szCs w:val="22"/>
                <w:lang w:eastAsia="en-US"/>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EF5E03" w:rsidRPr="003C289B" w:rsidTr="001E43DA">
        <w:tc>
          <w:tcPr>
            <w:tcW w:w="9209" w:type="dxa"/>
          </w:tcPr>
          <w:p w:rsidR="00EF5E03" w:rsidRPr="00524381" w:rsidRDefault="00EF5E03" w:rsidP="003420B8">
            <w:pPr>
              <w:rPr>
                <w:sz w:val="20"/>
                <w:szCs w:val="20"/>
                <w:lang w:eastAsia="en-US"/>
              </w:rPr>
            </w:pPr>
          </w:p>
          <w:p w:rsidR="001E43DA" w:rsidRPr="00524381" w:rsidRDefault="001E43DA" w:rsidP="001E43DA">
            <w:pPr>
              <w:rPr>
                <w:sz w:val="20"/>
                <w:szCs w:val="20"/>
                <w:lang w:eastAsia="en-US"/>
              </w:rPr>
            </w:pPr>
            <w:r>
              <w:rPr>
                <w:sz w:val="20"/>
                <w:szCs w:val="20"/>
                <w:lang w:eastAsia="en-US"/>
              </w:rPr>
              <w:t>Nepredpokladá sa zvýšenie administratívnej záťaže.</w:t>
            </w:r>
          </w:p>
          <w:p w:rsidR="00EF5E03" w:rsidRPr="00524381" w:rsidRDefault="00EF5E03" w:rsidP="003420B8">
            <w:pPr>
              <w:rPr>
                <w:sz w:val="20"/>
                <w:szCs w:val="20"/>
                <w:lang w:eastAsia="en-US"/>
              </w:rPr>
            </w:pPr>
          </w:p>
        </w:tc>
      </w:tr>
      <w:tr w:rsidR="00EF5E03" w:rsidRPr="00524381" w:rsidTr="001E43DA">
        <w:trPr>
          <w:trHeight w:val="2318"/>
        </w:trPr>
        <w:tc>
          <w:tcPr>
            <w:tcW w:w="9209" w:type="dxa"/>
          </w:tcPr>
          <w:p w:rsidR="00EF5E03" w:rsidRPr="00524381" w:rsidRDefault="00EF5E03" w:rsidP="003420B8">
            <w:pPr>
              <w:rPr>
                <w:i/>
                <w:sz w:val="22"/>
                <w:szCs w:val="22"/>
                <w:lang w:eastAsia="en-US"/>
              </w:rPr>
            </w:pPr>
            <w:r w:rsidRPr="00524381">
              <w:rPr>
                <w:b/>
                <w:i/>
                <w:sz w:val="22"/>
                <w:szCs w:val="22"/>
                <w:lang w:eastAsia="en-US"/>
              </w:rPr>
              <w:t>3.3.4 Súhrnná tabuľka nákladov regulácie</w:t>
            </w:r>
          </w:p>
          <w:p w:rsidR="00EF5E03" w:rsidRPr="00524381" w:rsidRDefault="00EF5E03" w:rsidP="003420B8">
            <w:pPr>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994"/>
              <w:gridCol w:w="2994"/>
            </w:tblGrid>
            <w:tr w:rsidR="00EF5E03" w:rsidRPr="003C289B" w:rsidTr="003420B8">
              <w:tc>
                <w:tcPr>
                  <w:tcW w:w="2993" w:type="dxa"/>
                  <w:tcBorders>
                    <w:top w:val="single" w:sz="4" w:space="0" w:color="auto"/>
                    <w:left w:val="single" w:sz="4" w:space="0" w:color="auto"/>
                    <w:bottom w:val="single" w:sz="4" w:space="0" w:color="auto"/>
                    <w:right w:val="single" w:sz="4" w:space="0" w:color="auto"/>
                  </w:tcBorders>
                </w:tcPr>
                <w:p w:rsidR="00EF5E03" w:rsidRPr="00524381" w:rsidRDefault="00EF5E03" w:rsidP="003420B8">
                  <w:pPr>
                    <w:rPr>
                      <w:i/>
                      <w:sz w:val="22"/>
                      <w:szCs w:val="22"/>
                      <w:lang w:eastAsia="en-US"/>
                    </w:rPr>
                  </w:pPr>
                </w:p>
              </w:tc>
              <w:tc>
                <w:tcPr>
                  <w:tcW w:w="2994" w:type="dxa"/>
                  <w:tcBorders>
                    <w:top w:val="single" w:sz="4" w:space="0" w:color="auto"/>
                    <w:left w:val="single" w:sz="4" w:space="0" w:color="auto"/>
                    <w:bottom w:val="single" w:sz="4" w:space="0" w:color="auto"/>
                    <w:right w:val="single" w:sz="4" w:space="0" w:color="auto"/>
                  </w:tcBorders>
                </w:tcPr>
                <w:p w:rsidR="00EF5E03" w:rsidRPr="00524381" w:rsidRDefault="00EF5E03" w:rsidP="003420B8">
                  <w:pPr>
                    <w:jc w:val="center"/>
                    <w:rPr>
                      <w:i/>
                      <w:sz w:val="22"/>
                      <w:szCs w:val="22"/>
                      <w:lang w:eastAsia="en-US"/>
                    </w:rPr>
                  </w:pPr>
                  <w:r w:rsidRPr="00524381">
                    <w:rPr>
                      <w:i/>
                      <w:sz w:val="22"/>
                      <w:szCs w:val="22"/>
                      <w:lang w:eastAsia="en-US"/>
                    </w:rPr>
                    <w:t>Náklady na 1 podnikateľa</w:t>
                  </w:r>
                </w:p>
                <w:p w:rsidR="00EF5E03" w:rsidRPr="00524381" w:rsidRDefault="00EF5E03" w:rsidP="003420B8">
                  <w:pPr>
                    <w:jc w:val="center"/>
                    <w:rPr>
                      <w:i/>
                      <w:sz w:val="22"/>
                      <w:szCs w:val="22"/>
                      <w:lang w:eastAsia="en-US"/>
                    </w:rPr>
                  </w:pPr>
                  <w:r w:rsidRPr="00524381">
                    <w:rPr>
                      <w:i/>
                      <w:sz w:val="22"/>
                      <w:szCs w:val="22"/>
                      <w:lang w:eastAsia="en-US"/>
                    </w:rPr>
                    <w:t>(za rok)</w:t>
                  </w:r>
                </w:p>
              </w:tc>
              <w:tc>
                <w:tcPr>
                  <w:tcW w:w="2994" w:type="dxa"/>
                  <w:tcBorders>
                    <w:top w:val="single" w:sz="4" w:space="0" w:color="auto"/>
                    <w:left w:val="single" w:sz="4" w:space="0" w:color="auto"/>
                    <w:bottom w:val="single" w:sz="4" w:space="0" w:color="auto"/>
                    <w:right w:val="single" w:sz="4" w:space="0" w:color="auto"/>
                  </w:tcBorders>
                </w:tcPr>
                <w:p w:rsidR="00EF5E03" w:rsidRPr="00524381" w:rsidRDefault="00EF5E03" w:rsidP="003420B8">
                  <w:pPr>
                    <w:jc w:val="center"/>
                    <w:rPr>
                      <w:i/>
                      <w:sz w:val="22"/>
                      <w:szCs w:val="22"/>
                      <w:lang w:eastAsia="en-US"/>
                    </w:rPr>
                  </w:pPr>
                  <w:r w:rsidRPr="00524381">
                    <w:rPr>
                      <w:i/>
                      <w:sz w:val="22"/>
                      <w:szCs w:val="22"/>
                      <w:lang w:eastAsia="en-US"/>
                    </w:rPr>
                    <w:t>Náklady na celé podnikateľské prostredie (za rok)</w:t>
                  </w:r>
                </w:p>
              </w:tc>
            </w:tr>
            <w:tr w:rsidR="00EF5E03" w:rsidRPr="003C289B" w:rsidTr="003420B8">
              <w:tc>
                <w:tcPr>
                  <w:tcW w:w="2993" w:type="dxa"/>
                  <w:tcBorders>
                    <w:top w:val="single" w:sz="4" w:space="0" w:color="auto"/>
                    <w:left w:val="single" w:sz="4" w:space="0" w:color="auto"/>
                    <w:bottom w:val="single" w:sz="4" w:space="0" w:color="auto"/>
                    <w:right w:val="single" w:sz="4" w:space="0" w:color="auto"/>
                  </w:tcBorders>
                </w:tcPr>
                <w:p w:rsidR="00EF5E03" w:rsidRPr="00524381" w:rsidRDefault="00EF5E03" w:rsidP="003420B8">
                  <w:pPr>
                    <w:rPr>
                      <w:i/>
                      <w:sz w:val="22"/>
                      <w:szCs w:val="22"/>
                      <w:lang w:eastAsia="en-US"/>
                    </w:rPr>
                  </w:pPr>
                  <w:r w:rsidRPr="00524381">
                    <w:rPr>
                      <w:i/>
                      <w:sz w:val="22"/>
                      <w:szCs w:val="22"/>
                      <w:lang w:eastAsia="en-US"/>
                    </w:rPr>
                    <w:t>Priame finančné náklady</w:t>
                  </w:r>
                </w:p>
              </w:tc>
              <w:tc>
                <w:tcPr>
                  <w:tcW w:w="2994" w:type="dxa"/>
                  <w:tcBorders>
                    <w:top w:val="single" w:sz="4" w:space="0" w:color="auto"/>
                    <w:left w:val="single" w:sz="4" w:space="0" w:color="auto"/>
                    <w:bottom w:val="single" w:sz="4" w:space="0" w:color="auto"/>
                    <w:right w:val="single" w:sz="4" w:space="0" w:color="auto"/>
                  </w:tcBorders>
                </w:tcPr>
                <w:p w:rsidR="00EF5E03" w:rsidRPr="00F76491" w:rsidRDefault="00F76491" w:rsidP="003420B8">
                  <w:pPr>
                    <w:jc w:val="center"/>
                    <w:rPr>
                      <w:i/>
                      <w:sz w:val="22"/>
                      <w:szCs w:val="22"/>
                      <w:lang w:eastAsia="en-US"/>
                    </w:rPr>
                  </w:pPr>
                  <w:r w:rsidRPr="00F76491">
                    <w:rPr>
                      <w:rFonts w:ascii="Vrinda" w:hAnsi="Vrinda" w:cs="Vrinda"/>
                      <w:i/>
                      <w:sz w:val="22"/>
                      <w:szCs w:val="22"/>
                      <w:lang w:eastAsia="en-US"/>
                    </w:rPr>
                    <w:t>-</w:t>
                  </w:r>
                </w:p>
              </w:tc>
              <w:tc>
                <w:tcPr>
                  <w:tcW w:w="2994" w:type="dxa"/>
                  <w:tcBorders>
                    <w:top w:val="single" w:sz="4" w:space="0" w:color="auto"/>
                    <w:left w:val="single" w:sz="4" w:space="0" w:color="auto"/>
                    <w:bottom w:val="single" w:sz="4" w:space="0" w:color="auto"/>
                    <w:right w:val="single" w:sz="4" w:space="0" w:color="auto"/>
                  </w:tcBorders>
                </w:tcPr>
                <w:p w:rsidR="00EF5E03" w:rsidRPr="00F76491" w:rsidRDefault="00F76491" w:rsidP="003420B8">
                  <w:pPr>
                    <w:jc w:val="center"/>
                    <w:rPr>
                      <w:i/>
                      <w:sz w:val="22"/>
                      <w:szCs w:val="22"/>
                      <w:lang w:eastAsia="en-US"/>
                    </w:rPr>
                  </w:pPr>
                  <w:r w:rsidRPr="00F76491">
                    <w:rPr>
                      <w:rFonts w:ascii="Vrinda" w:hAnsi="Vrinda" w:cs="Vrinda"/>
                      <w:i/>
                      <w:sz w:val="22"/>
                      <w:szCs w:val="22"/>
                      <w:lang w:eastAsia="en-US"/>
                    </w:rPr>
                    <w:t>-</w:t>
                  </w:r>
                </w:p>
              </w:tc>
            </w:tr>
            <w:tr w:rsidR="00F76491" w:rsidRPr="003C289B" w:rsidTr="003420B8">
              <w:tc>
                <w:tcPr>
                  <w:tcW w:w="2993" w:type="dxa"/>
                  <w:tcBorders>
                    <w:top w:val="single" w:sz="4" w:space="0" w:color="auto"/>
                    <w:left w:val="single" w:sz="4" w:space="0" w:color="auto"/>
                    <w:bottom w:val="single" w:sz="4" w:space="0" w:color="auto"/>
                    <w:right w:val="single" w:sz="4" w:space="0" w:color="auto"/>
                  </w:tcBorders>
                </w:tcPr>
                <w:p w:rsidR="00F76491" w:rsidRPr="00524381" w:rsidRDefault="00F76491" w:rsidP="00F76491">
                  <w:pPr>
                    <w:rPr>
                      <w:i/>
                      <w:sz w:val="22"/>
                      <w:szCs w:val="22"/>
                      <w:lang w:eastAsia="en-US"/>
                    </w:rPr>
                  </w:pPr>
                  <w:r w:rsidRPr="00524381">
                    <w:rPr>
                      <w:i/>
                      <w:sz w:val="22"/>
                      <w:szCs w:val="22"/>
                      <w:lang w:eastAsia="en-US"/>
                    </w:rPr>
                    <w:t>Nepriame finančné náklady</w:t>
                  </w:r>
                </w:p>
              </w:tc>
              <w:tc>
                <w:tcPr>
                  <w:tcW w:w="2994" w:type="dxa"/>
                  <w:tcBorders>
                    <w:top w:val="single" w:sz="4" w:space="0" w:color="auto"/>
                    <w:left w:val="single" w:sz="4" w:space="0" w:color="auto"/>
                    <w:bottom w:val="single" w:sz="4" w:space="0" w:color="auto"/>
                    <w:right w:val="single" w:sz="4" w:space="0" w:color="auto"/>
                  </w:tcBorders>
                </w:tcPr>
                <w:p w:rsidR="00F76491" w:rsidRPr="00D62AA8" w:rsidRDefault="00F76491" w:rsidP="00F76491">
                  <w:pPr>
                    <w:jc w:val="center"/>
                    <w:rPr>
                      <w:i/>
                      <w:sz w:val="22"/>
                      <w:szCs w:val="22"/>
                      <w:highlight w:val="yellow"/>
                      <w:lang w:eastAsia="en-US"/>
                    </w:rPr>
                  </w:pPr>
                  <w:r w:rsidRPr="00F76491">
                    <w:rPr>
                      <w:rFonts w:ascii="Vrinda" w:hAnsi="Vrinda" w:cs="Vrinda"/>
                      <w:i/>
                      <w:sz w:val="22"/>
                      <w:szCs w:val="22"/>
                      <w:lang w:eastAsia="en-US"/>
                    </w:rPr>
                    <w:t>-</w:t>
                  </w:r>
                </w:p>
              </w:tc>
              <w:tc>
                <w:tcPr>
                  <w:tcW w:w="2994" w:type="dxa"/>
                  <w:tcBorders>
                    <w:top w:val="single" w:sz="4" w:space="0" w:color="auto"/>
                    <w:left w:val="single" w:sz="4" w:space="0" w:color="auto"/>
                    <w:bottom w:val="single" w:sz="4" w:space="0" w:color="auto"/>
                    <w:right w:val="single" w:sz="4" w:space="0" w:color="auto"/>
                  </w:tcBorders>
                </w:tcPr>
                <w:p w:rsidR="00F76491" w:rsidRPr="00D62AA8" w:rsidRDefault="00F76491" w:rsidP="00F76491">
                  <w:pPr>
                    <w:jc w:val="center"/>
                    <w:rPr>
                      <w:i/>
                      <w:sz w:val="22"/>
                      <w:szCs w:val="22"/>
                      <w:highlight w:val="yellow"/>
                      <w:lang w:eastAsia="en-US"/>
                    </w:rPr>
                  </w:pPr>
                  <w:r w:rsidRPr="00F76491">
                    <w:rPr>
                      <w:rFonts w:ascii="Vrinda" w:hAnsi="Vrinda" w:cs="Vrinda"/>
                      <w:i/>
                      <w:sz w:val="22"/>
                      <w:szCs w:val="22"/>
                      <w:lang w:eastAsia="en-US"/>
                    </w:rPr>
                    <w:t>-</w:t>
                  </w:r>
                </w:p>
              </w:tc>
            </w:tr>
            <w:tr w:rsidR="00F76491" w:rsidRPr="003C289B" w:rsidTr="003420B8">
              <w:tc>
                <w:tcPr>
                  <w:tcW w:w="2993" w:type="dxa"/>
                  <w:tcBorders>
                    <w:top w:val="single" w:sz="4" w:space="0" w:color="auto"/>
                    <w:left w:val="single" w:sz="4" w:space="0" w:color="auto"/>
                    <w:bottom w:val="single" w:sz="4" w:space="0" w:color="auto"/>
                    <w:right w:val="single" w:sz="4" w:space="0" w:color="auto"/>
                  </w:tcBorders>
                </w:tcPr>
                <w:p w:rsidR="00F76491" w:rsidRPr="00524381" w:rsidRDefault="00F76491" w:rsidP="00F76491">
                  <w:pPr>
                    <w:rPr>
                      <w:i/>
                      <w:sz w:val="22"/>
                      <w:szCs w:val="22"/>
                      <w:lang w:eastAsia="en-US"/>
                    </w:rPr>
                  </w:pPr>
                  <w:r w:rsidRPr="00524381">
                    <w:rPr>
                      <w:i/>
                      <w:sz w:val="22"/>
                      <w:szCs w:val="22"/>
                      <w:lang w:eastAsia="en-US"/>
                    </w:rPr>
                    <w:t>Administratívne náklady</w:t>
                  </w:r>
                </w:p>
              </w:tc>
              <w:tc>
                <w:tcPr>
                  <w:tcW w:w="2994" w:type="dxa"/>
                  <w:tcBorders>
                    <w:top w:val="single" w:sz="4" w:space="0" w:color="auto"/>
                    <w:left w:val="single" w:sz="4" w:space="0" w:color="auto"/>
                    <w:bottom w:val="single" w:sz="4" w:space="0" w:color="auto"/>
                    <w:right w:val="single" w:sz="4" w:space="0" w:color="auto"/>
                  </w:tcBorders>
                </w:tcPr>
                <w:p w:rsidR="00F76491" w:rsidRPr="00D62AA8" w:rsidRDefault="00F76491" w:rsidP="00F76491">
                  <w:pPr>
                    <w:jc w:val="center"/>
                    <w:rPr>
                      <w:i/>
                      <w:sz w:val="22"/>
                      <w:szCs w:val="22"/>
                      <w:highlight w:val="yellow"/>
                      <w:lang w:eastAsia="en-US"/>
                    </w:rPr>
                  </w:pPr>
                  <w:r w:rsidRPr="00F76491">
                    <w:rPr>
                      <w:rFonts w:ascii="Vrinda" w:hAnsi="Vrinda" w:cs="Vrinda"/>
                      <w:i/>
                      <w:sz w:val="22"/>
                      <w:szCs w:val="22"/>
                      <w:lang w:eastAsia="en-US"/>
                    </w:rPr>
                    <w:t>-</w:t>
                  </w:r>
                </w:p>
              </w:tc>
              <w:tc>
                <w:tcPr>
                  <w:tcW w:w="2994" w:type="dxa"/>
                  <w:tcBorders>
                    <w:top w:val="single" w:sz="4" w:space="0" w:color="auto"/>
                    <w:left w:val="single" w:sz="4" w:space="0" w:color="auto"/>
                    <w:bottom w:val="single" w:sz="4" w:space="0" w:color="auto"/>
                    <w:right w:val="single" w:sz="4" w:space="0" w:color="auto"/>
                  </w:tcBorders>
                </w:tcPr>
                <w:p w:rsidR="00F76491" w:rsidRPr="00D62AA8" w:rsidRDefault="00F76491" w:rsidP="00F76491">
                  <w:pPr>
                    <w:jc w:val="center"/>
                    <w:rPr>
                      <w:i/>
                      <w:sz w:val="22"/>
                      <w:szCs w:val="22"/>
                      <w:highlight w:val="yellow"/>
                      <w:lang w:eastAsia="en-US"/>
                    </w:rPr>
                  </w:pPr>
                  <w:r w:rsidRPr="00F76491">
                    <w:rPr>
                      <w:rFonts w:ascii="Vrinda" w:hAnsi="Vrinda" w:cs="Vrinda"/>
                      <w:i/>
                      <w:sz w:val="22"/>
                      <w:szCs w:val="22"/>
                      <w:lang w:eastAsia="en-US"/>
                    </w:rPr>
                    <w:t>-</w:t>
                  </w:r>
                </w:p>
              </w:tc>
            </w:tr>
            <w:tr w:rsidR="00F76491" w:rsidRPr="00524381" w:rsidTr="003420B8">
              <w:tc>
                <w:tcPr>
                  <w:tcW w:w="2993" w:type="dxa"/>
                  <w:tcBorders>
                    <w:top w:val="single" w:sz="4" w:space="0" w:color="auto"/>
                    <w:left w:val="single" w:sz="4" w:space="0" w:color="auto"/>
                    <w:bottom w:val="single" w:sz="4" w:space="0" w:color="auto"/>
                    <w:right w:val="single" w:sz="4" w:space="0" w:color="auto"/>
                  </w:tcBorders>
                </w:tcPr>
                <w:p w:rsidR="00F76491" w:rsidRPr="00524381" w:rsidRDefault="00F76491" w:rsidP="00F76491">
                  <w:pPr>
                    <w:rPr>
                      <w:b/>
                      <w:i/>
                      <w:sz w:val="22"/>
                      <w:szCs w:val="22"/>
                      <w:highlight w:val="yellow"/>
                      <w:lang w:eastAsia="en-US"/>
                    </w:rPr>
                  </w:pPr>
                  <w:r w:rsidRPr="00524381">
                    <w:rPr>
                      <w:b/>
                      <w:i/>
                      <w:sz w:val="22"/>
                      <w:szCs w:val="22"/>
                      <w:lang w:eastAsia="en-US"/>
                    </w:rPr>
                    <w:t>Celkové náklady regulácie</w:t>
                  </w:r>
                </w:p>
              </w:tc>
              <w:tc>
                <w:tcPr>
                  <w:tcW w:w="2994" w:type="dxa"/>
                  <w:tcBorders>
                    <w:top w:val="single" w:sz="4" w:space="0" w:color="auto"/>
                    <w:left w:val="single" w:sz="4" w:space="0" w:color="auto"/>
                    <w:bottom w:val="single" w:sz="4" w:space="0" w:color="auto"/>
                    <w:right w:val="single" w:sz="4" w:space="0" w:color="auto"/>
                  </w:tcBorders>
                </w:tcPr>
                <w:p w:rsidR="00F76491" w:rsidRPr="00D62AA8" w:rsidRDefault="00F76491" w:rsidP="00F76491">
                  <w:pPr>
                    <w:jc w:val="center"/>
                    <w:rPr>
                      <w:b/>
                      <w:i/>
                      <w:sz w:val="22"/>
                      <w:szCs w:val="22"/>
                      <w:highlight w:val="yellow"/>
                      <w:lang w:eastAsia="en-US"/>
                    </w:rPr>
                  </w:pPr>
                  <w:r w:rsidRPr="00F76491">
                    <w:rPr>
                      <w:rFonts w:ascii="Vrinda" w:hAnsi="Vrinda" w:cs="Vrinda"/>
                      <w:i/>
                      <w:sz w:val="22"/>
                      <w:szCs w:val="22"/>
                      <w:lang w:eastAsia="en-US"/>
                    </w:rPr>
                    <w:t>-</w:t>
                  </w:r>
                </w:p>
              </w:tc>
              <w:tc>
                <w:tcPr>
                  <w:tcW w:w="2994" w:type="dxa"/>
                  <w:tcBorders>
                    <w:top w:val="single" w:sz="4" w:space="0" w:color="auto"/>
                    <w:left w:val="single" w:sz="4" w:space="0" w:color="auto"/>
                    <w:bottom w:val="single" w:sz="4" w:space="0" w:color="auto"/>
                    <w:right w:val="single" w:sz="4" w:space="0" w:color="auto"/>
                  </w:tcBorders>
                </w:tcPr>
                <w:p w:rsidR="00F76491" w:rsidRPr="00D62AA8" w:rsidRDefault="00F76491" w:rsidP="00F76491">
                  <w:pPr>
                    <w:jc w:val="center"/>
                    <w:rPr>
                      <w:b/>
                      <w:i/>
                      <w:sz w:val="22"/>
                      <w:szCs w:val="22"/>
                      <w:highlight w:val="yellow"/>
                      <w:lang w:eastAsia="en-US"/>
                    </w:rPr>
                  </w:pPr>
                  <w:r w:rsidRPr="00F76491">
                    <w:rPr>
                      <w:rFonts w:ascii="Vrinda" w:hAnsi="Vrinda" w:cs="Vrinda"/>
                      <w:i/>
                      <w:sz w:val="22"/>
                      <w:szCs w:val="22"/>
                      <w:lang w:eastAsia="en-US"/>
                    </w:rPr>
                    <w:t>-</w:t>
                  </w:r>
                </w:p>
              </w:tc>
            </w:tr>
          </w:tbl>
          <w:p w:rsidR="00EF5E03" w:rsidRPr="00524381" w:rsidRDefault="00EF5E03" w:rsidP="003420B8">
            <w:pPr>
              <w:rPr>
                <w:i/>
                <w:sz w:val="22"/>
                <w:szCs w:val="22"/>
                <w:lang w:eastAsia="en-US"/>
              </w:rPr>
            </w:pPr>
          </w:p>
        </w:tc>
      </w:tr>
      <w:tr w:rsidR="00EF5E03" w:rsidRPr="003C289B" w:rsidTr="001E43DA">
        <w:tc>
          <w:tcPr>
            <w:tcW w:w="9209" w:type="dxa"/>
            <w:shd w:val="clear" w:color="auto" w:fill="D9D9D9"/>
          </w:tcPr>
          <w:p w:rsidR="00EF5E03" w:rsidRPr="00524381" w:rsidRDefault="00EF5E03" w:rsidP="003420B8">
            <w:pPr>
              <w:rPr>
                <w:b/>
                <w:szCs w:val="22"/>
                <w:lang w:eastAsia="en-US"/>
              </w:rPr>
            </w:pPr>
            <w:r w:rsidRPr="00524381">
              <w:rPr>
                <w:b/>
                <w:szCs w:val="22"/>
                <w:lang w:eastAsia="en-US"/>
              </w:rPr>
              <w:t>3.4 Konkurencieschopnosť a správanie sa podnikov na trhu</w:t>
            </w:r>
          </w:p>
          <w:p w:rsidR="00EF5E03" w:rsidRPr="00524381" w:rsidRDefault="00EF5E03" w:rsidP="003420B8">
            <w:pPr>
              <w:rPr>
                <w:sz w:val="22"/>
                <w:szCs w:val="22"/>
                <w:lang w:eastAsia="en-US"/>
              </w:rPr>
            </w:pPr>
            <w:r w:rsidRPr="00524381">
              <w:rPr>
                <w:b/>
                <w:szCs w:val="22"/>
                <w:lang w:eastAsia="en-US"/>
              </w:rPr>
              <w:t xml:space="preserve">       </w:t>
            </w:r>
            <w:r w:rsidRPr="00524381">
              <w:rPr>
                <w:szCs w:val="22"/>
                <w:lang w:eastAsia="en-US"/>
              </w:rPr>
              <w:t xml:space="preserve">- </w:t>
            </w:r>
            <w:r w:rsidRPr="00524381">
              <w:rPr>
                <w:b/>
                <w:szCs w:val="22"/>
                <w:lang w:eastAsia="en-US"/>
              </w:rPr>
              <w:t>z toho MSP</w:t>
            </w:r>
          </w:p>
        </w:tc>
      </w:tr>
      <w:tr w:rsidR="00EF5E03" w:rsidRPr="00524381" w:rsidTr="001E43DA">
        <w:tc>
          <w:tcPr>
            <w:tcW w:w="9209" w:type="dxa"/>
          </w:tcPr>
          <w:p w:rsidR="00EF5E03" w:rsidRPr="00524381" w:rsidRDefault="00EF5E03" w:rsidP="003420B8">
            <w:pPr>
              <w:jc w:val="both"/>
              <w:rPr>
                <w:i/>
                <w:sz w:val="22"/>
                <w:szCs w:val="22"/>
                <w:lang w:eastAsia="en-US"/>
              </w:rPr>
            </w:pPr>
            <w:r w:rsidRPr="00524381">
              <w:rPr>
                <w:i/>
                <w:sz w:val="22"/>
                <w:szCs w:val="22"/>
                <w:lang w:eastAsia="en-US"/>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524381">
              <w:rPr>
                <w:i/>
                <w:sz w:val="22"/>
                <w:szCs w:val="22"/>
                <w:lang w:eastAsia="en-US"/>
              </w:rPr>
              <w:t>mikro</w:t>
            </w:r>
            <w:proofErr w:type="spellEnd"/>
            <w:r w:rsidRPr="00524381">
              <w:rPr>
                <w:i/>
                <w:sz w:val="22"/>
                <w:szCs w:val="22"/>
                <w:lang w:eastAsia="en-US"/>
              </w:rPr>
              <w:t>, malé a stredné podniky tzv. MSP)? Ak áno, popíšte.</w:t>
            </w:r>
          </w:p>
          <w:p w:rsidR="00EF5E03" w:rsidRPr="00524381" w:rsidRDefault="00EF5E03" w:rsidP="003420B8">
            <w:pPr>
              <w:jc w:val="both"/>
              <w:rPr>
                <w:i/>
                <w:sz w:val="22"/>
                <w:szCs w:val="22"/>
                <w:lang w:eastAsia="en-US"/>
              </w:rPr>
            </w:pPr>
            <w:r w:rsidRPr="00524381">
              <w:rPr>
                <w:i/>
                <w:sz w:val="22"/>
                <w:szCs w:val="22"/>
                <w:lang w:eastAsia="en-US"/>
              </w:rPr>
              <w:t>Aký vplyv bude mať navrhovaná zmena na obchodné bariéry? Bude mať vplyv na vyvolanie cezhraničných investícií (príliv /odliv zahraničných investícií resp. uplatnenie slovenských podnikov na zahraničných trhoch)? Ak áno, popíšte.</w:t>
            </w:r>
          </w:p>
          <w:p w:rsidR="00EF5E03" w:rsidRPr="00524381" w:rsidRDefault="00EF5E03" w:rsidP="003420B8">
            <w:pPr>
              <w:jc w:val="both"/>
              <w:rPr>
                <w:i/>
                <w:sz w:val="22"/>
                <w:szCs w:val="22"/>
                <w:lang w:eastAsia="en-US"/>
              </w:rPr>
            </w:pPr>
            <w:r w:rsidRPr="00524381">
              <w:rPr>
                <w:i/>
                <w:sz w:val="22"/>
                <w:szCs w:val="22"/>
                <w:lang w:eastAsia="en-US"/>
              </w:rPr>
              <w:t>Ako ovplyvní cenu alebo dostupnosť základných zdrojov (suroviny, mechanizmy, pracovná sila, energie atď.)?</w:t>
            </w:r>
          </w:p>
          <w:p w:rsidR="00EF5E03" w:rsidRPr="00524381" w:rsidRDefault="00EF5E03" w:rsidP="003420B8">
            <w:pPr>
              <w:jc w:val="both"/>
              <w:rPr>
                <w:i/>
                <w:sz w:val="22"/>
                <w:szCs w:val="22"/>
                <w:lang w:eastAsia="en-US"/>
              </w:rPr>
            </w:pPr>
            <w:r w:rsidRPr="00524381">
              <w:rPr>
                <w:i/>
                <w:sz w:val="22"/>
                <w:szCs w:val="22"/>
                <w:lang w:eastAsia="en-US"/>
              </w:rPr>
              <w:t>Ovplyvňuje prístup k financiám? Ak áno, ako?</w:t>
            </w:r>
          </w:p>
        </w:tc>
      </w:tr>
      <w:tr w:rsidR="00EF5E03" w:rsidRPr="003C289B" w:rsidTr="001E43DA">
        <w:trPr>
          <w:trHeight w:val="522"/>
        </w:trPr>
        <w:tc>
          <w:tcPr>
            <w:tcW w:w="9209" w:type="dxa"/>
          </w:tcPr>
          <w:p w:rsidR="00EF5E03" w:rsidRPr="00524381" w:rsidRDefault="00EF5E03" w:rsidP="003420B8">
            <w:pPr>
              <w:jc w:val="both"/>
              <w:rPr>
                <w:sz w:val="20"/>
                <w:szCs w:val="20"/>
                <w:lang w:eastAsia="en-US"/>
              </w:rPr>
            </w:pPr>
          </w:p>
          <w:p w:rsidR="00EF5E03" w:rsidRPr="00524381" w:rsidRDefault="00EF5E03" w:rsidP="003420B8">
            <w:pPr>
              <w:jc w:val="both"/>
              <w:rPr>
                <w:sz w:val="20"/>
                <w:szCs w:val="20"/>
                <w:lang w:eastAsia="en-US"/>
              </w:rPr>
            </w:pPr>
            <w:r w:rsidRPr="00524381">
              <w:rPr>
                <w:sz w:val="20"/>
                <w:szCs w:val="20"/>
                <w:lang w:eastAsia="en-US"/>
              </w:rPr>
              <w:t>Nepredpokladá sa vplyv navrhovaných zmien na konkurencieschopnosť a správanie podnikov na trhu.</w:t>
            </w:r>
          </w:p>
          <w:p w:rsidR="00EF5E03" w:rsidRPr="00524381" w:rsidRDefault="00EF5E03" w:rsidP="003420B8">
            <w:pPr>
              <w:jc w:val="both"/>
              <w:rPr>
                <w:sz w:val="20"/>
                <w:szCs w:val="20"/>
                <w:lang w:eastAsia="en-US"/>
              </w:rPr>
            </w:pPr>
          </w:p>
        </w:tc>
      </w:tr>
      <w:tr w:rsidR="00EF5E03" w:rsidRPr="00524381" w:rsidTr="001E43DA">
        <w:tc>
          <w:tcPr>
            <w:tcW w:w="9209" w:type="dxa"/>
            <w:shd w:val="clear" w:color="auto" w:fill="D9D9D9"/>
          </w:tcPr>
          <w:p w:rsidR="00EF5E03" w:rsidRPr="00524381" w:rsidRDefault="00EF5E03" w:rsidP="003420B8">
            <w:pPr>
              <w:rPr>
                <w:b/>
                <w:szCs w:val="22"/>
                <w:lang w:eastAsia="en-US"/>
              </w:rPr>
            </w:pPr>
            <w:r w:rsidRPr="00524381">
              <w:rPr>
                <w:b/>
                <w:szCs w:val="22"/>
                <w:lang w:eastAsia="en-US"/>
              </w:rPr>
              <w:t xml:space="preserve">3.5 Inovácie </w:t>
            </w:r>
          </w:p>
          <w:p w:rsidR="00EF5E03" w:rsidRPr="00524381" w:rsidRDefault="00EF5E03" w:rsidP="003420B8">
            <w:pPr>
              <w:rPr>
                <w:b/>
                <w:sz w:val="22"/>
                <w:szCs w:val="22"/>
                <w:lang w:eastAsia="en-US"/>
              </w:rPr>
            </w:pPr>
            <w:r w:rsidRPr="00524381">
              <w:rPr>
                <w:szCs w:val="22"/>
                <w:lang w:eastAsia="en-US"/>
              </w:rPr>
              <w:t xml:space="preserve">       - </w:t>
            </w:r>
            <w:r w:rsidRPr="00524381">
              <w:rPr>
                <w:b/>
                <w:szCs w:val="22"/>
                <w:lang w:eastAsia="en-US"/>
              </w:rPr>
              <w:t>z toho MSP</w:t>
            </w:r>
          </w:p>
        </w:tc>
      </w:tr>
      <w:tr w:rsidR="00EF5E03" w:rsidRPr="003C289B" w:rsidTr="001E43DA">
        <w:tc>
          <w:tcPr>
            <w:tcW w:w="9209" w:type="dxa"/>
          </w:tcPr>
          <w:p w:rsidR="00EF5E03" w:rsidRPr="00524381" w:rsidRDefault="00EF5E03" w:rsidP="003420B8">
            <w:pPr>
              <w:jc w:val="both"/>
              <w:rPr>
                <w:i/>
                <w:sz w:val="22"/>
                <w:szCs w:val="22"/>
                <w:lang w:eastAsia="en-US"/>
              </w:rPr>
            </w:pPr>
            <w:r w:rsidRPr="00524381">
              <w:rPr>
                <w:i/>
                <w:sz w:val="22"/>
                <w:szCs w:val="22"/>
                <w:lang w:eastAsia="en-US"/>
              </w:rPr>
              <w:t>Uveďte, ako podporuje navrhovaná zmena inovácie.</w:t>
            </w:r>
          </w:p>
          <w:p w:rsidR="00EF5E03" w:rsidRPr="00524381" w:rsidRDefault="00EF5E03" w:rsidP="003420B8">
            <w:pPr>
              <w:jc w:val="both"/>
              <w:rPr>
                <w:i/>
                <w:sz w:val="22"/>
                <w:szCs w:val="22"/>
                <w:lang w:eastAsia="en-US"/>
              </w:rPr>
            </w:pPr>
            <w:r w:rsidRPr="00524381">
              <w:rPr>
                <w:i/>
                <w:sz w:val="22"/>
                <w:szCs w:val="22"/>
                <w:lang w:eastAsia="en-US"/>
              </w:rPr>
              <w:t>Zjednodušuje uvedenie alebo rozšírenie nových výrobných metód, technológií a výrobkov na trh?</w:t>
            </w:r>
          </w:p>
          <w:p w:rsidR="00EF5E03" w:rsidRPr="00524381" w:rsidRDefault="00EF5E03" w:rsidP="003420B8">
            <w:pPr>
              <w:jc w:val="both"/>
              <w:rPr>
                <w:i/>
                <w:sz w:val="22"/>
                <w:szCs w:val="22"/>
                <w:lang w:eastAsia="en-US"/>
              </w:rPr>
            </w:pPr>
            <w:r w:rsidRPr="00524381">
              <w:rPr>
                <w:i/>
                <w:sz w:val="22"/>
                <w:szCs w:val="22"/>
                <w:lang w:eastAsia="en-US"/>
              </w:rPr>
              <w:t>Uveďte, ako vplýva navrhovaná zmena na jednotlivé práva duševného vlastníctva (napr. patenty, ochranné známky, autorské práva, vlastníctvo know-how).</w:t>
            </w:r>
          </w:p>
          <w:p w:rsidR="00EF5E03" w:rsidRPr="00524381" w:rsidRDefault="00EF5E03" w:rsidP="003420B8">
            <w:pPr>
              <w:jc w:val="both"/>
              <w:rPr>
                <w:i/>
                <w:sz w:val="22"/>
                <w:szCs w:val="22"/>
                <w:lang w:eastAsia="en-US"/>
              </w:rPr>
            </w:pPr>
            <w:r w:rsidRPr="00524381">
              <w:rPr>
                <w:i/>
                <w:sz w:val="22"/>
                <w:szCs w:val="22"/>
                <w:lang w:eastAsia="en-US"/>
              </w:rPr>
              <w:t>Podporuje vyššiu efektivitu výroby/využívania zdrojov? Ak áno, ako?</w:t>
            </w:r>
          </w:p>
          <w:p w:rsidR="00EF5E03" w:rsidRPr="00524381" w:rsidRDefault="00EF5E03" w:rsidP="003420B8">
            <w:pPr>
              <w:jc w:val="both"/>
              <w:rPr>
                <w:sz w:val="22"/>
                <w:szCs w:val="22"/>
                <w:lang w:eastAsia="en-US"/>
              </w:rPr>
            </w:pPr>
            <w:r w:rsidRPr="00524381">
              <w:rPr>
                <w:i/>
                <w:sz w:val="22"/>
                <w:szCs w:val="22"/>
                <w:lang w:eastAsia="en-US"/>
              </w:rPr>
              <w:t>Vytvorí zmena nové pracovné miesta pre zamestnancov výskumu a vývoja v SR?</w:t>
            </w:r>
          </w:p>
        </w:tc>
      </w:tr>
      <w:tr w:rsidR="00EF5E03" w:rsidRPr="003C289B" w:rsidTr="001E43DA">
        <w:trPr>
          <w:trHeight w:val="586"/>
        </w:trPr>
        <w:tc>
          <w:tcPr>
            <w:tcW w:w="9209" w:type="dxa"/>
          </w:tcPr>
          <w:p w:rsidR="00EF5E03" w:rsidRPr="00524381" w:rsidRDefault="00EF5E03" w:rsidP="003420B8">
            <w:pPr>
              <w:rPr>
                <w:sz w:val="20"/>
                <w:szCs w:val="20"/>
                <w:lang w:eastAsia="en-US"/>
              </w:rPr>
            </w:pPr>
          </w:p>
          <w:p w:rsidR="00EF5E03" w:rsidRPr="00524381" w:rsidRDefault="00EF5E03" w:rsidP="003420B8">
            <w:pPr>
              <w:rPr>
                <w:sz w:val="20"/>
                <w:szCs w:val="20"/>
                <w:lang w:eastAsia="en-US"/>
              </w:rPr>
            </w:pPr>
            <w:r w:rsidRPr="00524381">
              <w:rPr>
                <w:sz w:val="20"/>
                <w:szCs w:val="20"/>
                <w:lang w:eastAsia="en-US"/>
              </w:rPr>
              <w:t>Navrhovaná zmena nemá vplyv na inovácie.</w:t>
            </w:r>
          </w:p>
          <w:p w:rsidR="00EF5E03" w:rsidRPr="00524381" w:rsidRDefault="00EF5E03" w:rsidP="003420B8">
            <w:pPr>
              <w:rPr>
                <w:sz w:val="20"/>
                <w:szCs w:val="20"/>
                <w:lang w:eastAsia="en-US"/>
              </w:rPr>
            </w:pPr>
          </w:p>
        </w:tc>
      </w:tr>
    </w:tbl>
    <w:p w:rsidR="00EF5E03" w:rsidRDefault="00EF5E03" w:rsidP="00EF5E03">
      <w:pPr>
        <w:jc w:val="both"/>
        <w:rPr>
          <w:bCs/>
          <w:sz w:val="20"/>
          <w:szCs w:val="20"/>
        </w:rPr>
      </w:pPr>
    </w:p>
    <w:p w:rsidR="006A2F33" w:rsidRDefault="006A2F33" w:rsidP="00EF5E03">
      <w:pPr>
        <w:jc w:val="both"/>
        <w:rPr>
          <w:bCs/>
          <w:sz w:val="20"/>
          <w:szCs w:val="20"/>
        </w:rPr>
      </w:pPr>
    </w:p>
    <w:p w:rsidR="00F76491" w:rsidRPr="00F76491" w:rsidRDefault="00F76491" w:rsidP="00F76491">
      <w:pPr>
        <w:pStyle w:val="Nzov"/>
        <w:rPr>
          <w:rFonts w:ascii="Times New Roman" w:hAnsi="Times New Roman" w:cs="Times New Roman"/>
          <w:noProof/>
        </w:rPr>
      </w:pPr>
      <w:r w:rsidRPr="00F76491">
        <w:rPr>
          <w:rFonts w:ascii="Times New Roman" w:hAnsi="Times New Roman" w:cs="Times New Roman"/>
          <w:noProof/>
        </w:rPr>
        <w:lastRenderedPageBreak/>
        <w:t>DOLOŽKA  ZLUČITEĽNOSTI</w:t>
      </w:r>
    </w:p>
    <w:p w:rsidR="00F76491" w:rsidRPr="00F76491" w:rsidRDefault="00F76491" w:rsidP="00F76491">
      <w:pPr>
        <w:jc w:val="center"/>
        <w:rPr>
          <w:b/>
          <w:noProof/>
        </w:rPr>
      </w:pPr>
      <w:r w:rsidRPr="00F76491">
        <w:rPr>
          <w:b/>
          <w:noProof/>
        </w:rPr>
        <w:t xml:space="preserve">návrhu zákona </w:t>
      </w:r>
      <w:r w:rsidRPr="00F76491">
        <w:rPr>
          <w:b/>
          <w:bCs/>
          <w:noProof/>
        </w:rPr>
        <w:t>s právom Európskej únie</w:t>
      </w:r>
    </w:p>
    <w:p w:rsidR="00F76491" w:rsidRPr="00F76491" w:rsidRDefault="00F76491" w:rsidP="00F76491">
      <w:pPr>
        <w:pBdr>
          <w:bottom w:val="single" w:sz="12" w:space="1" w:color="auto"/>
        </w:pBdr>
        <w:jc w:val="center"/>
        <w:rPr>
          <w:noProof/>
        </w:rPr>
      </w:pPr>
    </w:p>
    <w:p w:rsidR="00F76491" w:rsidRPr="00FE3DEA" w:rsidRDefault="00F76491" w:rsidP="00F76491">
      <w:pPr>
        <w:pStyle w:val="Zkladntext1"/>
        <w:tabs>
          <w:tab w:val="left" w:pos="284"/>
        </w:tabs>
        <w:rPr>
          <w:bCs/>
          <w:noProof/>
          <w:sz w:val="24"/>
          <w:szCs w:val="24"/>
        </w:rPr>
      </w:pPr>
    </w:p>
    <w:p w:rsidR="00F76491" w:rsidRPr="00F76491" w:rsidRDefault="00F76491" w:rsidP="00F76491">
      <w:pPr>
        <w:pStyle w:val="Zkladntext1"/>
        <w:tabs>
          <w:tab w:val="left" w:pos="284"/>
        </w:tabs>
        <w:rPr>
          <w:b/>
          <w:bCs/>
          <w:noProof/>
          <w:sz w:val="24"/>
          <w:szCs w:val="24"/>
        </w:rPr>
      </w:pPr>
      <w:r w:rsidRPr="00FE3DEA">
        <w:rPr>
          <w:b/>
          <w:bCs/>
          <w:noProof/>
          <w:sz w:val="24"/>
          <w:szCs w:val="24"/>
        </w:rPr>
        <w:t>1.</w:t>
      </w:r>
      <w:r w:rsidRPr="00FE3DEA">
        <w:rPr>
          <w:b/>
          <w:bCs/>
          <w:noProof/>
          <w:sz w:val="24"/>
          <w:szCs w:val="24"/>
        </w:rPr>
        <w:tab/>
      </w:r>
      <w:r w:rsidRPr="00F76491">
        <w:rPr>
          <w:b/>
          <w:bCs/>
          <w:noProof/>
          <w:sz w:val="24"/>
          <w:szCs w:val="24"/>
        </w:rPr>
        <w:t>Navrhovatelia zákona:</w:t>
      </w:r>
    </w:p>
    <w:p w:rsidR="00F76491" w:rsidRPr="00FE3DEA" w:rsidRDefault="00F76491" w:rsidP="00CF4A98">
      <w:pPr>
        <w:ind w:left="284"/>
        <w:jc w:val="both"/>
      </w:pPr>
      <w:r w:rsidRPr="00CF4A98">
        <w:t xml:space="preserve">Poslanci Národnej rady Slovenskej republiky </w:t>
      </w:r>
      <w:r w:rsidR="00CF4A98">
        <w:t xml:space="preserve">Peter KREMSKÝ, </w:t>
      </w:r>
      <w:r w:rsidR="0090697F">
        <w:t>Marián VISKUPIČ</w:t>
      </w:r>
      <w:r w:rsidR="00CF4A98">
        <w:t>, Ľuboš KRAJČÍR, Tomáš LEHOTSKÝ a Marek KRAJČÍ</w:t>
      </w:r>
    </w:p>
    <w:p w:rsidR="00F76491" w:rsidRPr="00FE3DEA" w:rsidRDefault="00F76491" w:rsidP="00F76491">
      <w:pPr>
        <w:pStyle w:val="Zkladntext1"/>
        <w:numPr>
          <w:ilvl w:val="0"/>
          <w:numId w:val="14"/>
        </w:numPr>
        <w:tabs>
          <w:tab w:val="clear" w:pos="360"/>
          <w:tab w:val="left" w:pos="284"/>
        </w:tabs>
        <w:ind w:left="0" w:firstLine="0"/>
        <w:jc w:val="both"/>
        <w:rPr>
          <w:b/>
          <w:bCs/>
          <w:noProof/>
          <w:sz w:val="24"/>
          <w:szCs w:val="24"/>
        </w:rPr>
      </w:pPr>
      <w:r w:rsidRPr="00FE3DEA">
        <w:rPr>
          <w:b/>
          <w:bCs/>
          <w:noProof/>
          <w:sz w:val="24"/>
          <w:szCs w:val="24"/>
        </w:rPr>
        <w:t>Názov návrhu zákona:</w:t>
      </w:r>
    </w:p>
    <w:p w:rsidR="00F76491" w:rsidRDefault="00F76491" w:rsidP="00F76491">
      <w:pPr>
        <w:ind w:left="284"/>
        <w:jc w:val="both"/>
        <w:rPr>
          <w:bCs/>
          <w:noProof/>
        </w:rPr>
      </w:pPr>
      <w:r w:rsidRPr="00FE3DEA">
        <w:rPr>
          <w:noProof/>
        </w:rPr>
        <w:t xml:space="preserve">Návrh zákona, ktorým sa mení a dopĺňa zákon </w:t>
      </w:r>
      <w:r w:rsidRPr="00FE3DEA">
        <w:rPr>
          <w:bCs/>
          <w:noProof/>
        </w:rPr>
        <w:t>č. 98/2004 Z. z. o spotrebnej dani z minerálneho ole</w:t>
      </w:r>
      <w:r>
        <w:rPr>
          <w:bCs/>
          <w:noProof/>
        </w:rPr>
        <w:t>ja v znení neskorších predpisov</w:t>
      </w:r>
    </w:p>
    <w:p w:rsidR="00F76491" w:rsidRPr="00FE3DEA" w:rsidRDefault="00F76491" w:rsidP="00F76491">
      <w:pPr>
        <w:jc w:val="both"/>
        <w:rPr>
          <w:noProof/>
        </w:rPr>
      </w:pPr>
    </w:p>
    <w:p w:rsidR="00F76491" w:rsidRPr="00F76491" w:rsidRDefault="00F76491" w:rsidP="00F76491">
      <w:pPr>
        <w:pStyle w:val="Zkladntext1"/>
        <w:numPr>
          <w:ilvl w:val="0"/>
          <w:numId w:val="14"/>
        </w:numPr>
        <w:tabs>
          <w:tab w:val="clear" w:pos="360"/>
          <w:tab w:val="left" w:pos="284"/>
        </w:tabs>
        <w:ind w:left="0" w:firstLine="0"/>
        <w:jc w:val="both"/>
        <w:rPr>
          <w:b/>
          <w:bCs/>
          <w:noProof/>
          <w:sz w:val="24"/>
          <w:szCs w:val="24"/>
        </w:rPr>
      </w:pPr>
      <w:r w:rsidRPr="00F76491">
        <w:rPr>
          <w:b/>
          <w:bCs/>
          <w:noProof/>
          <w:sz w:val="24"/>
          <w:szCs w:val="24"/>
        </w:rPr>
        <w:t xml:space="preserve">Predmet návrhu zákona </w:t>
      </w:r>
      <w:r w:rsidRPr="00F76491">
        <w:rPr>
          <w:b/>
          <w:noProof/>
          <w:sz w:val="24"/>
          <w:szCs w:val="24"/>
        </w:rPr>
        <w:t>je upravený v práve Európskej únie:</w:t>
      </w:r>
    </w:p>
    <w:p w:rsidR="00F76491" w:rsidRPr="00F76491" w:rsidRDefault="00F76491" w:rsidP="00F76491">
      <w:pPr>
        <w:pStyle w:val="Zkladntext1"/>
        <w:numPr>
          <w:ilvl w:val="0"/>
          <w:numId w:val="16"/>
        </w:numPr>
        <w:ind w:left="641" w:hanging="357"/>
        <w:rPr>
          <w:b/>
          <w:noProof/>
          <w:sz w:val="24"/>
          <w:szCs w:val="24"/>
        </w:rPr>
      </w:pPr>
      <w:r w:rsidRPr="00F76491">
        <w:rPr>
          <w:b/>
          <w:noProof/>
          <w:sz w:val="24"/>
          <w:szCs w:val="24"/>
        </w:rPr>
        <w:t>Primárne právo:</w:t>
      </w:r>
    </w:p>
    <w:p w:rsidR="00F76491" w:rsidRPr="00F76491" w:rsidRDefault="00F76491" w:rsidP="00F76491">
      <w:pPr>
        <w:pStyle w:val="Zkladntext1"/>
        <w:numPr>
          <w:ilvl w:val="0"/>
          <w:numId w:val="13"/>
        </w:numPr>
        <w:ind w:left="658" w:hanging="357"/>
        <w:rPr>
          <w:noProof/>
          <w:sz w:val="24"/>
          <w:szCs w:val="24"/>
        </w:rPr>
      </w:pPr>
      <w:r w:rsidRPr="00F76491">
        <w:rPr>
          <w:noProof/>
          <w:sz w:val="24"/>
          <w:szCs w:val="24"/>
        </w:rPr>
        <w:t xml:space="preserve">čl. 52 Zmluvy o Európskej únii </w:t>
      </w:r>
      <w:r w:rsidRPr="00F76491">
        <w:rPr>
          <w:color w:val="auto"/>
          <w:sz w:val="24"/>
          <w:szCs w:val="24"/>
        </w:rPr>
        <w:t>(</w:t>
      </w:r>
      <w:r w:rsidRPr="00F76491">
        <w:rPr>
          <w:rStyle w:val="awspan1"/>
          <w:color w:val="auto"/>
        </w:rPr>
        <w:t>Ú. v. EÚ C 202, 7.6.2016) v platnom znení</w:t>
      </w:r>
      <w:r w:rsidRPr="00F76491">
        <w:rPr>
          <w:noProof/>
          <w:sz w:val="24"/>
          <w:szCs w:val="24"/>
        </w:rPr>
        <w:t>,</w:t>
      </w:r>
    </w:p>
    <w:p w:rsidR="00F76491" w:rsidRPr="00F76491" w:rsidRDefault="00F76491" w:rsidP="00F76491">
      <w:pPr>
        <w:pStyle w:val="Zkladntext1"/>
        <w:numPr>
          <w:ilvl w:val="0"/>
          <w:numId w:val="13"/>
        </w:numPr>
        <w:ind w:left="658" w:hanging="357"/>
        <w:jc w:val="both"/>
        <w:rPr>
          <w:noProof/>
          <w:sz w:val="24"/>
          <w:szCs w:val="24"/>
        </w:rPr>
      </w:pPr>
      <w:r w:rsidRPr="00F76491">
        <w:rPr>
          <w:noProof/>
          <w:sz w:val="24"/>
          <w:szCs w:val="24"/>
        </w:rPr>
        <w:t xml:space="preserve">čl. 110 až 113 a čl. 355 Zmluvy o fungovaní Európskej únie </w:t>
      </w:r>
      <w:r w:rsidRPr="00F76491">
        <w:rPr>
          <w:color w:val="auto"/>
          <w:sz w:val="24"/>
          <w:szCs w:val="24"/>
        </w:rPr>
        <w:t>(</w:t>
      </w:r>
      <w:r w:rsidRPr="00F76491">
        <w:rPr>
          <w:rStyle w:val="awspan1"/>
          <w:color w:val="auto"/>
        </w:rPr>
        <w:t>Ú. v. EÚ C 202, 7.6.2016) v platnom znení</w:t>
      </w:r>
      <w:r w:rsidRPr="00F76491">
        <w:rPr>
          <w:noProof/>
          <w:sz w:val="24"/>
          <w:szCs w:val="24"/>
        </w:rPr>
        <w:t>.</w:t>
      </w:r>
    </w:p>
    <w:p w:rsidR="00F76491" w:rsidRPr="00F76491" w:rsidRDefault="00F76491" w:rsidP="00F76491">
      <w:pPr>
        <w:pStyle w:val="Zkladntext1"/>
        <w:jc w:val="both"/>
        <w:rPr>
          <w:noProof/>
          <w:sz w:val="24"/>
          <w:szCs w:val="24"/>
        </w:rPr>
      </w:pPr>
    </w:p>
    <w:p w:rsidR="00F76491" w:rsidRPr="00F76491" w:rsidRDefault="00F76491" w:rsidP="00F76491">
      <w:pPr>
        <w:pStyle w:val="Odsekzoznamu"/>
        <w:widowControl w:val="0"/>
        <w:numPr>
          <w:ilvl w:val="0"/>
          <w:numId w:val="16"/>
        </w:numPr>
        <w:autoSpaceDE w:val="0"/>
        <w:autoSpaceDN w:val="0"/>
        <w:adjustRightInd w:val="0"/>
        <w:spacing w:after="0" w:line="240" w:lineRule="auto"/>
        <w:jc w:val="both"/>
        <w:rPr>
          <w:noProof/>
        </w:rPr>
      </w:pPr>
      <w:r w:rsidRPr="00F76491">
        <w:rPr>
          <w:b/>
          <w:noProof/>
        </w:rPr>
        <w:t>Sekundárne právo:</w:t>
      </w:r>
    </w:p>
    <w:p w:rsidR="00F76491" w:rsidRPr="00F76491" w:rsidRDefault="00F76491" w:rsidP="00F76491">
      <w:pPr>
        <w:numPr>
          <w:ilvl w:val="0"/>
          <w:numId w:val="13"/>
        </w:numPr>
        <w:ind w:left="658" w:hanging="357"/>
        <w:jc w:val="both"/>
        <w:rPr>
          <w:rStyle w:val="Zvraznenie"/>
          <w:rFonts w:eastAsiaTheme="majorEastAsia"/>
          <w:i w:val="0"/>
          <w:noProof/>
        </w:rPr>
      </w:pPr>
      <w:r w:rsidRPr="00F76491">
        <w:rPr>
          <w:bCs/>
        </w:rPr>
        <w:t xml:space="preserve">smernica Rady (EÚ) </w:t>
      </w:r>
      <w:r w:rsidRPr="00F76491">
        <w:rPr>
          <w:bCs/>
          <w:u w:val="single"/>
        </w:rPr>
        <w:t>2020/262</w:t>
      </w:r>
      <w:r w:rsidRPr="00F76491">
        <w:rPr>
          <w:bCs/>
        </w:rPr>
        <w:t xml:space="preserve"> z 19. decembra 2019, ktorou sa ustanovuje všeobecný systém spotrebných daní (prepracované znenie) </w:t>
      </w:r>
      <w:r w:rsidRPr="00F76491">
        <w:rPr>
          <w:iCs/>
          <w:shd w:val="clear" w:color="auto" w:fill="FFFFFF"/>
        </w:rPr>
        <w:t>Ú. v. EÚ L 58, 27.2.2020)</w:t>
      </w:r>
      <w:r w:rsidRPr="00F76491">
        <w:rPr>
          <w:rStyle w:val="Zvraznenie"/>
          <w:rFonts w:eastAsiaTheme="majorEastAsia"/>
        </w:rPr>
        <w:t xml:space="preserve">, </w:t>
      </w:r>
      <w:r w:rsidRPr="00F76491">
        <w:rPr>
          <w:rStyle w:val="Zvraznenie"/>
          <w:rFonts w:eastAsiaTheme="majorEastAsia"/>
          <w:i w:val="0"/>
        </w:rPr>
        <w:t>gestor: MF SR,</w:t>
      </w:r>
    </w:p>
    <w:p w:rsidR="00F76491" w:rsidRPr="00F76491" w:rsidRDefault="00F76491" w:rsidP="00F76491">
      <w:pPr>
        <w:numPr>
          <w:ilvl w:val="0"/>
          <w:numId w:val="13"/>
        </w:numPr>
        <w:ind w:left="658" w:hanging="357"/>
        <w:jc w:val="both"/>
        <w:rPr>
          <w:i/>
          <w:noProof/>
        </w:rPr>
      </w:pPr>
      <w:r w:rsidRPr="00F76491">
        <w:t xml:space="preserve">smernica Rady </w:t>
      </w:r>
      <w:r w:rsidRPr="00F76491">
        <w:rPr>
          <w:u w:val="single"/>
        </w:rPr>
        <w:t>2008/118/ES</w:t>
      </w:r>
      <w:r w:rsidRPr="00F76491">
        <w:t xml:space="preserve"> zo 16.decembra 2008 o všeobecnom systéme spotrebných daní a o zrušení smernice 92/12/EHS (Ú. v. EÚ L 9, 14.1.2009) v platnom znení, gestor: MF SR,</w:t>
      </w:r>
    </w:p>
    <w:p w:rsidR="00F76491" w:rsidRPr="00F76491" w:rsidRDefault="00F76491" w:rsidP="00F76491">
      <w:pPr>
        <w:numPr>
          <w:ilvl w:val="0"/>
          <w:numId w:val="13"/>
        </w:numPr>
        <w:ind w:left="658" w:hanging="357"/>
        <w:jc w:val="both"/>
        <w:rPr>
          <w:rStyle w:val="Zvraznenie"/>
          <w:rFonts w:eastAsiaTheme="majorEastAsia"/>
          <w:noProof/>
        </w:rPr>
      </w:pPr>
      <w:r w:rsidRPr="00F76491">
        <w:rPr>
          <w:noProof/>
        </w:rPr>
        <w:t xml:space="preserve">smernica Rady </w:t>
      </w:r>
      <w:r w:rsidRPr="00F76491">
        <w:rPr>
          <w:noProof/>
          <w:u w:val="single"/>
        </w:rPr>
        <w:t>2003/96/ES</w:t>
      </w:r>
      <w:r w:rsidRPr="00F76491">
        <w:rPr>
          <w:noProof/>
        </w:rPr>
        <w:t xml:space="preserve"> z 27. októbra 2003 o reštrukturalizácii právneho rámca spoločenstva pre zdaňovanie energetických výrobkov a elektriny (Ú. v. ES L 283 31.10.2003; </w:t>
      </w:r>
      <w:r w:rsidRPr="00F76491">
        <w:rPr>
          <w:rStyle w:val="Zvraznenie"/>
          <w:rFonts w:eastAsiaTheme="majorEastAsia"/>
          <w:i w:val="0"/>
          <w:iCs/>
          <w:noProof/>
        </w:rPr>
        <w:t>Mimoriadne vydanie Ú.v. EÚ kap. 9/zv. 1)</w:t>
      </w:r>
      <w:r w:rsidRPr="00F76491">
        <w:rPr>
          <w:rStyle w:val="Zvraznenie"/>
          <w:rFonts w:eastAsiaTheme="majorEastAsia"/>
          <w:iCs/>
          <w:noProof/>
        </w:rPr>
        <w:t xml:space="preserve"> </w:t>
      </w:r>
      <w:r w:rsidRPr="00F76491">
        <w:rPr>
          <w:noProof/>
        </w:rPr>
        <w:t>v platnom znení</w:t>
      </w:r>
      <w:r w:rsidRPr="00F76491">
        <w:rPr>
          <w:rStyle w:val="Zvraznenie"/>
          <w:rFonts w:eastAsiaTheme="majorEastAsia"/>
          <w:iCs/>
          <w:noProof/>
        </w:rPr>
        <w:t xml:space="preserve">, </w:t>
      </w:r>
      <w:r w:rsidRPr="00F76491">
        <w:rPr>
          <w:rStyle w:val="Zvraznenie"/>
          <w:rFonts w:eastAsiaTheme="majorEastAsia"/>
          <w:i w:val="0"/>
          <w:iCs/>
          <w:noProof/>
        </w:rPr>
        <w:t>gestor:</w:t>
      </w:r>
      <w:r w:rsidRPr="00F76491">
        <w:rPr>
          <w:rStyle w:val="Zvraznenie"/>
          <w:rFonts w:eastAsiaTheme="majorEastAsia"/>
          <w:iCs/>
          <w:noProof/>
        </w:rPr>
        <w:t xml:space="preserve"> </w:t>
      </w:r>
      <w:r w:rsidRPr="00F76491">
        <w:rPr>
          <w:noProof/>
        </w:rPr>
        <w:t>MF SR, spolugestor: Ministerstvo hospodárstva SR</w:t>
      </w:r>
      <w:r w:rsidRPr="00F76491">
        <w:rPr>
          <w:rStyle w:val="Zvraznenie"/>
          <w:rFonts w:eastAsiaTheme="majorEastAsia"/>
          <w:iCs/>
          <w:noProof/>
        </w:rPr>
        <w:t>,</w:t>
      </w:r>
    </w:p>
    <w:p w:rsidR="00F76491" w:rsidRPr="00F76491" w:rsidRDefault="00F76491" w:rsidP="00F76491">
      <w:pPr>
        <w:numPr>
          <w:ilvl w:val="0"/>
          <w:numId w:val="13"/>
        </w:numPr>
        <w:ind w:left="658" w:hanging="357"/>
        <w:jc w:val="both"/>
        <w:rPr>
          <w:rStyle w:val="Zvraznenie"/>
          <w:rFonts w:eastAsiaTheme="majorEastAsia"/>
          <w:noProof/>
        </w:rPr>
      </w:pPr>
      <w:r w:rsidRPr="00F76491">
        <w:rPr>
          <w:rStyle w:val="Zvraznenie"/>
          <w:rFonts w:eastAsiaTheme="majorEastAsia"/>
          <w:i w:val="0"/>
          <w:iCs/>
          <w:noProof/>
        </w:rPr>
        <w:t>nariadenie</w:t>
      </w:r>
      <w:r w:rsidRPr="00F76491">
        <w:rPr>
          <w:rStyle w:val="Zvraznenie"/>
          <w:rFonts w:eastAsiaTheme="majorEastAsia"/>
          <w:iCs/>
          <w:noProof/>
        </w:rPr>
        <w:t xml:space="preserve"> </w:t>
      </w:r>
      <w:r w:rsidRPr="00F76491">
        <w:rPr>
          <w:shd w:val="clear" w:color="auto" w:fill="FFFFFF"/>
        </w:rPr>
        <w:t xml:space="preserve">Európskeho parlamentu a Rady (EÚ) č. 910/2014 z 23. júla 2014 o elektronickej identifikácii a dôveryhodných službách pre elektronické transakcie na vnútornom trhu a o zrušení smernice 1999/93/ES </w:t>
      </w:r>
      <w:r w:rsidRPr="00F76491">
        <w:t>(Ú. v. EÚ L 257, 28. 8. 2014), gestori: NBÚ, MIRRI SR, MV SR,</w:t>
      </w:r>
    </w:p>
    <w:p w:rsidR="00F76491" w:rsidRPr="00F76491" w:rsidRDefault="00F76491" w:rsidP="00F76491">
      <w:pPr>
        <w:pStyle w:val="Odsekzoznamu"/>
        <w:widowControl w:val="0"/>
        <w:numPr>
          <w:ilvl w:val="0"/>
          <w:numId w:val="13"/>
        </w:numPr>
        <w:tabs>
          <w:tab w:val="left" w:pos="1134"/>
        </w:tabs>
        <w:autoSpaceDE w:val="0"/>
        <w:autoSpaceDN w:val="0"/>
        <w:adjustRightInd w:val="0"/>
        <w:spacing w:after="0" w:line="240" w:lineRule="auto"/>
        <w:ind w:left="641" w:hanging="357"/>
        <w:jc w:val="both"/>
        <w:rPr>
          <w:rFonts w:ascii="Times New Roman" w:hAnsi="Times New Roman"/>
          <w:noProof/>
          <w:sz w:val="24"/>
          <w:szCs w:val="24"/>
        </w:rPr>
      </w:pPr>
      <w:r w:rsidRPr="00F76491">
        <w:rPr>
          <w:rFonts w:ascii="Times New Roman" w:hAnsi="Times New Roman"/>
          <w:bCs/>
          <w:iCs/>
          <w:noProof/>
          <w:sz w:val="24"/>
          <w:szCs w:val="24"/>
        </w:rPr>
        <w:t xml:space="preserve">nariadenie </w:t>
      </w:r>
      <w:r w:rsidRPr="00F76491">
        <w:rPr>
          <w:rFonts w:ascii="Times New Roman" w:hAnsi="Times New Roman"/>
          <w:noProof/>
          <w:sz w:val="24"/>
          <w:szCs w:val="24"/>
        </w:rPr>
        <w:t xml:space="preserve">Európskeho parlamentu a Rady (EÚ) č. </w:t>
      </w:r>
      <w:r w:rsidRPr="00F76491">
        <w:rPr>
          <w:rFonts w:ascii="Times New Roman" w:hAnsi="Times New Roman"/>
          <w:noProof/>
          <w:sz w:val="24"/>
          <w:szCs w:val="24"/>
          <w:u w:val="single"/>
        </w:rPr>
        <w:t>952/2013</w:t>
      </w:r>
      <w:r w:rsidRPr="00F76491">
        <w:rPr>
          <w:rFonts w:ascii="Times New Roman" w:hAnsi="Times New Roman"/>
          <w:noProof/>
          <w:sz w:val="24"/>
          <w:szCs w:val="24"/>
        </w:rPr>
        <w:t xml:space="preserve"> z 9. októbra 2013, ktorým sa ustanovuje Colný kódex Únie (prepracované znenie) (Ú. v. EÚ L 269, 10. 10. 2013) v platnom znení, gestor: MF SR,</w:t>
      </w:r>
    </w:p>
    <w:p w:rsidR="00F76491" w:rsidRPr="00F76491" w:rsidRDefault="00F76491" w:rsidP="00F76491">
      <w:pPr>
        <w:pStyle w:val="Odsekzoznamu"/>
        <w:widowControl w:val="0"/>
        <w:numPr>
          <w:ilvl w:val="0"/>
          <w:numId w:val="13"/>
        </w:numPr>
        <w:tabs>
          <w:tab w:val="left" w:pos="1134"/>
        </w:tabs>
        <w:autoSpaceDE w:val="0"/>
        <w:autoSpaceDN w:val="0"/>
        <w:adjustRightInd w:val="0"/>
        <w:spacing w:after="0" w:line="240" w:lineRule="auto"/>
        <w:jc w:val="both"/>
        <w:rPr>
          <w:rFonts w:ascii="Times New Roman" w:hAnsi="Times New Roman"/>
          <w:noProof/>
          <w:sz w:val="24"/>
          <w:szCs w:val="24"/>
        </w:rPr>
      </w:pPr>
      <w:r w:rsidRPr="00F76491">
        <w:rPr>
          <w:rFonts w:ascii="Times New Roman" w:hAnsi="Times New Roman"/>
          <w:noProof/>
          <w:sz w:val="24"/>
          <w:szCs w:val="24"/>
        </w:rPr>
        <w:t>nariadenie Rady (EÚ) č. </w:t>
      </w:r>
      <w:r w:rsidRPr="00F76491">
        <w:rPr>
          <w:rFonts w:ascii="Times New Roman" w:hAnsi="Times New Roman"/>
          <w:noProof/>
          <w:sz w:val="24"/>
          <w:szCs w:val="24"/>
          <w:u w:val="single"/>
        </w:rPr>
        <w:t>389/2012</w:t>
      </w:r>
      <w:r w:rsidRPr="00F76491">
        <w:rPr>
          <w:rFonts w:ascii="Times New Roman" w:hAnsi="Times New Roman"/>
          <w:noProof/>
          <w:sz w:val="24"/>
          <w:szCs w:val="24"/>
        </w:rPr>
        <w:t xml:space="preserve"> z  2. mája 2012 o administratívnej spolupráci v oblasti spotrebných daní a zrušení nariadenia (ES) č. 2073/2004 (</w:t>
      </w:r>
      <w:r w:rsidRPr="00F76491">
        <w:rPr>
          <w:rFonts w:ascii="Times New Roman" w:hAnsi="Times New Roman"/>
          <w:iCs/>
          <w:noProof/>
          <w:sz w:val="24"/>
          <w:szCs w:val="24"/>
        </w:rPr>
        <w:t xml:space="preserve">Ú. v. EÚ L 121, 8.5.2012) </w:t>
      </w:r>
      <w:r w:rsidRPr="00F76491">
        <w:rPr>
          <w:rFonts w:ascii="Times New Roman" w:hAnsi="Times New Roman"/>
          <w:noProof/>
          <w:sz w:val="24"/>
          <w:szCs w:val="24"/>
        </w:rPr>
        <w:t xml:space="preserve">v platnom znení, </w:t>
      </w:r>
      <w:r w:rsidRPr="00F76491">
        <w:rPr>
          <w:rStyle w:val="Zvraznenie"/>
          <w:rFonts w:ascii="Times New Roman" w:eastAsiaTheme="majorEastAsia" w:hAnsi="Times New Roman"/>
          <w:i w:val="0"/>
          <w:iCs/>
          <w:noProof/>
          <w:sz w:val="24"/>
          <w:szCs w:val="24"/>
        </w:rPr>
        <w:t>gestor:</w:t>
      </w:r>
      <w:r w:rsidRPr="00F76491">
        <w:rPr>
          <w:rStyle w:val="Zvraznenie"/>
          <w:rFonts w:ascii="Times New Roman" w:eastAsiaTheme="majorEastAsia" w:hAnsi="Times New Roman"/>
          <w:iCs/>
          <w:noProof/>
          <w:sz w:val="24"/>
          <w:szCs w:val="24"/>
        </w:rPr>
        <w:t xml:space="preserve"> </w:t>
      </w:r>
      <w:r w:rsidRPr="00F76491">
        <w:rPr>
          <w:rFonts w:ascii="Times New Roman" w:hAnsi="Times New Roman"/>
          <w:noProof/>
          <w:sz w:val="24"/>
          <w:szCs w:val="24"/>
        </w:rPr>
        <w:t>MF SR,</w:t>
      </w:r>
    </w:p>
    <w:p w:rsidR="00F76491" w:rsidRPr="00F76491" w:rsidRDefault="00F76491" w:rsidP="00F76491">
      <w:pPr>
        <w:numPr>
          <w:ilvl w:val="0"/>
          <w:numId w:val="13"/>
        </w:numPr>
        <w:ind w:left="658" w:hanging="357"/>
        <w:jc w:val="both"/>
        <w:rPr>
          <w:rStyle w:val="Zvraznenie"/>
          <w:rFonts w:eastAsiaTheme="majorEastAsia"/>
          <w:noProof/>
        </w:rPr>
      </w:pPr>
      <w:r w:rsidRPr="00F76491">
        <w:rPr>
          <w:noProof/>
        </w:rPr>
        <w:t xml:space="preserve">nariadenie Komisie (ES) č. </w:t>
      </w:r>
      <w:r w:rsidRPr="00F76491">
        <w:rPr>
          <w:noProof/>
          <w:u w:val="single"/>
        </w:rPr>
        <w:t>684/2009</w:t>
      </w:r>
      <w:r w:rsidRPr="00F76491">
        <w:rPr>
          <w:noProof/>
        </w:rPr>
        <w:t xml:space="preserve"> z 24. júla 2009, ktorým sa implementuje smernica Rady 2008/118/ES, pokiaľ ide o elektronické postupy pri preprave tovaru podliehajúceho spotrebnej dani v režime pozastavenia dane (Ú. v. EÚ L 197, 29.7.2009) v platnom znení</w:t>
      </w:r>
      <w:r w:rsidRPr="00F76491">
        <w:rPr>
          <w:i/>
          <w:noProof/>
        </w:rPr>
        <w:t xml:space="preserve">, </w:t>
      </w:r>
      <w:r w:rsidRPr="00F76491">
        <w:rPr>
          <w:rStyle w:val="Zvraznenie"/>
          <w:rFonts w:eastAsiaTheme="majorEastAsia"/>
          <w:i w:val="0"/>
          <w:iCs/>
          <w:noProof/>
        </w:rPr>
        <w:t>gestor: MF SR,</w:t>
      </w:r>
      <w:r w:rsidRPr="00F76491">
        <w:rPr>
          <w:rStyle w:val="Zvraznenie"/>
          <w:rFonts w:eastAsiaTheme="majorEastAsia"/>
          <w:iCs/>
          <w:noProof/>
        </w:rPr>
        <w:t xml:space="preserve"> </w:t>
      </w:r>
    </w:p>
    <w:p w:rsidR="00F76491" w:rsidRPr="00F76491" w:rsidRDefault="00F76491" w:rsidP="00F76491">
      <w:pPr>
        <w:numPr>
          <w:ilvl w:val="0"/>
          <w:numId w:val="13"/>
        </w:numPr>
        <w:ind w:left="658" w:hanging="357"/>
        <w:jc w:val="both"/>
        <w:rPr>
          <w:i/>
          <w:noProof/>
        </w:rPr>
      </w:pPr>
      <w:r w:rsidRPr="00F76491">
        <w:rPr>
          <w:shd w:val="clear" w:color="auto" w:fill="FFFFFF"/>
        </w:rPr>
        <w:t>nariadenie Rady (EHS) č. 2658/87 z 23. júla 1987 o colnej a štatistickej nomenklatúre a o Spoločnom colnom sadzobníku (</w:t>
      </w:r>
      <w:r w:rsidRPr="00F76491">
        <w:rPr>
          <w:iCs/>
          <w:shd w:val="clear" w:color="auto" w:fill="FFFFFF"/>
        </w:rPr>
        <w:t>Ú. v. ES L 256, 7.9.1987;</w:t>
      </w:r>
      <w:r w:rsidRPr="00F76491">
        <w:rPr>
          <w:rStyle w:val="Zvraznenie"/>
          <w:rFonts w:eastAsiaTheme="majorEastAsia"/>
          <w:iCs/>
          <w:noProof/>
        </w:rPr>
        <w:t xml:space="preserve"> </w:t>
      </w:r>
      <w:r w:rsidRPr="00F76491">
        <w:rPr>
          <w:rStyle w:val="Zvraznenie"/>
          <w:rFonts w:eastAsiaTheme="majorEastAsia"/>
          <w:i w:val="0"/>
          <w:iCs/>
          <w:noProof/>
        </w:rPr>
        <w:t>Mimoriadne vydanie Ú.v. EÚ kap. 2/zv. 2</w:t>
      </w:r>
      <w:r w:rsidRPr="00F76491">
        <w:rPr>
          <w:i/>
          <w:iCs/>
          <w:shd w:val="clear" w:color="auto" w:fill="FFFFFF"/>
        </w:rPr>
        <w:t>)</w:t>
      </w:r>
      <w:r w:rsidRPr="00F76491">
        <w:rPr>
          <w:iCs/>
          <w:shd w:val="clear" w:color="auto" w:fill="FFFFFF"/>
        </w:rPr>
        <w:t xml:space="preserve"> v platnom znení, </w:t>
      </w:r>
      <w:r w:rsidRPr="00F76491">
        <w:rPr>
          <w:rStyle w:val="Zvraznenie"/>
          <w:rFonts w:eastAsiaTheme="majorEastAsia"/>
          <w:i w:val="0"/>
        </w:rPr>
        <w:t>gestor: nebol určený</w:t>
      </w:r>
      <w:r w:rsidRPr="00F76491">
        <w:rPr>
          <w:rStyle w:val="Zvraznenie"/>
          <w:rFonts w:eastAsiaTheme="majorEastAsia"/>
        </w:rPr>
        <w:t>,</w:t>
      </w:r>
    </w:p>
    <w:p w:rsidR="00F76491" w:rsidRPr="00F76491" w:rsidRDefault="00F76491" w:rsidP="00F76491">
      <w:pPr>
        <w:numPr>
          <w:ilvl w:val="0"/>
          <w:numId w:val="13"/>
        </w:numPr>
        <w:ind w:left="660" w:hanging="357"/>
        <w:jc w:val="both"/>
        <w:rPr>
          <w:rStyle w:val="Zvraznenie"/>
          <w:rFonts w:eastAsiaTheme="majorEastAsia"/>
          <w:i w:val="0"/>
        </w:rPr>
      </w:pPr>
      <w:r w:rsidRPr="00F76491">
        <w:rPr>
          <w:bCs/>
        </w:rPr>
        <w:t xml:space="preserve">rozhodnutie </w:t>
      </w:r>
      <w:r w:rsidRPr="00F76491">
        <w:rPr>
          <w:noProof/>
        </w:rPr>
        <w:t xml:space="preserve">Európskeho parlamentu a Rady </w:t>
      </w:r>
      <w:r w:rsidRPr="00F76491">
        <w:rPr>
          <w:bCs/>
        </w:rPr>
        <w:t xml:space="preserve">(EÚ) 2020/263 z 15. januára 2020 o informatizácii prepravy a kontroly tovaru podliehajúceho spotrebnej dani (prepracované znenie) </w:t>
      </w:r>
      <w:r w:rsidRPr="00F76491">
        <w:rPr>
          <w:shd w:val="clear" w:color="auto" w:fill="FFFFFF"/>
        </w:rPr>
        <w:t>(</w:t>
      </w:r>
      <w:r w:rsidRPr="00F76491">
        <w:rPr>
          <w:rStyle w:val="Zvraznenie"/>
          <w:rFonts w:eastAsiaTheme="majorEastAsia"/>
          <w:i w:val="0"/>
          <w:iCs/>
          <w:shd w:val="clear" w:color="auto" w:fill="FFFFFF"/>
        </w:rPr>
        <w:t>Ú. v. EÚ L 58, 27.2.2020),</w:t>
      </w:r>
      <w:r w:rsidRPr="00F76491">
        <w:rPr>
          <w:rStyle w:val="Zvraznenie"/>
          <w:rFonts w:eastAsiaTheme="majorEastAsia"/>
          <w:iCs/>
          <w:shd w:val="clear" w:color="auto" w:fill="FFFFFF"/>
        </w:rPr>
        <w:t xml:space="preserve"> </w:t>
      </w:r>
      <w:r w:rsidRPr="00F76491">
        <w:rPr>
          <w:rStyle w:val="Zvraznenie"/>
          <w:rFonts w:eastAsiaTheme="majorEastAsia"/>
          <w:i w:val="0"/>
        </w:rPr>
        <w:t>gestor: MF SR</w:t>
      </w:r>
      <w:r w:rsidRPr="00F76491">
        <w:rPr>
          <w:rStyle w:val="Zvraznenie"/>
          <w:rFonts w:eastAsiaTheme="majorEastAsia"/>
        </w:rPr>
        <w:t>.</w:t>
      </w:r>
    </w:p>
    <w:p w:rsidR="00F76491" w:rsidRDefault="00F76491" w:rsidP="00F76491">
      <w:pPr>
        <w:ind w:left="303"/>
        <w:jc w:val="both"/>
      </w:pPr>
    </w:p>
    <w:p w:rsidR="00F76491" w:rsidRPr="00F76491" w:rsidRDefault="00F76491" w:rsidP="00F76491">
      <w:pPr>
        <w:ind w:left="303"/>
        <w:jc w:val="both"/>
      </w:pPr>
    </w:p>
    <w:p w:rsidR="00F76491" w:rsidRPr="00F76491" w:rsidRDefault="00F76491" w:rsidP="00F76491">
      <w:pPr>
        <w:pStyle w:val="Zkladntext0"/>
        <w:numPr>
          <w:ilvl w:val="0"/>
          <w:numId w:val="16"/>
        </w:numPr>
        <w:spacing w:after="0"/>
        <w:rPr>
          <w:b/>
          <w:noProof/>
        </w:rPr>
      </w:pPr>
      <w:r w:rsidRPr="00F76491">
        <w:rPr>
          <w:b/>
          <w:noProof/>
        </w:rPr>
        <w:lastRenderedPageBreak/>
        <w:t>Judikatúra Súdneho dvora Európskej únie:</w:t>
      </w:r>
    </w:p>
    <w:p w:rsidR="00F76491" w:rsidRPr="00F76491" w:rsidRDefault="00F76491" w:rsidP="00F76491">
      <w:pPr>
        <w:pStyle w:val="Zkladntext0"/>
        <w:spacing w:after="0"/>
        <w:ind w:left="284"/>
        <w:rPr>
          <w:noProof/>
        </w:rPr>
      </w:pPr>
    </w:p>
    <w:p w:rsidR="00F76491" w:rsidRPr="00F76491" w:rsidRDefault="00F76491" w:rsidP="00F76491">
      <w:pPr>
        <w:numPr>
          <w:ilvl w:val="0"/>
          <w:numId w:val="13"/>
        </w:numPr>
        <w:ind w:left="658" w:hanging="357"/>
        <w:jc w:val="both"/>
        <w:rPr>
          <w:noProof/>
        </w:rPr>
      </w:pPr>
      <w:r w:rsidRPr="00F76491">
        <w:rPr>
          <w:noProof/>
        </w:rPr>
        <w:t xml:space="preserve">rozhodnutie Súdneho dvora vo veci C - 82/12, </w:t>
      </w:r>
      <w:r w:rsidRPr="00F76491">
        <w:rPr>
          <w:bCs/>
          <w:noProof/>
        </w:rPr>
        <w:t>Transportes Jordi Besora SL</w:t>
      </w:r>
      <w:r w:rsidRPr="00F76491">
        <w:rPr>
          <w:noProof/>
        </w:rPr>
        <w:t xml:space="preserve"> proti </w:t>
      </w:r>
      <w:r w:rsidRPr="00F76491">
        <w:rPr>
          <w:bCs/>
          <w:noProof/>
        </w:rPr>
        <w:t>Generalitat de Catalunya</w:t>
      </w:r>
      <w:r w:rsidRPr="00F76491">
        <w:rPr>
          <w:noProof/>
        </w:rPr>
        <w:t>, [2014].</w:t>
      </w:r>
    </w:p>
    <w:p w:rsidR="00F76491" w:rsidRPr="00F76491" w:rsidRDefault="00F76491" w:rsidP="00F76491">
      <w:pPr>
        <w:ind w:left="301"/>
        <w:jc w:val="both"/>
        <w:rPr>
          <w:noProof/>
        </w:rPr>
      </w:pPr>
    </w:p>
    <w:p w:rsidR="00F76491" w:rsidRPr="00F76491" w:rsidRDefault="00F76491" w:rsidP="00F76491">
      <w:pPr>
        <w:tabs>
          <w:tab w:val="left" w:pos="567"/>
        </w:tabs>
        <w:ind w:firstLine="567"/>
        <w:jc w:val="both"/>
        <w:rPr>
          <w:b/>
          <w:noProof/>
        </w:rPr>
      </w:pPr>
      <w:r w:rsidRPr="00F76491">
        <w:rPr>
          <w:b/>
          <w:noProof/>
        </w:rPr>
        <w:t>Výrok rozhodnutia:</w:t>
      </w:r>
    </w:p>
    <w:p w:rsidR="00F76491" w:rsidRPr="00F76491" w:rsidRDefault="00F76491" w:rsidP="00F76491">
      <w:pPr>
        <w:pStyle w:val="Zkladntext0"/>
        <w:spacing w:after="0"/>
        <w:ind w:left="567"/>
        <w:jc w:val="both"/>
        <w:rPr>
          <w:bCs/>
          <w:noProof/>
        </w:rPr>
      </w:pPr>
      <w:r w:rsidRPr="00F76491">
        <w:rPr>
          <w:bCs/>
          <w:noProof/>
        </w:rPr>
        <w:t>Článok 3 ods. 2 smernice Rady 92/12/EHS z 25. februára 1992 o všeobecnom systéme, držbe, preprave a kontrole tovarov podliehajúcich spotrebným daniam sa má vykladať v tom zmysle, že bráni vnútroštátnej právnej úprave, ktorá zavádza daň z maloobchodného predaja minerálnych olejov, akou je daň z predaja určitých minerálnych olejov dotknutá vo veci samej, keďže takúto daň nemožno považovať za daň, ktorá sleduje špecifický účel v zmysle tohto ustanovenia, pretože cieľ tejto dane, určenej na financovanie výkonu právomocí v oblasti zdravotníctva a životného prostredia dotknutými územnými samosprávnymi celkami, sám osebe nesmeruje k zabezpečeniu ochrany zdravia a životného prostredia.</w:t>
      </w:r>
    </w:p>
    <w:p w:rsidR="00F76491" w:rsidRPr="00F76491" w:rsidRDefault="00F76491" w:rsidP="00F76491">
      <w:pPr>
        <w:pStyle w:val="Zkladntext0"/>
        <w:spacing w:after="0"/>
        <w:jc w:val="both"/>
        <w:rPr>
          <w:bCs/>
          <w:noProof/>
        </w:rPr>
      </w:pPr>
    </w:p>
    <w:p w:rsidR="00F76491" w:rsidRPr="00F76491" w:rsidRDefault="00F76491" w:rsidP="00F76491">
      <w:pPr>
        <w:numPr>
          <w:ilvl w:val="0"/>
          <w:numId w:val="13"/>
        </w:numPr>
        <w:tabs>
          <w:tab w:val="clear" w:pos="644"/>
          <w:tab w:val="num" w:pos="567"/>
          <w:tab w:val="num" w:pos="1134"/>
        </w:tabs>
        <w:ind w:hanging="357"/>
        <w:jc w:val="both"/>
        <w:rPr>
          <w:noProof/>
        </w:rPr>
      </w:pPr>
      <w:r w:rsidRPr="00F76491">
        <w:rPr>
          <w:noProof/>
        </w:rPr>
        <w:t xml:space="preserve">rozhodnutie Súdneho dvora vo veci C - 103/17, </w:t>
      </w:r>
      <w:proofErr w:type="spellStart"/>
      <w:r w:rsidRPr="00F76491">
        <w:rPr>
          <w:bCs/>
        </w:rPr>
        <w:t>Messer</w:t>
      </w:r>
      <w:proofErr w:type="spellEnd"/>
      <w:r w:rsidRPr="00F76491">
        <w:rPr>
          <w:bCs/>
        </w:rPr>
        <w:t xml:space="preserve"> </w:t>
      </w:r>
      <w:proofErr w:type="spellStart"/>
      <w:r w:rsidRPr="00F76491">
        <w:rPr>
          <w:bCs/>
        </w:rPr>
        <w:t>France</w:t>
      </w:r>
      <w:proofErr w:type="spellEnd"/>
      <w:r w:rsidRPr="00F76491">
        <w:rPr>
          <w:bCs/>
        </w:rPr>
        <w:t xml:space="preserve"> SAS</w:t>
      </w:r>
      <w:r w:rsidRPr="00F76491">
        <w:t xml:space="preserve"> </w:t>
      </w:r>
      <w:r w:rsidRPr="00F76491">
        <w:rPr>
          <w:noProof/>
        </w:rPr>
        <w:t xml:space="preserve">proti </w:t>
      </w:r>
      <w:proofErr w:type="spellStart"/>
      <w:r w:rsidRPr="00F76491">
        <w:t>Premier</w:t>
      </w:r>
      <w:proofErr w:type="spellEnd"/>
      <w:r w:rsidRPr="00F76491">
        <w:t xml:space="preserve"> </w:t>
      </w:r>
      <w:proofErr w:type="spellStart"/>
      <w:r w:rsidRPr="00F76491">
        <w:t>ministre</w:t>
      </w:r>
      <w:proofErr w:type="spellEnd"/>
      <w:r w:rsidRPr="00F76491">
        <w:t xml:space="preserve"> a i.</w:t>
      </w:r>
      <w:r w:rsidRPr="00F76491">
        <w:rPr>
          <w:noProof/>
        </w:rPr>
        <w:t>, [2018].</w:t>
      </w:r>
    </w:p>
    <w:p w:rsidR="00F76491" w:rsidRPr="00F76491" w:rsidRDefault="00F76491" w:rsidP="00F76491">
      <w:pPr>
        <w:pStyle w:val="Zkladntext0"/>
        <w:spacing w:after="0"/>
        <w:ind w:right="-108"/>
        <w:rPr>
          <w:noProof/>
        </w:rPr>
      </w:pPr>
    </w:p>
    <w:p w:rsidR="00F76491" w:rsidRPr="00F76491" w:rsidRDefault="00F76491" w:rsidP="00F76491">
      <w:pPr>
        <w:pStyle w:val="Zkladntext0"/>
        <w:spacing w:after="0"/>
        <w:ind w:left="301" w:right="-108" w:firstLine="266"/>
        <w:rPr>
          <w:b/>
          <w:noProof/>
        </w:rPr>
      </w:pPr>
      <w:r w:rsidRPr="00F76491">
        <w:rPr>
          <w:b/>
          <w:noProof/>
        </w:rPr>
        <w:t>Výrok rozhodnutia:</w:t>
      </w:r>
    </w:p>
    <w:p w:rsidR="00F76491" w:rsidRPr="00F76491" w:rsidRDefault="00F76491" w:rsidP="00F76491">
      <w:pPr>
        <w:pStyle w:val="c08dispositif"/>
        <w:numPr>
          <w:ilvl w:val="0"/>
          <w:numId w:val="17"/>
        </w:numPr>
        <w:tabs>
          <w:tab w:val="left" w:pos="993"/>
        </w:tabs>
        <w:spacing w:before="0" w:beforeAutospacing="0" w:after="0"/>
        <w:ind w:left="567" w:firstLine="0"/>
        <w:rPr>
          <w:b w:val="0"/>
        </w:rPr>
      </w:pPr>
      <w:r w:rsidRPr="00F76491">
        <w:rPr>
          <w:b w:val="0"/>
        </w:rPr>
        <w:t xml:space="preserve">Článok 18 ods. 10 druhý </w:t>
      </w:r>
      <w:proofErr w:type="spellStart"/>
      <w:r w:rsidRPr="00F76491">
        <w:rPr>
          <w:b w:val="0"/>
        </w:rPr>
        <w:t>pododsek</w:t>
      </w:r>
      <w:proofErr w:type="spellEnd"/>
      <w:r w:rsidRPr="00F76491">
        <w:rPr>
          <w:b w:val="0"/>
        </w:rPr>
        <w:t xml:space="preserve"> smernice Rady 2003/96/ES z 27. októbra 2003 o reštrukturalizácii právneho rámca spoločenstva pre zdaňovanie energetických výrobkov a elektriny sa má vykladať v tom zmysle, že až do 1. januára 2009 predstavovalo dodržiavanie minimálnych úrovní zdanenia stanovených touto smernicou spomedzi pravidiel zdanenia elektriny stanovených právom Únie jedinú povinnosť, ktorá prináležala Francúzskej republike.</w:t>
      </w:r>
    </w:p>
    <w:p w:rsidR="00F76491" w:rsidRPr="00F76491" w:rsidRDefault="00F76491" w:rsidP="00F76491">
      <w:pPr>
        <w:pStyle w:val="c08dispositif"/>
        <w:numPr>
          <w:ilvl w:val="0"/>
          <w:numId w:val="17"/>
        </w:numPr>
        <w:tabs>
          <w:tab w:val="left" w:pos="993"/>
        </w:tabs>
        <w:spacing w:before="0" w:beforeAutospacing="0" w:after="0"/>
        <w:ind w:left="567" w:firstLine="0"/>
        <w:rPr>
          <w:b w:val="0"/>
        </w:rPr>
      </w:pPr>
      <w:r w:rsidRPr="00F76491">
        <w:rPr>
          <w:b w:val="0"/>
        </w:rPr>
        <w:t>Článok 3 ods. 2 smernice Rady 92/12/EHS z 25. februára 1992 o všeobecných systémoch pre výrobky podliehajúce spotrebnej dani a o vlastníctve, pohybe a monitorovaní takýchto výrobkov sa má vykladať v tom zmysle, že zavedenie inej nepriamej dane z elektriny nie je podmienené zavedením harmonizovanej spotrebnej dane a keďže taká daň, o akú ide vo veci samej, nepredstavuje takúto spotrebnú daň, jej zlučiteľnosť so smernicami 92/12 a 2003/96 sa musí posúdiť vzhľadom na podmienky stanovené v článku 3 ods. 2 smernice 92/12 pre existenciu iných nepriamych daní sledujúcich osobitné účely.</w:t>
      </w:r>
    </w:p>
    <w:p w:rsidR="00F76491" w:rsidRPr="00F76491" w:rsidRDefault="00F76491" w:rsidP="00F76491">
      <w:pPr>
        <w:pStyle w:val="c08dispositif"/>
        <w:numPr>
          <w:ilvl w:val="0"/>
          <w:numId w:val="17"/>
        </w:numPr>
        <w:tabs>
          <w:tab w:val="left" w:pos="993"/>
        </w:tabs>
        <w:spacing w:before="0" w:beforeAutospacing="0" w:after="0"/>
        <w:ind w:left="567" w:firstLine="0"/>
        <w:rPr>
          <w:b w:val="0"/>
        </w:rPr>
      </w:pPr>
      <w:r w:rsidRPr="00F76491">
        <w:rPr>
          <w:b w:val="0"/>
        </w:rPr>
        <w:t xml:space="preserve">Článok 3 ods. 2 smernice 92/12 sa má vykladať v tom zmysle, že taká daň, o akú ide vo veci samej, môže byť považovaná za „inú nepriamu daň“ vzhľadom na jej environmentálny účel, ktorého cieľom je financovať dodatočné náklady spojené s povinnosťou nákupu zelenej energie, vylúčiac však účely tejto dane týkajúce sa územnej a sociálnej kohézie, ako je realizácia geografického vyrovnania sadzieb a zníženie ceny elektriny pre domácnosti postihnuté chudobou, a čisto administratívne účely, ako je najmä financovanie nákladov na administratívne fungovanie verejných orgánov a inštitúcií, ako je </w:t>
      </w:r>
      <w:proofErr w:type="spellStart"/>
      <w:r w:rsidRPr="00F76491">
        <w:rPr>
          <w:b w:val="0"/>
        </w:rPr>
        <w:t>Médiateur</w:t>
      </w:r>
      <w:proofErr w:type="spellEnd"/>
      <w:r w:rsidRPr="00F76491">
        <w:rPr>
          <w:b w:val="0"/>
        </w:rPr>
        <w:t xml:space="preserve"> </w:t>
      </w:r>
      <w:proofErr w:type="spellStart"/>
      <w:r w:rsidRPr="00F76491">
        <w:rPr>
          <w:b w:val="0"/>
        </w:rPr>
        <w:t>national</w:t>
      </w:r>
      <w:proofErr w:type="spellEnd"/>
      <w:r w:rsidRPr="00F76491">
        <w:rPr>
          <w:b w:val="0"/>
        </w:rPr>
        <w:t xml:space="preserve"> de </w:t>
      </w:r>
      <w:proofErr w:type="spellStart"/>
      <w:r w:rsidRPr="00F76491">
        <w:rPr>
          <w:b w:val="0"/>
        </w:rPr>
        <w:t>l’énergie</w:t>
      </w:r>
      <w:proofErr w:type="spellEnd"/>
      <w:r w:rsidRPr="00F76491">
        <w:rPr>
          <w:b w:val="0"/>
        </w:rPr>
        <w:t xml:space="preserve"> (Národný energetický </w:t>
      </w:r>
      <w:proofErr w:type="spellStart"/>
      <w:r w:rsidRPr="00F76491">
        <w:rPr>
          <w:b w:val="0"/>
        </w:rPr>
        <w:t>mediátor</w:t>
      </w:r>
      <w:proofErr w:type="spellEnd"/>
      <w:r w:rsidRPr="00F76491">
        <w:rPr>
          <w:b w:val="0"/>
        </w:rPr>
        <w:t>) a </w:t>
      </w:r>
      <w:proofErr w:type="spellStart"/>
      <w:r w:rsidRPr="00F76491">
        <w:rPr>
          <w:b w:val="0"/>
        </w:rPr>
        <w:t>Caisse</w:t>
      </w:r>
      <w:proofErr w:type="spellEnd"/>
      <w:r w:rsidRPr="00F76491">
        <w:rPr>
          <w:b w:val="0"/>
        </w:rPr>
        <w:t xml:space="preserve"> de </w:t>
      </w:r>
      <w:proofErr w:type="spellStart"/>
      <w:r w:rsidRPr="00F76491">
        <w:rPr>
          <w:b w:val="0"/>
        </w:rPr>
        <w:t>dépôts</w:t>
      </w:r>
      <w:proofErr w:type="spellEnd"/>
      <w:r w:rsidRPr="00F76491">
        <w:rPr>
          <w:b w:val="0"/>
        </w:rPr>
        <w:t xml:space="preserve"> et </w:t>
      </w:r>
      <w:proofErr w:type="spellStart"/>
      <w:r w:rsidRPr="00F76491">
        <w:rPr>
          <w:b w:val="0"/>
        </w:rPr>
        <w:t>consignations</w:t>
      </w:r>
      <w:proofErr w:type="spellEnd"/>
      <w:r w:rsidRPr="00F76491">
        <w:rPr>
          <w:b w:val="0"/>
        </w:rPr>
        <w:t xml:space="preserve"> (Štátna depozitná pokladnica), pod podmienkou, že vnútroštátny súd overí dodržiavanie pravidiel zdanenia uplatniteľných na účely spotrebných daní.</w:t>
      </w:r>
    </w:p>
    <w:p w:rsidR="00F76491" w:rsidRPr="00F76491" w:rsidRDefault="00F76491" w:rsidP="00F76491">
      <w:pPr>
        <w:pStyle w:val="c08dispositif"/>
        <w:numPr>
          <w:ilvl w:val="0"/>
          <w:numId w:val="17"/>
        </w:numPr>
        <w:tabs>
          <w:tab w:val="left" w:pos="993"/>
        </w:tabs>
        <w:spacing w:before="0" w:beforeAutospacing="0" w:after="0"/>
        <w:ind w:left="567" w:firstLine="0"/>
        <w:rPr>
          <w:b w:val="0"/>
        </w:rPr>
      </w:pPr>
      <w:r w:rsidRPr="00F76491">
        <w:rPr>
          <w:b w:val="0"/>
        </w:rPr>
        <w:t>Právo Únie sa má vykladať v tom zmysle, že daňovníci môžu žiadať o vrátenie časti takej dane, o akú ide vo veci samej, v závislosti od toho, aká časť z príjmov z tejto dane je určená na financovanie účelov, ktoré nie sú osobitné, pod podmienkou, že túto daň nepreniesli títo daňovníci na svojich vlastných zákazníkov, čo prináleží overiť vnútroštátnemu súdu.</w:t>
      </w:r>
    </w:p>
    <w:p w:rsidR="00F76491" w:rsidRPr="00F76491" w:rsidRDefault="00F76491" w:rsidP="00F76491">
      <w:pPr>
        <w:pStyle w:val="Zkladntext0"/>
        <w:numPr>
          <w:ilvl w:val="0"/>
          <w:numId w:val="13"/>
        </w:numPr>
        <w:tabs>
          <w:tab w:val="clear" w:pos="644"/>
          <w:tab w:val="num" w:pos="567"/>
        </w:tabs>
        <w:spacing w:after="0"/>
        <w:ind w:left="641" w:right="-1" w:hanging="357"/>
        <w:jc w:val="both"/>
        <w:rPr>
          <w:noProof/>
        </w:rPr>
      </w:pPr>
      <w:r w:rsidRPr="00F76491">
        <w:rPr>
          <w:noProof/>
        </w:rPr>
        <w:lastRenderedPageBreak/>
        <w:t xml:space="preserve">rozhodnutie Súdneho dvora vo veci </w:t>
      </w:r>
      <w:r w:rsidRPr="00F76491">
        <w:t xml:space="preserve">C </w:t>
      </w:r>
      <w:r w:rsidRPr="00F76491">
        <w:noBreakHyphen/>
        <w:t xml:space="preserve"> 355/14 </w:t>
      </w:r>
      <w:r w:rsidRPr="00F76491">
        <w:rPr>
          <w:bCs/>
        </w:rPr>
        <w:t>„</w:t>
      </w:r>
      <w:proofErr w:type="spellStart"/>
      <w:r w:rsidRPr="00F76491">
        <w:rPr>
          <w:bCs/>
        </w:rPr>
        <w:t>Polichim</w:t>
      </w:r>
      <w:proofErr w:type="spellEnd"/>
      <w:r w:rsidRPr="00F76491">
        <w:rPr>
          <w:bCs/>
        </w:rPr>
        <w:noBreakHyphen/>
        <w:t xml:space="preserve">SS“ EOOD proti </w:t>
      </w:r>
      <w:proofErr w:type="spellStart"/>
      <w:r w:rsidRPr="00F76491">
        <w:rPr>
          <w:bCs/>
        </w:rPr>
        <w:t>Načalnik</w:t>
      </w:r>
      <w:proofErr w:type="spellEnd"/>
      <w:r w:rsidRPr="00F76491">
        <w:rPr>
          <w:bCs/>
        </w:rPr>
        <w:t xml:space="preserve"> na </w:t>
      </w:r>
      <w:proofErr w:type="spellStart"/>
      <w:r w:rsidRPr="00F76491">
        <w:rPr>
          <w:bCs/>
        </w:rPr>
        <w:t>Mitnica</w:t>
      </w:r>
      <w:proofErr w:type="spellEnd"/>
      <w:r w:rsidRPr="00F76491">
        <w:rPr>
          <w:bCs/>
        </w:rPr>
        <w:t xml:space="preserve"> </w:t>
      </w:r>
      <w:proofErr w:type="spellStart"/>
      <w:r w:rsidRPr="00F76491">
        <w:rPr>
          <w:bCs/>
        </w:rPr>
        <w:t>Svištov</w:t>
      </w:r>
      <w:proofErr w:type="spellEnd"/>
      <w:r w:rsidRPr="00F76491">
        <w:rPr>
          <w:bCs/>
        </w:rPr>
        <w:t xml:space="preserve">, </w:t>
      </w:r>
      <w:r w:rsidRPr="00F76491">
        <w:rPr>
          <w:noProof/>
        </w:rPr>
        <w:t>[2016].</w:t>
      </w:r>
    </w:p>
    <w:p w:rsidR="00F76491" w:rsidRPr="00F76491" w:rsidRDefault="00F76491" w:rsidP="00F76491">
      <w:pPr>
        <w:pStyle w:val="Zkladntext0"/>
        <w:spacing w:after="0"/>
        <w:ind w:right="-1"/>
        <w:rPr>
          <w:noProof/>
        </w:rPr>
      </w:pPr>
    </w:p>
    <w:p w:rsidR="00F76491" w:rsidRPr="00F76491" w:rsidRDefault="00F76491" w:rsidP="00F76491">
      <w:pPr>
        <w:pStyle w:val="Zkladntext0"/>
        <w:spacing w:after="0"/>
        <w:ind w:left="567" w:right="-108"/>
        <w:rPr>
          <w:b/>
          <w:noProof/>
        </w:rPr>
      </w:pPr>
      <w:r w:rsidRPr="00F76491">
        <w:rPr>
          <w:b/>
          <w:noProof/>
        </w:rPr>
        <w:t>Výrok rozhodnutia:</w:t>
      </w:r>
    </w:p>
    <w:p w:rsidR="00F76491" w:rsidRPr="00F76491" w:rsidRDefault="00F76491" w:rsidP="00F76491">
      <w:pPr>
        <w:pStyle w:val="c08dispositif"/>
        <w:numPr>
          <w:ilvl w:val="0"/>
          <w:numId w:val="18"/>
        </w:numPr>
        <w:tabs>
          <w:tab w:val="left" w:pos="993"/>
        </w:tabs>
        <w:spacing w:before="0" w:beforeAutospacing="0" w:after="0"/>
        <w:ind w:left="567" w:firstLine="0"/>
        <w:rPr>
          <w:b w:val="0"/>
          <w:bCs w:val="0"/>
        </w:rPr>
      </w:pPr>
      <w:r w:rsidRPr="00F76491">
        <w:rPr>
          <w:b w:val="0"/>
        </w:rPr>
        <w:t xml:space="preserve">Článok 7 ods. 2 smernice Rady </w:t>
      </w:r>
      <w:bookmarkStart w:id="0" w:name="ctx27"/>
      <w:r w:rsidRPr="00F76491">
        <w:rPr>
          <w:b w:val="0"/>
        </w:rPr>
        <w:t>2008/118</w:t>
      </w:r>
      <w:bookmarkEnd w:id="0"/>
      <w:r w:rsidRPr="00F76491">
        <w:rPr>
          <w:b w:val="0"/>
        </w:rPr>
        <w:t>/ES zo 16. decembra 2008 o všeobecnom systéme spotrebných daní a o zrušení smernice 92/12/EHS sa má vykladať v tom zmysle, že predaj výrobku podliehajúceho spotrebnej dani držaného oprávneným prevádzkovateľom daňového skladu v daňovom sklade vedie k prepusteniu do daňového voľného obehu až v momente, keď tento výrobok fyzicky opustí daňový sklad.</w:t>
      </w:r>
    </w:p>
    <w:p w:rsidR="00F76491" w:rsidRPr="00F76491" w:rsidRDefault="00F76491" w:rsidP="00F76491">
      <w:pPr>
        <w:pStyle w:val="c08dispositif"/>
        <w:tabs>
          <w:tab w:val="left" w:pos="993"/>
        </w:tabs>
        <w:spacing w:before="0" w:beforeAutospacing="0" w:after="0"/>
        <w:ind w:left="567"/>
        <w:rPr>
          <w:b w:val="0"/>
          <w:bCs w:val="0"/>
        </w:rPr>
      </w:pPr>
    </w:p>
    <w:p w:rsidR="00F76491" w:rsidRPr="00F76491" w:rsidRDefault="00F76491" w:rsidP="00F76491">
      <w:pPr>
        <w:pStyle w:val="c08dispositif"/>
        <w:numPr>
          <w:ilvl w:val="0"/>
          <w:numId w:val="18"/>
        </w:numPr>
        <w:tabs>
          <w:tab w:val="left" w:pos="993"/>
        </w:tabs>
        <w:spacing w:before="0" w:beforeAutospacing="0" w:after="0"/>
        <w:ind w:left="567" w:firstLine="0"/>
        <w:rPr>
          <w:b w:val="0"/>
          <w:bCs w:val="0"/>
        </w:rPr>
      </w:pPr>
      <w:r w:rsidRPr="00F76491">
        <w:rPr>
          <w:b w:val="0"/>
        </w:rPr>
        <w:t xml:space="preserve">Článok 14 ods. 1 písm. a) smernice Rady 2003/96/ES z 27. októbra 2003 o reštrukturalizácii právneho rámca spoločenstva pre zdaňovanie energetických výrobkov a elektriny v spojení s článkom 7 smernice </w:t>
      </w:r>
      <w:bookmarkStart w:id="1" w:name="ctx28"/>
      <w:r w:rsidRPr="00F76491">
        <w:rPr>
          <w:b w:val="0"/>
        </w:rPr>
        <w:t>2008/118</w:t>
      </w:r>
      <w:bookmarkEnd w:id="1"/>
      <w:r w:rsidRPr="00F76491">
        <w:rPr>
          <w:b w:val="0"/>
        </w:rPr>
        <w:t xml:space="preserve"> sa má vykladať v tom zmysle, že bráni tomu, aby vnútroštátne orgány odmietli oslobodiť od spotrebnej dane energetické výrobky, ktoré potom, ako boli oprávneným prevádzkovateľom daňového skladu predané </w:t>
      </w:r>
      <w:proofErr w:type="spellStart"/>
      <w:r w:rsidRPr="00F76491">
        <w:rPr>
          <w:b w:val="0"/>
        </w:rPr>
        <w:t>sprostredkujúcemu</w:t>
      </w:r>
      <w:proofErr w:type="spellEnd"/>
      <w:r w:rsidRPr="00F76491">
        <w:rPr>
          <w:b w:val="0"/>
        </w:rPr>
        <w:t xml:space="preserve"> kupujúcemu, ich tento kupujúci predal konečnému spotrebiteľovi, ktorý spĺňa všetky požiadavky vnútroštátneho práva na oslobodenie týchto výrobkov od spotrebnej dane a ktorému boli tieto výrobky dodané priamo týmto oprávneným prevádzkovateľom daňového skladu z daňového skladu, len z toho dôvodu, že </w:t>
      </w:r>
      <w:proofErr w:type="spellStart"/>
      <w:r w:rsidRPr="00F76491">
        <w:rPr>
          <w:b w:val="0"/>
        </w:rPr>
        <w:t>sprostredkujúci</w:t>
      </w:r>
      <w:proofErr w:type="spellEnd"/>
      <w:r w:rsidRPr="00F76491">
        <w:rPr>
          <w:b w:val="0"/>
        </w:rPr>
        <w:t xml:space="preserve"> kupujúci označený týmto oprávneným prevádzkovateľom daňového skladu ako príjemca uvedených výrobkov nie je konečným spotrebiteľom oprávneným podľa vnútroštátneho práva prijímať energetické výrobky oslobodené od spotrebnej dane.</w:t>
      </w:r>
    </w:p>
    <w:p w:rsidR="00F76491" w:rsidRPr="00F76491" w:rsidRDefault="00F76491" w:rsidP="00F76491">
      <w:pPr>
        <w:pStyle w:val="c08dispositif"/>
        <w:tabs>
          <w:tab w:val="left" w:pos="993"/>
        </w:tabs>
        <w:spacing w:before="0" w:beforeAutospacing="0" w:after="0"/>
        <w:ind w:left="0" w:firstLine="0"/>
        <w:rPr>
          <w:b w:val="0"/>
          <w:bCs w:val="0"/>
        </w:rPr>
      </w:pPr>
    </w:p>
    <w:p w:rsidR="00F76491" w:rsidRPr="00F76491" w:rsidRDefault="00F76491" w:rsidP="00F76491">
      <w:pPr>
        <w:pStyle w:val="Zkladntext0"/>
        <w:numPr>
          <w:ilvl w:val="0"/>
          <w:numId w:val="13"/>
        </w:numPr>
        <w:tabs>
          <w:tab w:val="clear" w:pos="644"/>
          <w:tab w:val="num" w:pos="567"/>
        </w:tabs>
        <w:spacing w:after="0"/>
        <w:ind w:left="641" w:right="-108" w:hanging="357"/>
        <w:jc w:val="both"/>
        <w:rPr>
          <w:noProof/>
        </w:rPr>
      </w:pPr>
      <w:r w:rsidRPr="00F76491">
        <w:rPr>
          <w:noProof/>
        </w:rPr>
        <w:t xml:space="preserve">rozhodnutie Súdneho dvora vo veci </w:t>
      </w:r>
      <w:r w:rsidRPr="00F76491">
        <w:t xml:space="preserve">C </w:t>
      </w:r>
      <w:r w:rsidRPr="00F76491">
        <w:noBreakHyphen/>
        <w:t xml:space="preserve"> 349/13 </w:t>
      </w:r>
      <w:r w:rsidRPr="00F76491">
        <w:rPr>
          <w:bCs/>
        </w:rPr>
        <w:t xml:space="preserve">Minister </w:t>
      </w:r>
      <w:proofErr w:type="spellStart"/>
      <w:r w:rsidRPr="00F76491">
        <w:rPr>
          <w:bCs/>
        </w:rPr>
        <w:t>Finansów</w:t>
      </w:r>
      <w:proofErr w:type="spellEnd"/>
      <w:r w:rsidRPr="00F76491">
        <w:rPr>
          <w:bCs/>
        </w:rPr>
        <w:t xml:space="preserve"> proti Oil </w:t>
      </w:r>
      <w:proofErr w:type="spellStart"/>
      <w:r w:rsidRPr="00F76491">
        <w:rPr>
          <w:bCs/>
        </w:rPr>
        <w:t>Trading</w:t>
      </w:r>
      <w:proofErr w:type="spellEnd"/>
      <w:r w:rsidRPr="00F76491">
        <w:rPr>
          <w:bCs/>
        </w:rPr>
        <w:t xml:space="preserve"> </w:t>
      </w:r>
      <w:proofErr w:type="spellStart"/>
      <w:r w:rsidRPr="00F76491">
        <w:rPr>
          <w:bCs/>
        </w:rPr>
        <w:t>Poland</w:t>
      </w:r>
      <w:proofErr w:type="spellEnd"/>
      <w:r w:rsidRPr="00F76491">
        <w:rPr>
          <w:bCs/>
        </w:rPr>
        <w:t xml:space="preserve"> </w:t>
      </w:r>
      <w:proofErr w:type="spellStart"/>
      <w:r w:rsidRPr="00F76491">
        <w:rPr>
          <w:bCs/>
        </w:rPr>
        <w:t>sp</w:t>
      </w:r>
      <w:proofErr w:type="spellEnd"/>
      <w:r w:rsidRPr="00F76491">
        <w:rPr>
          <w:bCs/>
        </w:rPr>
        <w:t xml:space="preserve">. z o. o., </w:t>
      </w:r>
      <w:r w:rsidRPr="00F76491">
        <w:rPr>
          <w:noProof/>
        </w:rPr>
        <w:t>[2015].</w:t>
      </w:r>
    </w:p>
    <w:p w:rsidR="00F76491" w:rsidRPr="00F76491" w:rsidRDefault="00F76491" w:rsidP="00F76491">
      <w:pPr>
        <w:pStyle w:val="Zkladntext0"/>
        <w:tabs>
          <w:tab w:val="num" w:pos="567"/>
        </w:tabs>
        <w:spacing w:after="0"/>
        <w:ind w:right="-108"/>
        <w:jc w:val="both"/>
        <w:rPr>
          <w:noProof/>
        </w:rPr>
      </w:pPr>
    </w:p>
    <w:p w:rsidR="00F76491" w:rsidRPr="00F76491" w:rsidRDefault="00F76491" w:rsidP="00F76491">
      <w:pPr>
        <w:pStyle w:val="Zkladntext0"/>
        <w:spacing w:after="0"/>
        <w:ind w:left="567" w:right="-108"/>
        <w:rPr>
          <w:b/>
          <w:noProof/>
        </w:rPr>
      </w:pPr>
      <w:r w:rsidRPr="00F76491">
        <w:rPr>
          <w:b/>
          <w:noProof/>
        </w:rPr>
        <w:t>Výrok rozhodnutia:</w:t>
      </w:r>
    </w:p>
    <w:p w:rsidR="00F76491" w:rsidRPr="00F76491" w:rsidRDefault="00F76491" w:rsidP="00F76491">
      <w:pPr>
        <w:pStyle w:val="Zkladntext0"/>
        <w:spacing w:after="0"/>
        <w:ind w:left="567" w:right="-108"/>
        <w:jc w:val="both"/>
      </w:pPr>
      <w:r w:rsidRPr="00F76491">
        <w:rPr>
          <w:bCs/>
        </w:rPr>
        <w:t xml:space="preserve">Článok 3 ods. 3 smernice Rady 92/12/EHS z 25. februára 1992 o všeobecných systémoch pre výrobky podliehajúce spotrebnej dani a o vlastníctve, pohybe a monitorovaní takýchto výrobkov a článok 1 ods. 3 smernice Rady </w:t>
      </w:r>
      <w:bookmarkStart w:id="2" w:name="ctx21"/>
      <w:r w:rsidRPr="00F76491">
        <w:rPr>
          <w:bCs/>
        </w:rPr>
        <w:t>2008/118</w:t>
      </w:r>
      <w:bookmarkEnd w:id="2"/>
      <w:r w:rsidRPr="00F76491">
        <w:rPr>
          <w:bCs/>
        </w:rPr>
        <w:t>/ES zo 16. decembra 2008 o všeobecnom systéme spotrebných daní a o zrušení smernice 92/12/EHS sa majú vykladať v tom zmysle, že nebránia tomu, aby výrobky, ktoré nespadajú do pôsobnosti uvedených smerníc, ako sú mazacie oleje určené na iné účely ako motorové palivá alebo vykurovacie palivá, podliehali dani upravenej rovnakými pravidlami ako režim zosúladenej spotrebnej dane vyplývajúci z uvedených smerníc, pretože skutočnosť, že uvedené výrobky tejto dani podliehajú, nepredstavuje v obchode medzi členskými štátmi formality spojené s prekročením hraníc.</w:t>
      </w:r>
    </w:p>
    <w:p w:rsidR="00F76491" w:rsidRPr="00F76491" w:rsidRDefault="00F76491" w:rsidP="00F76491">
      <w:pPr>
        <w:pStyle w:val="Zkladntext0"/>
        <w:spacing w:after="0"/>
        <w:ind w:right="-108"/>
        <w:rPr>
          <w:noProof/>
        </w:rPr>
      </w:pPr>
    </w:p>
    <w:p w:rsidR="00F76491" w:rsidRPr="00F76491" w:rsidRDefault="00F76491" w:rsidP="00F76491">
      <w:pPr>
        <w:pStyle w:val="Zkladntext1"/>
        <w:tabs>
          <w:tab w:val="left" w:pos="284"/>
        </w:tabs>
        <w:ind w:left="3"/>
        <w:jc w:val="both"/>
        <w:rPr>
          <w:b/>
          <w:bCs/>
          <w:noProof/>
          <w:sz w:val="24"/>
          <w:szCs w:val="24"/>
        </w:rPr>
      </w:pPr>
      <w:r w:rsidRPr="00F76491">
        <w:rPr>
          <w:b/>
          <w:bCs/>
          <w:noProof/>
          <w:sz w:val="24"/>
          <w:szCs w:val="24"/>
        </w:rPr>
        <w:t>4.</w:t>
      </w:r>
      <w:r w:rsidRPr="00F76491">
        <w:rPr>
          <w:b/>
          <w:bCs/>
          <w:noProof/>
          <w:sz w:val="24"/>
          <w:szCs w:val="24"/>
        </w:rPr>
        <w:tab/>
        <w:t>Záväzky Slovenskej republiky vo vzťahu Európskej únii:</w:t>
      </w:r>
    </w:p>
    <w:p w:rsidR="00F76491" w:rsidRPr="006A2F33" w:rsidRDefault="00F76491" w:rsidP="006A2F33">
      <w:pPr>
        <w:numPr>
          <w:ilvl w:val="0"/>
          <w:numId w:val="15"/>
        </w:numPr>
        <w:tabs>
          <w:tab w:val="clear" w:pos="720"/>
          <w:tab w:val="left" w:pos="709"/>
        </w:tabs>
        <w:ind w:left="709" w:hanging="425"/>
        <w:jc w:val="both"/>
        <w:rPr>
          <w:bCs/>
        </w:rPr>
      </w:pPr>
      <w:r w:rsidRPr="00F76491">
        <w:rPr>
          <w:noProof/>
          <w:lang w:eastAsia="cs-CZ"/>
        </w:rPr>
        <w:t>Lehota na prebratie smernice: bezpredmetné.</w:t>
      </w:r>
    </w:p>
    <w:p w:rsidR="00F76491" w:rsidRPr="00F76491" w:rsidRDefault="00F76491" w:rsidP="00F76491">
      <w:pPr>
        <w:numPr>
          <w:ilvl w:val="0"/>
          <w:numId w:val="15"/>
        </w:numPr>
        <w:tabs>
          <w:tab w:val="clear" w:pos="720"/>
          <w:tab w:val="left" w:pos="709"/>
        </w:tabs>
        <w:ind w:left="709" w:hanging="425"/>
        <w:jc w:val="both"/>
        <w:rPr>
          <w:noProof/>
          <w:lang w:eastAsia="cs-CZ"/>
        </w:rPr>
      </w:pPr>
      <w:r w:rsidRPr="00F76491">
        <w:rPr>
          <w:noProof/>
          <w:lang w:eastAsia="cs-CZ"/>
        </w:rPr>
        <w:t xml:space="preserve">Proti SR nebolo </w:t>
      </w:r>
      <w:r w:rsidRPr="00F76491">
        <w:rPr>
          <w:noProof/>
        </w:rPr>
        <w:t xml:space="preserve">začaté konanie v rámci „EÚ Pilot“, ani nebol začatý postup EK ako aj nebolo </w:t>
      </w:r>
      <w:r w:rsidRPr="00F76491">
        <w:rPr>
          <w:noProof/>
          <w:lang w:eastAsia="cs-CZ"/>
        </w:rPr>
        <w:t xml:space="preserve">začaté konanie o porušení </w:t>
      </w:r>
      <w:r w:rsidRPr="00F76491">
        <w:rPr>
          <w:noProof/>
        </w:rPr>
        <w:t>podľa čl. 258 až 260 Zmluvy o fungovaní Európskej únie.</w:t>
      </w:r>
    </w:p>
    <w:p w:rsidR="00F76491" w:rsidRPr="00F76491" w:rsidRDefault="00F76491" w:rsidP="00F76491">
      <w:pPr>
        <w:numPr>
          <w:ilvl w:val="0"/>
          <w:numId w:val="15"/>
        </w:numPr>
        <w:tabs>
          <w:tab w:val="clear" w:pos="720"/>
          <w:tab w:val="left" w:pos="709"/>
        </w:tabs>
        <w:ind w:left="709" w:hanging="425"/>
        <w:jc w:val="both"/>
        <w:rPr>
          <w:noProof/>
          <w:lang w:eastAsia="cs-CZ"/>
        </w:rPr>
      </w:pPr>
      <w:r w:rsidRPr="00F76491">
        <w:rPr>
          <w:noProof/>
        </w:rPr>
        <w:t>Bezpredmetné.</w:t>
      </w:r>
    </w:p>
    <w:p w:rsidR="00F76491" w:rsidRPr="00F76491" w:rsidRDefault="00F76491" w:rsidP="00F76491">
      <w:pPr>
        <w:pStyle w:val="Zkladntext"/>
        <w:suppressAutoHyphens/>
        <w:jc w:val="both"/>
        <w:rPr>
          <w:noProof/>
          <w:color w:val="auto"/>
        </w:rPr>
      </w:pPr>
    </w:p>
    <w:p w:rsidR="00F76491" w:rsidRPr="00F76491" w:rsidRDefault="00F76491" w:rsidP="00F76491">
      <w:pPr>
        <w:pStyle w:val="Zkladntext1"/>
        <w:tabs>
          <w:tab w:val="left" w:pos="284"/>
        </w:tabs>
        <w:ind w:firstLine="11"/>
        <w:jc w:val="both"/>
        <w:rPr>
          <w:b/>
          <w:noProof/>
          <w:sz w:val="24"/>
          <w:szCs w:val="24"/>
        </w:rPr>
      </w:pPr>
      <w:r w:rsidRPr="00F76491">
        <w:rPr>
          <w:b/>
          <w:noProof/>
          <w:sz w:val="24"/>
          <w:szCs w:val="24"/>
        </w:rPr>
        <w:t>5.</w:t>
      </w:r>
      <w:r w:rsidRPr="00F76491">
        <w:rPr>
          <w:b/>
          <w:noProof/>
          <w:sz w:val="24"/>
          <w:szCs w:val="24"/>
        </w:rPr>
        <w:tab/>
        <w:t>Návrh zákona je zlučiteľný s právom Európskej únie:</w:t>
      </w:r>
    </w:p>
    <w:p w:rsidR="00F76491" w:rsidRDefault="00F76491" w:rsidP="00F76491">
      <w:pPr>
        <w:pStyle w:val="Zkladntext1"/>
        <w:ind w:left="284"/>
        <w:jc w:val="both"/>
        <w:rPr>
          <w:noProof/>
          <w:sz w:val="24"/>
          <w:szCs w:val="24"/>
        </w:rPr>
      </w:pPr>
      <w:r w:rsidRPr="00F76491">
        <w:rPr>
          <w:noProof/>
          <w:sz w:val="24"/>
          <w:szCs w:val="24"/>
        </w:rPr>
        <w:t>Úplne.</w:t>
      </w:r>
    </w:p>
    <w:p w:rsidR="000343FE" w:rsidRDefault="000343FE" w:rsidP="00F76491">
      <w:pPr>
        <w:pStyle w:val="Zkladntext1"/>
        <w:ind w:left="284"/>
        <w:jc w:val="both"/>
        <w:rPr>
          <w:noProof/>
          <w:sz w:val="24"/>
          <w:szCs w:val="24"/>
        </w:rPr>
      </w:pPr>
    </w:p>
    <w:p w:rsidR="000343FE" w:rsidRPr="00857021" w:rsidRDefault="000343FE" w:rsidP="00F76491">
      <w:pPr>
        <w:pStyle w:val="Zkladntext1"/>
        <w:ind w:left="284"/>
        <w:jc w:val="both"/>
      </w:pPr>
      <w:bookmarkStart w:id="3" w:name="_GoBack"/>
      <w:bookmarkEnd w:id="3"/>
    </w:p>
    <w:p w:rsidR="00E06C3C" w:rsidRPr="00FE3DEA" w:rsidRDefault="00E06C3C" w:rsidP="00FE3DEA">
      <w:pPr>
        <w:rPr>
          <w:noProof/>
        </w:rPr>
      </w:pPr>
    </w:p>
    <w:p w:rsidR="00F6075C" w:rsidRPr="00E163DF" w:rsidRDefault="00F6075C" w:rsidP="00F6075C">
      <w:pPr>
        <w:jc w:val="both"/>
        <w:rPr>
          <w:b/>
          <w:color w:val="000000"/>
        </w:rPr>
      </w:pPr>
      <w:r w:rsidRPr="00E163DF">
        <w:rPr>
          <w:b/>
          <w:color w:val="000000"/>
        </w:rPr>
        <w:lastRenderedPageBreak/>
        <w:t>B. Osobitná časť</w:t>
      </w:r>
    </w:p>
    <w:p w:rsidR="00F6075C" w:rsidRPr="00E163DF" w:rsidRDefault="00F6075C" w:rsidP="00F6075C">
      <w:pPr>
        <w:jc w:val="both"/>
        <w:rPr>
          <w:bCs/>
        </w:rPr>
      </w:pPr>
    </w:p>
    <w:p w:rsidR="00F6075C" w:rsidRPr="00E163DF" w:rsidRDefault="00F6075C" w:rsidP="00F6075C">
      <w:pPr>
        <w:jc w:val="both"/>
        <w:rPr>
          <w:b/>
          <w:bCs/>
        </w:rPr>
      </w:pPr>
      <w:r w:rsidRPr="00E163DF">
        <w:rPr>
          <w:b/>
          <w:bCs/>
        </w:rPr>
        <w:t>K článku I</w:t>
      </w:r>
    </w:p>
    <w:p w:rsidR="00F6075C" w:rsidRDefault="00F6075C" w:rsidP="008A4281">
      <w:pPr>
        <w:tabs>
          <w:tab w:val="left" w:pos="360"/>
        </w:tabs>
        <w:jc w:val="both"/>
      </w:pPr>
    </w:p>
    <w:p w:rsidR="00F6075C" w:rsidRDefault="001E43DA" w:rsidP="008A4281">
      <w:pPr>
        <w:autoSpaceDE w:val="0"/>
        <w:autoSpaceDN w:val="0"/>
        <w:adjustRightInd w:val="0"/>
        <w:jc w:val="both"/>
        <w:rPr>
          <w:b/>
          <w:bCs/>
        </w:rPr>
      </w:pPr>
      <w:r>
        <w:rPr>
          <w:b/>
          <w:bCs/>
        </w:rPr>
        <w:t>K</w:t>
      </w:r>
      <w:r w:rsidR="00DB0364">
        <w:rPr>
          <w:b/>
          <w:bCs/>
        </w:rPr>
        <w:t> </w:t>
      </w:r>
      <w:r>
        <w:rPr>
          <w:b/>
          <w:bCs/>
        </w:rPr>
        <w:t>bodu</w:t>
      </w:r>
      <w:r w:rsidR="00DB0364">
        <w:rPr>
          <w:b/>
          <w:bCs/>
        </w:rPr>
        <w:t xml:space="preserve"> 1</w:t>
      </w:r>
    </w:p>
    <w:p w:rsidR="002753DF" w:rsidRPr="002753DF" w:rsidRDefault="002753DF" w:rsidP="002753DF">
      <w:pPr>
        <w:autoSpaceDE w:val="0"/>
        <w:autoSpaceDN w:val="0"/>
        <w:adjustRightInd w:val="0"/>
        <w:ind w:firstLine="567"/>
        <w:jc w:val="both"/>
        <w:rPr>
          <w:bCs/>
        </w:rPr>
      </w:pPr>
      <w:r>
        <w:rPr>
          <w:bCs/>
        </w:rPr>
        <w:t xml:space="preserve">Legislatívno-technická úprava, ktorou sa dopĺňa vnútorný odkaz na výnimky, </w:t>
      </w:r>
      <w:r w:rsidR="005B352D">
        <w:rPr>
          <w:bCs/>
        </w:rPr>
        <w:t>pri ktorých</w:t>
      </w:r>
      <w:r w:rsidR="00FB1C48">
        <w:rPr>
          <w:bCs/>
        </w:rPr>
        <w:t xml:space="preserve"> sa nevyžaduje povolenie</w:t>
      </w:r>
      <w:r>
        <w:rPr>
          <w:bCs/>
        </w:rPr>
        <w:t xml:space="preserve"> na použitie daňovo zvýhodneného minerálneho oleja.</w:t>
      </w:r>
    </w:p>
    <w:p w:rsidR="002753DF" w:rsidRPr="002753DF" w:rsidRDefault="002753DF" w:rsidP="008A4281">
      <w:pPr>
        <w:autoSpaceDE w:val="0"/>
        <w:autoSpaceDN w:val="0"/>
        <w:adjustRightInd w:val="0"/>
        <w:jc w:val="both"/>
        <w:rPr>
          <w:bCs/>
        </w:rPr>
      </w:pPr>
    </w:p>
    <w:p w:rsidR="002753DF" w:rsidRPr="0006283B" w:rsidRDefault="002753DF" w:rsidP="008A4281">
      <w:pPr>
        <w:autoSpaceDE w:val="0"/>
        <w:autoSpaceDN w:val="0"/>
        <w:adjustRightInd w:val="0"/>
        <w:jc w:val="both"/>
        <w:rPr>
          <w:b/>
          <w:bCs/>
        </w:rPr>
      </w:pPr>
      <w:r>
        <w:rPr>
          <w:b/>
          <w:bCs/>
        </w:rPr>
        <w:t>K bodu 2</w:t>
      </w:r>
    </w:p>
    <w:p w:rsidR="00DB0364" w:rsidRPr="00DB0364" w:rsidRDefault="001E43DA" w:rsidP="00DB0364">
      <w:pPr>
        <w:tabs>
          <w:tab w:val="left" w:pos="426"/>
        </w:tabs>
        <w:ind w:firstLine="567"/>
        <w:jc w:val="both"/>
      </w:pPr>
      <w:r w:rsidRPr="00DB0364">
        <w:t>Navrhovaná legislatívna úprava rozširuje</w:t>
      </w:r>
      <w:r w:rsidR="007700D5" w:rsidRPr="00DB0364">
        <w:t xml:space="preserve"> počet osôb, konečných spotrebiteľov LPG určené</w:t>
      </w:r>
      <w:r w:rsidRPr="00DB0364">
        <w:t xml:space="preserve">ho na použitie ako palivo, ktorým bude </w:t>
      </w:r>
      <w:r w:rsidR="00BA6D63">
        <w:t xml:space="preserve">môcť </w:t>
      </w:r>
      <w:r w:rsidRPr="00DB0364">
        <w:t xml:space="preserve">užívateľský podnik podľa § 11 ods. 2 písm. d) zákona </w:t>
      </w:r>
      <w:r w:rsidR="00BA6D63">
        <w:t>v znení účinnom od 1. júla 2021</w:t>
      </w:r>
      <w:r w:rsidR="003363BA">
        <w:t xml:space="preserve"> </w:t>
      </w:r>
      <w:r w:rsidRPr="00DB0364">
        <w:t xml:space="preserve">dodávať daňovo zvýhodnený LPG. Zároveň sa </w:t>
      </w:r>
      <w:r w:rsidR="00A57922">
        <w:t xml:space="preserve">ustanovuje, </w:t>
      </w:r>
      <w:r w:rsidR="00DB0364">
        <w:t xml:space="preserve">že </w:t>
      </w:r>
      <w:r w:rsidR="00DB0364" w:rsidRPr="00DB0364">
        <w:t>pri</w:t>
      </w:r>
      <w:r w:rsidR="00DB0364">
        <w:t xml:space="preserve"> dodaní</w:t>
      </w:r>
      <w:r w:rsidR="00DB0364" w:rsidRPr="00DB0364">
        <w:t xml:space="preserve"> </w:t>
      </w:r>
      <w:r w:rsidR="00DB0364">
        <w:t xml:space="preserve">LPG </w:t>
      </w:r>
      <w:r w:rsidR="00DB0364" w:rsidRPr="00DB0364">
        <w:t xml:space="preserve">užívateľským podnikom konečnému spotrebiteľovi na použitie ako palivo sa </w:t>
      </w:r>
      <w:r w:rsidR="00DB0364">
        <w:t>nebude uplatňovať ustanovenie o postupe pri preprave na daňovom území</w:t>
      </w:r>
      <w:r w:rsidR="00DB0364" w:rsidRPr="00DB0364">
        <w:t>.</w:t>
      </w:r>
    </w:p>
    <w:p w:rsidR="00DB0364" w:rsidRDefault="00DB0364" w:rsidP="00DB0364">
      <w:pPr>
        <w:tabs>
          <w:tab w:val="left" w:pos="0"/>
          <w:tab w:val="left" w:pos="5340"/>
        </w:tabs>
        <w:jc w:val="both"/>
      </w:pPr>
    </w:p>
    <w:p w:rsidR="00DB0364" w:rsidRPr="0006283B" w:rsidRDefault="002753DF" w:rsidP="00DB0364">
      <w:pPr>
        <w:autoSpaceDE w:val="0"/>
        <w:autoSpaceDN w:val="0"/>
        <w:adjustRightInd w:val="0"/>
        <w:jc w:val="both"/>
        <w:rPr>
          <w:b/>
          <w:bCs/>
        </w:rPr>
      </w:pPr>
      <w:r>
        <w:rPr>
          <w:b/>
          <w:bCs/>
        </w:rPr>
        <w:t>K bodu 3</w:t>
      </w:r>
    </w:p>
    <w:p w:rsidR="001E43DA" w:rsidRPr="00CB6CE7" w:rsidRDefault="00DB0364" w:rsidP="001E43DA">
      <w:pPr>
        <w:ind w:firstLine="567"/>
        <w:jc w:val="both"/>
      </w:pPr>
      <w:r w:rsidRPr="00CB6CE7">
        <w:t xml:space="preserve">Touto úpravou sa rozširuje zoznam osôb, konečných spotrebiteľov LPG, ktoré </w:t>
      </w:r>
      <w:r w:rsidR="001E43DA" w:rsidRPr="00CB6CE7">
        <w:t>nebudú mať povi</w:t>
      </w:r>
      <w:r w:rsidRPr="00CB6CE7">
        <w:t>nnosť byť užívateľským podnikom</w:t>
      </w:r>
      <w:r w:rsidR="003363BA" w:rsidRPr="00CB6CE7">
        <w:t>.</w:t>
      </w:r>
      <w:r w:rsidR="001E43DA" w:rsidRPr="00CB6CE7">
        <w:t xml:space="preserve"> Povinnosti užívateľského pod</w:t>
      </w:r>
      <w:r w:rsidR="003363BA" w:rsidRPr="00CB6CE7">
        <w:t xml:space="preserve">niku bude za týchto </w:t>
      </w:r>
      <w:r w:rsidR="001E43DA" w:rsidRPr="00CB6CE7">
        <w:t>konečný</w:t>
      </w:r>
      <w:r w:rsidRPr="00CB6CE7">
        <w:t>ch spotrebiteľov vykonávať osoba</w:t>
      </w:r>
      <w:r w:rsidR="001E43DA" w:rsidRPr="00CB6CE7">
        <w:t>, ktorá je ich dodávateľom.</w:t>
      </w:r>
      <w:r w:rsidR="00A57922" w:rsidRPr="00CB6CE7">
        <w:t xml:space="preserve"> Tiež sa stanovuje, že za konečného spotrebiteľa tohto minerálneho oleja sa považuje aj osoba, ktorá prevádzkuje a odoberá tento minerálny olej do skladovacej nádrže, z ktorej dochádza priamo </w:t>
      </w:r>
      <w:r w:rsidR="00CB6CE7">
        <w:t xml:space="preserve">                                </w:t>
      </w:r>
      <w:r w:rsidR="00A57922" w:rsidRPr="00CB6CE7">
        <w:t>k spotrebe LPG ako paliva na výrobu tepla.</w:t>
      </w:r>
    </w:p>
    <w:p w:rsidR="001E43DA" w:rsidRPr="00CB6CE7" w:rsidRDefault="001E43DA" w:rsidP="00A57922">
      <w:pPr>
        <w:jc w:val="both"/>
      </w:pPr>
    </w:p>
    <w:p w:rsidR="00DB0364" w:rsidRPr="00CB6CE7" w:rsidRDefault="002753DF" w:rsidP="00DB0364">
      <w:pPr>
        <w:autoSpaceDE w:val="0"/>
        <w:autoSpaceDN w:val="0"/>
        <w:adjustRightInd w:val="0"/>
        <w:jc w:val="both"/>
        <w:rPr>
          <w:b/>
          <w:bCs/>
        </w:rPr>
      </w:pPr>
      <w:r>
        <w:rPr>
          <w:b/>
          <w:bCs/>
        </w:rPr>
        <w:t>K bodu 4 a 6</w:t>
      </w:r>
    </w:p>
    <w:p w:rsidR="001E43DA" w:rsidRPr="00CB6CE7" w:rsidRDefault="00DB0364" w:rsidP="008A4281">
      <w:pPr>
        <w:ind w:firstLine="567"/>
        <w:jc w:val="both"/>
      </w:pPr>
      <w:r w:rsidRPr="00CB6CE7">
        <w:t>Legislatívno-technická úprava, ktorou sa stanovuje, že žiadateľ o </w:t>
      </w:r>
      <w:r w:rsidR="00F821D1" w:rsidRPr="00CB6CE7">
        <w:t>vy</w:t>
      </w:r>
      <w:r w:rsidRPr="00CB6CE7">
        <w:t xml:space="preserve">danie povolenie </w:t>
      </w:r>
      <w:r w:rsidR="00F821D1" w:rsidRPr="00CB6CE7">
        <w:t>na použitie podľa § 11 ods. 2 písm. d) zákona</w:t>
      </w:r>
      <w:r w:rsidR="00BA6D63" w:rsidRPr="00CB6CE7">
        <w:t xml:space="preserve"> v znení účinnom od 1. júla 2021</w:t>
      </w:r>
      <w:r w:rsidR="00F821D1" w:rsidRPr="00CB6CE7">
        <w:t>, nemusí predkladať adresu umiestnenia prevádzkarní</w:t>
      </w:r>
      <w:r w:rsidR="00BA6D63" w:rsidRPr="00CB6CE7">
        <w:t>,</w:t>
      </w:r>
      <w:r w:rsidR="00F821D1" w:rsidRPr="00CB6CE7">
        <w:t xml:space="preserve"> v ktorých skladuje LPG ako palivo na výrobu tepla, ak</w:t>
      </w:r>
      <w:r w:rsidRPr="00CB6CE7">
        <w:t xml:space="preserve"> </w:t>
      </w:r>
      <w:r w:rsidR="00962AF6" w:rsidRPr="00CB6CE7">
        <w:t>tento LPG neskladuje a nemusí tento minerálny olej po prijatí umiestniť v sklade užívateľského podniku.</w:t>
      </w:r>
    </w:p>
    <w:p w:rsidR="00F821D1" w:rsidRPr="00CB6CE7" w:rsidRDefault="00F821D1" w:rsidP="00F821D1">
      <w:pPr>
        <w:autoSpaceDE w:val="0"/>
        <w:autoSpaceDN w:val="0"/>
        <w:adjustRightInd w:val="0"/>
        <w:jc w:val="both"/>
      </w:pPr>
    </w:p>
    <w:p w:rsidR="00F80F36" w:rsidRPr="00CB6CE7" w:rsidRDefault="00F80F36" w:rsidP="008A4281">
      <w:pPr>
        <w:autoSpaceDE w:val="0"/>
        <w:autoSpaceDN w:val="0"/>
        <w:adjustRightInd w:val="0"/>
        <w:jc w:val="both"/>
        <w:rPr>
          <w:b/>
          <w:bCs/>
        </w:rPr>
      </w:pPr>
      <w:r w:rsidRPr="00CB6CE7">
        <w:rPr>
          <w:b/>
          <w:bCs/>
        </w:rPr>
        <w:t>K bodom</w:t>
      </w:r>
      <w:r w:rsidR="002753DF">
        <w:rPr>
          <w:b/>
          <w:bCs/>
        </w:rPr>
        <w:t xml:space="preserve"> 5</w:t>
      </w:r>
      <w:r w:rsidR="00F821D1" w:rsidRPr="00CB6CE7">
        <w:rPr>
          <w:b/>
          <w:bCs/>
        </w:rPr>
        <w:t xml:space="preserve">, </w:t>
      </w:r>
      <w:r w:rsidR="002753DF">
        <w:rPr>
          <w:b/>
          <w:bCs/>
        </w:rPr>
        <w:t>7</w:t>
      </w:r>
      <w:r w:rsidR="006C5970" w:rsidRPr="00CB6CE7">
        <w:rPr>
          <w:b/>
          <w:bCs/>
        </w:rPr>
        <w:t xml:space="preserve">, </w:t>
      </w:r>
      <w:r w:rsidR="002753DF">
        <w:rPr>
          <w:b/>
          <w:bCs/>
        </w:rPr>
        <w:t xml:space="preserve">8 </w:t>
      </w:r>
      <w:r w:rsidR="00625F02" w:rsidRPr="00CB6CE7">
        <w:rPr>
          <w:b/>
          <w:bCs/>
        </w:rPr>
        <w:t>a</w:t>
      </w:r>
      <w:r w:rsidR="00962AF6" w:rsidRPr="00CB6CE7">
        <w:rPr>
          <w:b/>
          <w:bCs/>
        </w:rPr>
        <w:t xml:space="preserve"> </w:t>
      </w:r>
      <w:r w:rsidR="006C5970" w:rsidRPr="00CB6CE7">
        <w:rPr>
          <w:b/>
          <w:bCs/>
        </w:rPr>
        <w:t>13</w:t>
      </w:r>
    </w:p>
    <w:p w:rsidR="00F821D1" w:rsidRPr="00CB6CE7" w:rsidRDefault="00F821D1" w:rsidP="008A4281">
      <w:pPr>
        <w:ind w:firstLine="567"/>
        <w:jc w:val="both"/>
      </w:pPr>
      <w:r w:rsidRPr="00CB6CE7">
        <w:t>Legislatívno-technické úpravy súvisiace s </w:t>
      </w:r>
      <w:r w:rsidR="002753DF">
        <w:t>druhým</w:t>
      </w:r>
      <w:r w:rsidRPr="00CB6CE7">
        <w:t xml:space="preserve"> novelizačným bodom, ktorými sa primerane upravujú súvisiace ustanovenia.</w:t>
      </w:r>
    </w:p>
    <w:p w:rsidR="00962AF6" w:rsidRPr="00CB6CE7" w:rsidRDefault="00962AF6" w:rsidP="006C5970">
      <w:pPr>
        <w:autoSpaceDE w:val="0"/>
        <w:autoSpaceDN w:val="0"/>
        <w:adjustRightInd w:val="0"/>
        <w:jc w:val="both"/>
        <w:rPr>
          <w:bCs/>
        </w:rPr>
      </w:pPr>
    </w:p>
    <w:p w:rsidR="00F821D1" w:rsidRPr="00CB6CE7" w:rsidRDefault="00962AF6" w:rsidP="006C5970">
      <w:pPr>
        <w:autoSpaceDE w:val="0"/>
        <w:autoSpaceDN w:val="0"/>
        <w:adjustRightInd w:val="0"/>
        <w:jc w:val="both"/>
        <w:rPr>
          <w:b/>
          <w:bCs/>
        </w:rPr>
      </w:pPr>
      <w:r w:rsidRPr="00CB6CE7">
        <w:rPr>
          <w:b/>
          <w:bCs/>
        </w:rPr>
        <w:t xml:space="preserve">K bodom </w:t>
      </w:r>
      <w:r w:rsidR="002753DF">
        <w:rPr>
          <w:b/>
          <w:bCs/>
        </w:rPr>
        <w:t>9</w:t>
      </w:r>
      <w:r w:rsidR="00625F02" w:rsidRPr="00CB6CE7">
        <w:rPr>
          <w:b/>
          <w:bCs/>
        </w:rPr>
        <w:t xml:space="preserve">, </w:t>
      </w:r>
      <w:r w:rsidR="002753DF">
        <w:rPr>
          <w:b/>
          <w:bCs/>
        </w:rPr>
        <w:t>10, 11</w:t>
      </w:r>
      <w:r w:rsidRPr="00CB6CE7">
        <w:rPr>
          <w:b/>
          <w:bCs/>
        </w:rPr>
        <w:t xml:space="preserve"> a</w:t>
      </w:r>
      <w:r w:rsidR="002753DF">
        <w:rPr>
          <w:b/>
          <w:bCs/>
        </w:rPr>
        <w:t xml:space="preserve"> 12</w:t>
      </w:r>
    </w:p>
    <w:p w:rsidR="00F80F36" w:rsidRPr="00CB6CE7" w:rsidRDefault="00F80F36" w:rsidP="008A4281">
      <w:pPr>
        <w:ind w:firstLine="567"/>
        <w:jc w:val="both"/>
      </w:pPr>
      <w:r w:rsidRPr="00CB6CE7">
        <w:t>Legislatívno-technické úpravy spresňujúce ustanovenie o preprave minerálneho</w:t>
      </w:r>
      <w:r w:rsidR="003363BA" w:rsidRPr="00CB6CE7">
        <w:t xml:space="preserve"> oleja</w:t>
      </w:r>
      <w:r w:rsidRPr="00CB6CE7">
        <w:t xml:space="preserve"> na daňovom území pri preprave daňovo zvýhodneného minerálneho oleja, ktorým je LPG určen</w:t>
      </w:r>
      <w:r w:rsidR="003363BA" w:rsidRPr="00CB6CE7">
        <w:t>é</w:t>
      </w:r>
      <w:r w:rsidRPr="00CB6CE7">
        <w:t xml:space="preserve"> na použi</w:t>
      </w:r>
      <w:r w:rsidR="00625F02" w:rsidRPr="00CB6CE7">
        <w:t>tie ako palivo na výrobu tepla.</w:t>
      </w:r>
    </w:p>
    <w:p w:rsidR="00A57922" w:rsidRPr="00CB6CE7" w:rsidRDefault="00A57922" w:rsidP="006C5970">
      <w:pPr>
        <w:jc w:val="both"/>
      </w:pPr>
    </w:p>
    <w:p w:rsidR="006C5970" w:rsidRPr="00CB6CE7" w:rsidRDefault="00A57922" w:rsidP="006C5970">
      <w:pPr>
        <w:autoSpaceDE w:val="0"/>
        <w:autoSpaceDN w:val="0"/>
        <w:adjustRightInd w:val="0"/>
        <w:jc w:val="both"/>
        <w:rPr>
          <w:b/>
          <w:bCs/>
        </w:rPr>
      </w:pPr>
      <w:r w:rsidRPr="00CB6CE7">
        <w:rPr>
          <w:b/>
          <w:bCs/>
        </w:rPr>
        <w:t>K bodu 14</w:t>
      </w:r>
    </w:p>
    <w:p w:rsidR="006C5970" w:rsidRDefault="001D3916" w:rsidP="00625F02">
      <w:pPr>
        <w:ind w:firstLine="567"/>
        <w:jc w:val="both"/>
      </w:pPr>
      <w:r w:rsidRPr="00CB6CE7">
        <w:t>Navrhovanou úpravou sa</w:t>
      </w:r>
      <w:r w:rsidR="00167785" w:rsidRPr="00CB6CE7">
        <w:t xml:space="preserve"> stanovuje, že povolenie na použitie d</w:t>
      </w:r>
      <w:r w:rsidR="003363BA" w:rsidRPr="00CB6CE7">
        <w:t>a</w:t>
      </w:r>
      <w:r w:rsidR="00167785" w:rsidRPr="00CB6CE7">
        <w:t>ňovo zvýhodneného minerálneho oleja vydané colným úradom do 30. júna 2021 je platné na použitie daňovo zvýhodneného minerálneho oleja v znení účinnom od 1. júla 2021.</w:t>
      </w:r>
    </w:p>
    <w:p w:rsidR="00E51682" w:rsidRDefault="00E51682" w:rsidP="00E51682">
      <w:pPr>
        <w:jc w:val="both"/>
      </w:pPr>
    </w:p>
    <w:p w:rsidR="006A2F33" w:rsidRDefault="006A2F33" w:rsidP="00E51682">
      <w:pPr>
        <w:jc w:val="both"/>
      </w:pPr>
    </w:p>
    <w:p w:rsidR="00E51682" w:rsidRDefault="00E51682" w:rsidP="00E51682">
      <w:pPr>
        <w:jc w:val="both"/>
        <w:rPr>
          <w:b/>
          <w:bCs/>
        </w:rPr>
      </w:pPr>
      <w:r w:rsidRPr="00E163DF">
        <w:rPr>
          <w:b/>
          <w:bCs/>
        </w:rPr>
        <w:t>K článku I</w:t>
      </w:r>
      <w:r>
        <w:rPr>
          <w:b/>
          <w:bCs/>
        </w:rPr>
        <w:t>I</w:t>
      </w:r>
    </w:p>
    <w:p w:rsidR="00E51682" w:rsidRPr="00E51682" w:rsidRDefault="00E51682" w:rsidP="00E51682">
      <w:pPr>
        <w:jc w:val="both"/>
        <w:rPr>
          <w:bCs/>
        </w:rPr>
      </w:pPr>
    </w:p>
    <w:p w:rsidR="00E51682" w:rsidRPr="006A2F33" w:rsidRDefault="00E51682" w:rsidP="006A2F33">
      <w:pPr>
        <w:pStyle w:val="Zkladntext"/>
        <w:ind w:firstLine="567"/>
        <w:jc w:val="both"/>
        <w:rPr>
          <w:rFonts w:ascii="Times New Roman" w:hAnsi="Times New Roman" w:cs="Times New Roman"/>
        </w:rPr>
      </w:pPr>
      <w:r w:rsidRPr="00E51682">
        <w:rPr>
          <w:rFonts w:ascii="Times New Roman" w:hAnsi="Times New Roman" w:cs="Times New Roman"/>
        </w:rPr>
        <w:t>Tento zákon nadobúda účinnosť dňom vyhlásenia okrem čl. I bodov 1 až 13, ktoré nadobúdajú účinnosť 1. júla 2021.</w:t>
      </w:r>
    </w:p>
    <w:sectPr w:rsidR="00E51682" w:rsidRPr="006A2F33" w:rsidSect="00566ED2">
      <w:footerReference w:type="default" r:id="rId8"/>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A0C" w:rsidRDefault="00DE3A0C" w:rsidP="00DF1E4D">
      <w:r>
        <w:separator/>
      </w:r>
    </w:p>
  </w:endnote>
  <w:endnote w:type="continuationSeparator" w:id="0">
    <w:p w:rsidR="00DE3A0C" w:rsidRDefault="00DE3A0C" w:rsidP="00DF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392523"/>
      <w:docPartObj>
        <w:docPartGallery w:val="Page Numbers (Bottom of Page)"/>
        <w:docPartUnique/>
      </w:docPartObj>
    </w:sdtPr>
    <w:sdtEndPr/>
    <w:sdtContent>
      <w:p w:rsidR="00DF1E4D" w:rsidRDefault="00DF1E4D">
        <w:pPr>
          <w:pStyle w:val="Pta"/>
          <w:jc w:val="center"/>
        </w:pPr>
        <w:r>
          <w:fldChar w:fldCharType="begin"/>
        </w:r>
        <w:r>
          <w:instrText>PAGE   \* MERGEFORMAT</w:instrText>
        </w:r>
        <w:r>
          <w:fldChar w:fldCharType="separate"/>
        </w:r>
        <w:r w:rsidR="000343FE">
          <w:rPr>
            <w:noProof/>
          </w:rPr>
          <w:t>9</w:t>
        </w:r>
        <w:r>
          <w:fldChar w:fldCharType="end"/>
        </w:r>
      </w:p>
    </w:sdtContent>
  </w:sdt>
  <w:p w:rsidR="00DF1E4D" w:rsidRDefault="00DF1E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A0C" w:rsidRDefault="00DE3A0C" w:rsidP="00DF1E4D">
      <w:r>
        <w:separator/>
      </w:r>
    </w:p>
  </w:footnote>
  <w:footnote w:type="continuationSeparator" w:id="0">
    <w:p w:rsidR="00DE3A0C" w:rsidRDefault="00DE3A0C" w:rsidP="00DF1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DE2882A"/>
    <w:lvl w:ilvl="0">
      <w:start w:val="1"/>
      <w:numFmt w:val="decimal"/>
      <w:pStyle w:val="Nadpis1"/>
      <w:lvlText w:val="%1."/>
      <w:lvlJc w:val="left"/>
      <w:pPr>
        <w:tabs>
          <w:tab w:val="num" w:pos="0"/>
        </w:tabs>
        <w:ind w:left="720" w:hanging="720"/>
      </w:pPr>
      <w:rPr>
        <w:rFonts w:ascii="Times New Roman" w:hAnsi="Times New Roman" w:cs="Times New Roman" w:hint="default"/>
        <w:b w:val="0"/>
        <w:bCs w:val="0"/>
        <w:i w:val="0"/>
        <w:color w:val="auto"/>
        <w:sz w:val="22"/>
      </w:rPr>
    </w:lvl>
    <w:lvl w:ilvl="1">
      <w:start w:val="1"/>
      <w:numFmt w:val="decimal"/>
      <w:pStyle w:val="Nadpis2"/>
      <w:lvlText w:val="%1.%2"/>
      <w:lvlJc w:val="left"/>
      <w:pPr>
        <w:tabs>
          <w:tab w:val="num" w:pos="0"/>
        </w:tabs>
        <w:ind w:left="720" w:hanging="720"/>
      </w:pPr>
      <w:rPr>
        <w:rFonts w:ascii="Times New Roman" w:hAnsi="Times New Roman" w:cs="Times New Roman" w:hint="default"/>
        <w:b w:val="0"/>
        <w:i w:val="0"/>
        <w:color w:val="auto"/>
        <w:sz w:val="22"/>
      </w:rPr>
    </w:lvl>
    <w:lvl w:ilvl="2">
      <w:start w:val="1"/>
      <w:numFmt w:val="decimal"/>
      <w:pStyle w:val="Nadpis3"/>
      <w:lvlText w:val="%1.%2.%3"/>
      <w:lvlJc w:val="left"/>
      <w:pPr>
        <w:tabs>
          <w:tab w:val="num" w:pos="0"/>
        </w:tabs>
        <w:ind w:left="720" w:hanging="720"/>
      </w:pPr>
      <w:rPr>
        <w:rFonts w:ascii="Times New Roman" w:hAnsi="Times New Roman" w:cs="Times New Roman" w:hint="default"/>
        <w:b w:val="0"/>
        <w:i w:val="0"/>
        <w:color w:val="auto"/>
        <w:sz w:val="22"/>
      </w:rPr>
    </w:lvl>
    <w:lvl w:ilvl="3">
      <w:start w:val="1"/>
      <w:numFmt w:val="decimal"/>
      <w:pStyle w:val="Nadpis4"/>
      <w:lvlText w:val="%1.%2.%3.%4"/>
      <w:lvlJc w:val="left"/>
      <w:pPr>
        <w:tabs>
          <w:tab w:val="num" w:pos="0"/>
        </w:tabs>
        <w:ind w:left="720" w:hanging="720"/>
      </w:pPr>
      <w:rPr>
        <w:rFonts w:ascii="Times New Roman" w:hAnsi="Times New Roman" w:cs="Times New Roman" w:hint="default"/>
        <w:b w:val="0"/>
        <w:i w:val="0"/>
        <w:color w:val="auto"/>
        <w:sz w:val="22"/>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 w15:restartNumberingAfterBreak="0">
    <w:nsid w:val="1B3915E0"/>
    <w:multiLevelType w:val="hybridMultilevel"/>
    <w:tmpl w:val="A71A07D8"/>
    <w:lvl w:ilvl="0" w:tplc="1CA89B04">
      <w:start w:val="1"/>
      <w:numFmt w:val="decimal"/>
      <w:lvlText w:val="%1."/>
      <w:lvlJc w:val="left"/>
      <w:pPr>
        <w:tabs>
          <w:tab w:val="num" w:pos="720"/>
        </w:tabs>
        <w:ind w:left="720" w:hanging="360"/>
      </w:pPr>
      <w:rPr>
        <w:rFonts w:cs="Times New Roman" w:hint="default"/>
      </w:rPr>
    </w:lvl>
    <w:lvl w:ilvl="1" w:tplc="5086BAA8">
      <w:start w:val="1"/>
      <w:numFmt w:val="lowerLetter"/>
      <w:lvlText w:val="%2."/>
      <w:lvlJc w:val="left"/>
      <w:pPr>
        <w:tabs>
          <w:tab w:val="num" w:pos="1440"/>
        </w:tabs>
        <w:ind w:left="1440" w:hanging="360"/>
      </w:pPr>
      <w:rPr>
        <w:rFonts w:cs="Times New Roman"/>
      </w:rPr>
    </w:lvl>
    <w:lvl w:ilvl="2" w:tplc="7106825E">
      <w:start w:val="1"/>
      <w:numFmt w:val="lowerRoman"/>
      <w:lvlText w:val="%3."/>
      <w:lvlJc w:val="right"/>
      <w:pPr>
        <w:tabs>
          <w:tab w:val="num" w:pos="2160"/>
        </w:tabs>
        <w:ind w:left="2160" w:hanging="180"/>
      </w:pPr>
      <w:rPr>
        <w:rFonts w:cs="Times New Roman"/>
      </w:rPr>
    </w:lvl>
    <w:lvl w:ilvl="3" w:tplc="DE7852B8">
      <w:start w:val="1"/>
      <w:numFmt w:val="decimal"/>
      <w:lvlText w:val="%4."/>
      <w:lvlJc w:val="left"/>
      <w:pPr>
        <w:tabs>
          <w:tab w:val="num" w:pos="2880"/>
        </w:tabs>
        <w:ind w:left="2880" w:hanging="360"/>
      </w:pPr>
      <w:rPr>
        <w:rFonts w:cs="Times New Roman"/>
      </w:rPr>
    </w:lvl>
    <w:lvl w:ilvl="4" w:tplc="E20CA942">
      <w:start w:val="1"/>
      <w:numFmt w:val="lowerLetter"/>
      <w:lvlText w:val="%5."/>
      <w:lvlJc w:val="left"/>
      <w:pPr>
        <w:tabs>
          <w:tab w:val="num" w:pos="3600"/>
        </w:tabs>
        <w:ind w:left="3600" w:hanging="360"/>
      </w:pPr>
      <w:rPr>
        <w:rFonts w:cs="Times New Roman"/>
      </w:rPr>
    </w:lvl>
    <w:lvl w:ilvl="5" w:tplc="F19A4BF4">
      <w:start w:val="1"/>
      <w:numFmt w:val="lowerRoman"/>
      <w:lvlText w:val="%6."/>
      <w:lvlJc w:val="right"/>
      <w:pPr>
        <w:tabs>
          <w:tab w:val="num" w:pos="4320"/>
        </w:tabs>
        <w:ind w:left="4320" w:hanging="180"/>
      </w:pPr>
      <w:rPr>
        <w:rFonts w:cs="Times New Roman"/>
      </w:rPr>
    </w:lvl>
    <w:lvl w:ilvl="6" w:tplc="5B7ADB58">
      <w:start w:val="1"/>
      <w:numFmt w:val="decimal"/>
      <w:lvlText w:val="%7."/>
      <w:lvlJc w:val="left"/>
      <w:pPr>
        <w:tabs>
          <w:tab w:val="num" w:pos="5040"/>
        </w:tabs>
        <w:ind w:left="5040" w:hanging="360"/>
      </w:pPr>
      <w:rPr>
        <w:rFonts w:cs="Times New Roman"/>
      </w:rPr>
    </w:lvl>
    <w:lvl w:ilvl="7" w:tplc="7E2E3360">
      <w:start w:val="1"/>
      <w:numFmt w:val="lowerLetter"/>
      <w:lvlText w:val="%8."/>
      <w:lvlJc w:val="left"/>
      <w:pPr>
        <w:tabs>
          <w:tab w:val="num" w:pos="5760"/>
        </w:tabs>
        <w:ind w:left="5760" w:hanging="360"/>
      </w:pPr>
      <w:rPr>
        <w:rFonts w:cs="Times New Roman"/>
      </w:rPr>
    </w:lvl>
    <w:lvl w:ilvl="8" w:tplc="3612D6FA">
      <w:start w:val="1"/>
      <w:numFmt w:val="lowerRoman"/>
      <w:lvlText w:val="%9."/>
      <w:lvlJc w:val="right"/>
      <w:pPr>
        <w:tabs>
          <w:tab w:val="num" w:pos="6480"/>
        </w:tabs>
        <w:ind w:left="6480" w:hanging="180"/>
      </w:pPr>
      <w:rPr>
        <w:rFonts w:cs="Times New Roman"/>
      </w:rPr>
    </w:lvl>
  </w:abstractNum>
  <w:abstractNum w:abstractNumId="2" w15:restartNumberingAfterBreak="0">
    <w:nsid w:val="1F412631"/>
    <w:multiLevelType w:val="hybridMultilevel"/>
    <w:tmpl w:val="BBF67526"/>
    <w:lvl w:ilvl="0" w:tplc="6650A5EE">
      <w:start w:val="1"/>
      <w:numFmt w:val="decimal"/>
      <w:lvlText w:val="%1."/>
      <w:lvlJc w:val="left"/>
      <w:pPr>
        <w:ind w:left="128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4034D4F"/>
    <w:multiLevelType w:val="hybridMultilevel"/>
    <w:tmpl w:val="F21EF5BE"/>
    <w:lvl w:ilvl="0" w:tplc="AE8CE060">
      <w:start w:val="1"/>
      <w:numFmt w:val="decimal"/>
      <w:lvlText w:val="(%1)"/>
      <w:lvlJc w:val="left"/>
      <w:pPr>
        <w:tabs>
          <w:tab w:val="num" w:pos="720"/>
        </w:tabs>
        <w:ind w:left="720" w:hanging="360"/>
      </w:pPr>
      <w:rPr>
        <w:rFonts w:ascii="Times New Roman" w:eastAsia="Times New Roman" w:hAnsi="Times New Roman" w:cs="Times New Roman"/>
      </w:rPr>
    </w:lvl>
    <w:lvl w:ilvl="1" w:tplc="42B6BA2E">
      <w:start w:val="1"/>
      <w:numFmt w:val="lowerLetter"/>
      <w:lvlText w:val="%2."/>
      <w:lvlJc w:val="left"/>
      <w:pPr>
        <w:tabs>
          <w:tab w:val="num" w:pos="1440"/>
        </w:tabs>
        <w:ind w:left="1440" w:hanging="360"/>
      </w:pPr>
      <w:rPr>
        <w:rFonts w:cs="Times New Roman"/>
      </w:rPr>
    </w:lvl>
    <w:lvl w:ilvl="2" w:tplc="F11ED338">
      <w:start w:val="1"/>
      <w:numFmt w:val="lowerRoman"/>
      <w:lvlText w:val="%3."/>
      <w:lvlJc w:val="right"/>
      <w:pPr>
        <w:tabs>
          <w:tab w:val="num" w:pos="2160"/>
        </w:tabs>
        <w:ind w:left="2160" w:hanging="180"/>
      </w:pPr>
      <w:rPr>
        <w:rFonts w:cs="Times New Roman"/>
      </w:rPr>
    </w:lvl>
    <w:lvl w:ilvl="3" w:tplc="8230098C">
      <w:start w:val="1"/>
      <w:numFmt w:val="decimal"/>
      <w:lvlText w:val="%4."/>
      <w:lvlJc w:val="left"/>
      <w:pPr>
        <w:tabs>
          <w:tab w:val="num" w:pos="2880"/>
        </w:tabs>
        <w:ind w:left="2880" w:hanging="360"/>
      </w:pPr>
      <w:rPr>
        <w:rFonts w:cs="Times New Roman"/>
      </w:rPr>
    </w:lvl>
    <w:lvl w:ilvl="4" w:tplc="987AF2B2">
      <w:start w:val="1"/>
      <w:numFmt w:val="lowerLetter"/>
      <w:lvlText w:val="%5."/>
      <w:lvlJc w:val="left"/>
      <w:pPr>
        <w:tabs>
          <w:tab w:val="num" w:pos="3600"/>
        </w:tabs>
        <w:ind w:left="3600" w:hanging="360"/>
      </w:pPr>
      <w:rPr>
        <w:rFonts w:cs="Times New Roman"/>
      </w:rPr>
    </w:lvl>
    <w:lvl w:ilvl="5" w:tplc="1E0E63A0">
      <w:start w:val="1"/>
      <w:numFmt w:val="lowerRoman"/>
      <w:lvlText w:val="%6."/>
      <w:lvlJc w:val="right"/>
      <w:pPr>
        <w:tabs>
          <w:tab w:val="num" w:pos="4320"/>
        </w:tabs>
        <w:ind w:left="4320" w:hanging="180"/>
      </w:pPr>
      <w:rPr>
        <w:rFonts w:cs="Times New Roman"/>
      </w:rPr>
    </w:lvl>
    <w:lvl w:ilvl="6" w:tplc="5446739E">
      <w:start w:val="1"/>
      <w:numFmt w:val="decimal"/>
      <w:lvlText w:val="%7."/>
      <w:lvlJc w:val="left"/>
      <w:pPr>
        <w:tabs>
          <w:tab w:val="num" w:pos="5040"/>
        </w:tabs>
        <w:ind w:left="5040" w:hanging="360"/>
      </w:pPr>
      <w:rPr>
        <w:rFonts w:cs="Times New Roman"/>
      </w:rPr>
    </w:lvl>
    <w:lvl w:ilvl="7" w:tplc="0E02E51A">
      <w:start w:val="1"/>
      <w:numFmt w:val="lowerLetter"/>
      <w:lvlText w:val="%8."/>
      <w:lvlJc w:val="left"/>
      <w:pPr>
        <w:tabs>
          <w:tab w:val="num" w:pos="5760"/>
        </w:tabs>
        <w:ind w:left="5760" w:hanging="360"/>
      </w:pPr>
      <w:rPr>
        <w:rFonts w:cs="Times New Roman"/>
      </w:rPr>
    </w:lvl>
    <w:lvl w:ilvl="8" w:tplc="D44C1D94">
      <w:start w:val="1"/>
      <w:numFmt w:val="lowerRoman"/>
      <w:lvlText w:val="%9."/>
      <w:lvlJc w:val="right"/>
      <w:pPr>
        <w:tabs>
          <w:tab w:val="num" w:pos="6480"/>
        </w:tabs>
        <w:ind w:left="6480" w:hanging="180"/>
      </w:pPr>
      <w:rPr>
        <w:rFonts w:cs="Times New Roman"/>
      </w:rPr>
    </w:lvl>
  </w:abstractNum>
  <w:abstractNum w:abstractNumId="4" w15:restartNumberingAfterBreak="0">
    <w:nsid w:val="304A37BB"/>
    <w:multiLevelType w:val="hybridMultilevel"/>
    <w:tmpl w:val="9640A67C"/>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33A04F37"/>
    <w:multiLevelType w:val="hybridMultilevel"/>
    <w:tmpl w:val="DD905D58"/>
    <w:lvl w:ilvl="0" w:tplc="6A188F7E">
      <w:start w:val="1"/>
      <w:numFmt w:val="decimal"/>
      <w:lvlText w:val="%1."/>
      <w:lvlJc w:val="left"/>
      <w:pPr>
        <w:ind w:left="-66" w:hanging="360"/>
      </w:pPr>
      <w:rPr>
        <w:rFonts w:cs="Times New Roman" w:hint="default"/>
        <w:b/>
      </w:rPr>
    </w:lvl>
    <w:lvl w:ilvl="1" w:tplc="041B0019" w:tentative="1">
      <w:start w:val="1"/>
      <w:numFmt w:val="lowerLetter"/>
      <w:lvlText w:val="%2."/>
      <w:lvlJc w:val="left"/>
      <w:pPr>
        <w:ind w:left="654" w:hanging="360"/>
      </w:pPr>
      <w:rPr>
        <w:rFonts w:cs="Times New Roman"/>
      </w:rPr>
    </w:lvl>
    <w:lvl w:ilvl="2" w:tplc="041B001B" w:tentative="1">
      <w:start w:val="1"/>
      <w:numFmt w:val="lowerRoman"/>
      <w:lvlText w:val="%3."/>
      <w:lvlJc w:val="right"/>
      <w:pPr>
        <w:ind w:left="1374" w:hanging="180"/>
      </w:pPr>
      <w:rPr>
        <w:rFonts w:cs="Times New Roman"/>
      </w:rPr>
    </w:lvl>
    <w:lvl w:ilvl="3" w:tplc="041B000F" w:tentative="1">
      <w:start w:val="1"/>
      <w:numFmt w:val="decimal"/>
      <w:lvlText w:val="%4."/>
      <w:lvlJc w:val="left"/>
      <w:pPr>
        <w:ind w:left="2094" w:hanging="360"/>
      </w:pPr>
      <w:rPr>
        <w:rFonts w:cs="Times New Roman"/>
      </w:rPr>
    </w:lvl>
    <w:lvl w:ilvl="4" w:tplc="041B0019" w:tentative="1">
      <w:start w:val="1"/>
      <w:numFmt w:val="lowerLetter"/>
      <w:lvlText w:val="%5."/>
      <w:lvlJc w:val="left"/>
      <w:pPr>
        <w:ind w:left="2814" w:hanging="360"/>
      </w:pPr>
      <w:rPr>
        <w:rFonts w:cs="Times New Roman"/>
      </w:rPr>
    </w:lvl>
    <w:lvl w:ilvl="5" w:tplc="041B001B" w:tentative="1">
      <w:start w:val="1"/>
      <w:numFmt w:val="lowerRoman"/>
      <w:lvlText w:val="%6."/>
      <w:lvlJc w:val="right"/>
      <w:pPr>
        <w:ind w:left="3534" w:hanging="180"/>
      </w:pPr>
      <w:rPr>
        <w:rFonts w:cs="Times New Roman"/>
      </w:rPr>
    </w:lvl>
    <w:lvl w:ilvl="6" w:tplc="041B000F" w:tentative="1">
      <w:start w:val="1"/>
      <w:numFmt w:val="decimal"/>
      <w:lvlText w:val="%7."/>
      <w:lvlJc w:val="left"/>
      <w:pPr>
        <w:ind w:left="4254" w:hanging="360"/>
      </w:pPr>
      <w:rPr>
        <w:rFonts w:cs="Times New Roman"/>
      </w:rPr>
    </w:lvl>
    <w:lvl w:ilvl="7" w:tplc="041B0019" w:tentative="1">
      <w:start w:val="1"/>
      <w:numFmt w:val="lowerLetter"/>
      <w:lvlText w:val="%8."/>
      <w:lvlJc w:val="left"/>
      <w:pPr>
        <w:ind w:left="4974" w:hanging="360"/>
      </w:pPr>
      <w:rPr>
        <w:rFonts w:cs="Times New Roman"/>
      </w:rPr>
    </w:lvl>
    <w:lvl w:ilvl="8" w:tplc="041B001B" w:tentative="1">
      <w:start w:val="1"/>
      <w:numFmt w:val="lowerRoman"/>
      <w:lvlText w:val="%9."/>
      <w:lvlJc w:val="right"/>
      <w:pPr>
        <w:ind w:left="5694" w:hanging="180"/>
      </w:pPr>
      <w:rPr>
        <w:rFonts w:cs="Times New Roman"/>
      </w:rPr>
    </w:lvl>
  </w:abstractNum>
  <w:abstractNum w:abstractNumId="6" w15:restartNumberingAfterBreak="0">
    <w:nsid w:val="39EC5582"/>
    <w:multiLevelType w:val="hybridMultilevel"/>
    <w:tmpl w:val="8E387646"/>
    <w:lvl w:ilvl="0" w:tplc="1EF4D4EA">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D26213A"/>
    <w:multiLevelType w:val="hybridMultilevel"/>
    <w:tmpl w:val="BE14BFD4"/>
    <w:lvl w:ilvl="0" w:tplc="3BFA3EE2">
      <w:numFmt w:val="bullet"/>
      <w:lvlText w:val="-"/>
      <w:lvlJc w:val="left"/>
      <w:pPr>
        <w:ind w:left="720" w:hanging="360"/>
      </w:pPr>
      <w:rPr>
        <w:rFonts w:ascii="Vrinda" w:eastAsia="Times New Roman" w:hAnsi="Vrinda"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3D4F3012"/>
    <w:multiLevelType w:val="hybridMultilevel"/>
    <w:tmpl w:val="9D86A038"/>
    <w:lvl w:ilvl="0" w:tplc="71A413F2">
      <w:start w:val="1"/>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C0347C"/>
    <w:multiLevelType w:val="hybridMultilevel"/>
    <w:tmpl w:val="482629E6"/>
    <w:lvl w:ilvl="0" w:tplc="33745A06">
      <w:numFmt w:val="bullet"/>
      <w:lvlText w:val="-"/>
      <w:lvlJc w:val="left"/>
      <w:pPr>
        <w:ind w:left="720" w:hanging="360"/>
      </w:pPr>
      <w:rPr>
        <w:rFonts w:ascii="Times New Roman" w:eastAsia="Times New Roman" w:hAnsi="Times New Roman" w:hint="default"/>
      </w:rPr>
    </w:lvl>
    <w:lvl w:ilvl="1" w:tplc="205489A4">
      <w:start w:val="1"/>
      <w:numFmt w:val="bullet"/>
      <w:lvlText w:val="o"/>
      <w:lvlJc w:val="left"/>
      <w:pPr>
        <w:ind w:left="1440" w:hanging="360"/>
      </w:pPr>
      <w:rPr>
        <w:rFonts w:ascii="Courier New" w:hAnsi="Courier New" w:hint="default"/>
      </w:rPr>
    </w:lvl>
    <w:lvl w:ilvl="2" w:tplc="E95C0472">
      <w:start w:val="1"/>
      <w:numFmt w:val="bullet"/>
      <w:lvlText w:val=""/>
      <w:lvlJc w:val="left"/>
      <w:pPr>
        <w:ind w:left="2160" w:hanging="360"/>
      </w:pPr>
      <w:rPr>
        <w:rFonts w:ascii="Wingdings" w:hAnsi="Wingdings" w:hint="default"/>
      </w:rPr>
    </w:lvl>
    <w:lvl w:ilvl="3" w:tplc="CF0A34F2">
      <w:start w:val="1"/>
      <w:numFmt w:val="bullet"/>
      <w:lvlText w:val=""/>
      <w:lvlJc w:val="left"/>
      <w:pPr>
        <w:ind w:left="2880" w:hanging="360"/>
      </w:pPr>
      <w:rPr>
        <w:rFonts w:ascii="Symbol" w:hAnsi="Symbol" w:hint="default"/>
      </w:rPr>
    </w:lvl>
    <w:lvl w:ilvl="4" w:tplc="788AADD8">
      <w:start w:val="1"/>
      <w:numFmt w:val="bullet"/>
      <w:lvlText w:val="o"/>
      <w:lvlJc w:val="left"/>
      <w:pPr>
        <w:ind w:left="3600" w:hanging="360"/>
      </w:pPr>
      <w:rPr>
        <w:rFonts w:ascii="Courier New" w:hAnsi="Courier New" w:hint="default"/>
      </w:rPr>
    </w:lvl>
    <w:lvl w:ilvl="5" w:tplc="C3505F9A">
      <w:start w:val="1"/>
      <w:numFmt w:val="bullet"/>
      <w:lvlText w:val=""/>
      <w:lvlJc w:val="left"/>
      <w:pPr>
        <w:ind w:left="4320" w:hanging="360"/>
      </w:pPr>
      <w:rPr>
        <w:rFonts w:ascii="Wingdings" w:hAnsi="Wingdings" w:hint="default"/>
      </w:rPr>
    </w:lvl>
    <w:lvl w:ilvl="6" w:tplc="1B1680D8">
      <w:start w:val="1"/>
      <w:numFmt w:val="bullet"/>
      <w:lvlText w:val=""/>
      <w:lvlJc w:val="left"/>
      <w:pPr>
        <w:ind w:left="5040" w:hanging="360"/>
      </w:pPr>
      <w:rPr>
        <w:rFonts w:ascii="Symbol" w:hAnsi="Symbol" w:hint="default"/>
      </w:rPr>
    </w:lvl>
    <w:lvl w:ilvl="7" w:tplc="83886E70">
      <w:start w:val="1"/>
      <w:numFmt w:val="bullet"/>
      <w:lvlText w:val="o"/>
      <w:lvlJc w:val="left"/>
      <w:pPr>
        <w:ind w:left="5760" w:hanging="360"/>
      </w:pPr>
      <w:rPr>
        <w:rFonts w:ascii="Courier New" w:hAnsi="Courier New" w:hint="default"/>
      </w:rPr>
    </w:lvl>
    <w:lvl w:ilvl="8" w:tplc="1A3E2860">
      <w:start w:val="1"/>
      <w:numFmt w:val="bullet"/>
      <w:lvlText w:val=""/>
      <w:lvlJc w:val="left"/>
      <w:pPr>
        <w:ind w:left="6480" w:hanging="360"/>
      </w:pPr>
      <w:rPr>
        <w:rFonts w:ascii="Wingdings" w:hAnsi="Wingdings" w:hint="default"/>
      </w:rPr>
    </w:lvl>
  </w:abstractNum>
  <w:abstractNum w:abstractNumId="10" w15:restartNumberingAfterBreak="0">
    <w:nsid w:val="47D1531D"/>
    <w:multiLevelType w:val="hybridMultilevel"/>
    <w:tmpl w:val="7668D29A"/>
    <w:lvl w:ilvl="0" w:tplc="B3AA1FC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44241A9"/>
    <w:multiLevelType w:val="hybridMultilevel"/>
    <w:tmpl w:val="9C5C1C1C"/>
    <w:lvl w:ilvl="0" w:tplc="57864AF4">
      <w:numFmt w:val="bullet"/>
      <w:lvlText w:val="-"/>
      <w:lvlJc w:val="left"/>
      <w:pPr>
        <w:ind w:left="720" w:hanging="360"/>
      </w:pPr>
      <w:rPr>
        <w:rFonts w:ascii="Times New Roman" w:eastAsia="Times New Roman" w:hAnsi="Times New Roman" w:hint="default"/>
      </w:rPr>
    </w:lvl>
    <w:lvl w:ilvl="1" w:tplc="07827CE4">
      <w:start w:val="1"/>
      <w:numFmt w:val="bullet"/>
      <w:lvlText w:val="o"/>
      <w:lvlJc w:val="left"/>
      <w:pPr>
        <w:ind w:left="1440" w:hanging="360"/>
      </w:pPr>
      <w:rPr>
        <w:rFonts w:ascii="Courier New" w:hAnsi="Courier New" w:hint="default"/>
      </w:rPr>
    </w:lvl>
    <w:lvl w:ilvl="2" w:tplc="DD1AC1B0">
      <w:start w:val="1"/>
      <w:numFmt w:val="bullet"/>
      <w:lvlText w:val=""/>
      <w:lvlJc w:val="left"/>
      <w:pPr>
        <w:ind w:left="2160" w:hanging="360"/>
      </w:pPr>
      <w:rPr>
        <w:rFonts w:ascii="Wingdings" w:hAnsi="Wingdings" w:hint="default"/>
      </w:rPr>
    </w:lvl>
    <w:lvl w:ilvl="3" w:tplc="03BA77FE">
      <w:start w:val="1"/>
      <w:numFmt w:val="bullet"/>
      <w:lvlText w:val=""/>
      <w:lvlJc w:val="left"/>
      <w:pPr>
        <w:ind w:left="2880" w:hanging="360"/>
      </w:pPr>
      <w:rPr>
        <w:rFonts w:ascii="Symbol" w:hAnsi="Symbol" w:hint="default"/>
      </w:rPr>
    </w:lvl>
    <w:lvl w:ilvl="4" w:tplc="C1B856AE">
      <w:start w:val="1"/>
      <w:numFmt w:val="bullet"/>
      <w:lvlText w:val="o"/>
      <w:lvlJc w:val="left"/>
      <w:pPr>
        <w:ind w:left="3600" w:hanging="360"/>
      </w:pPr>
      <w:rPr>
        <w:rFonts w:ascii="Courier New" w:hAnsi="Courier New" w:hint="default"/>
      </w:rPr>
    </w:lvl>
    <w:lvl w:ilvl="5" w:tplc="B6D0ED80">
      <w:start w:val="1"/>
      <w:numFmt w:val="bullet"/>
      <w:lvlText w:val=""/>
      <w:lvlJc w:val="left"/>
      <w:pPr>
        <w:ind w:left="4320" w:hanging="360"/>
      </w:pPr>
      <w:rPr>
        <w:rFonts w:ascii="Wingdings" w:hAnsi="Wingdings" w:hint="default"/>
      </w:rPr>
    </w:lvl>
    <w:lvl w:ilvl="6" w:tplc="01348EA4">
      <w:start w:val="1"/>
      <w:numFmt w:val="bullet"/>
      <w:lvlText w:val=""/>
      <w:lvlJc w:val="left"/>
      <w:pPr>
        <w:ind w:left="5040" w:hanging="360"/>
      </w:pPr>
      <w:rPr>
        <w:rFonts w:ascii="Symbol" w:hAnsi="Symbol" w:hint="default"/>
      </w:rPr>
    </w:lvl>
    <w:lvl w:ilvl="7" w:tplc="D2EC63E6">
      <w:start w:val="1"/>
      <w:numFmt w:val="bullet"/>
      <w:lvlText w:val="o"/>
      <w:lvlJc w:val="left"/>
      <w:pPr>
        <w:ind w:left="5760" w:hanging="360"/>
      </w:pPr>
      <w:rPr>
        <w:rFonts w:ascii="Courier New" w:hAnsi="Courier New" w:hint="default"/>
      </w:rPr>
    </w:lvl>
    <w:lvl w:ilvl="8" w:tplc="D37020FA">
      <w:start w:val="1"/>
      <w:numFmt w:val="bullet"/>
      <w:lvlText w:val=""/>
      <w:lvlJc w:val="left"/>
      <w:pPr>
        <w:ind w:left="6480" w:hanging="360"/>
      </w:pPr>
      <w:rPr>
        <w:rFonts w:ascii="Wingdings" w:hAnsi="Wingdings" w:hint="default"/>
      </w:rPr>
    </w:lvl>
  </w:abstractNum>
  <w:abstractNum w:abstractNumId="12" w15:restartNumberingAfterBreak="0">
    <w:nsid w:val="5D0B44FF"/>
    <w:multiLevelType w:val="hybridMultilevel"/>
    <w:tmpl w:val="8C3E8A70"/>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E93087A"/>
    <w:multiLevelType w:val="hybridMultilevel"/>
    <w:tmpl w:val="BDA62CAC"/>
    <w:lvl w:ilvl="0" w:tplc="041B000F">
      <w:start w:val="1"/>
      <w:numFmt w:val="decimal"/>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4" w15:restartNumberingAfterBreak="0">
    <w:nsid w:val="622978CF"/>
    <w:multiLevelType w:val="hybridMultilevel"/>
    <w:tmpl w:val="84FAE296"/>
    <w:lvl w:ilvl="0" w:tplc="041B000B">
      <w:start w:val="1"/>
      <w:numFmt w:val="bullet"/>
      <w:lvlText w:val=""/>
      <w:lvlJc w:val="left"/>
      <w:pPr>
        <w:ind w:left="294" w:hanging="360"/>
      </w:pPr>
      <w:rPr>
        <w:rFonts w:ascii="Wingdings" w:hAnsi="Wingdings" w:hint="default"/>
      </w:rPr>
    </w:lvl>
    <w:lvl w:ilvl="1" w:tplc="041B0003" w:tentative="1">
      <w:start w:val="1"/>
      <w:numFmt w:val="bullet"/>
      <w:lvlText w:val="o"/>
      <w:lvlJc w:val="left"/>
      <w:pPr>
        <w:ind w:left="1014" w:hanging="360"/>
      </w:pPr>
      <w:rPr>
        <w:rFonts w:ascii="Courier New" w:hAnsi="Courier New" w:hint="default"/>
      </w:rPr>
    </w:lvl>
    <w:lvl w:ilvl="2" w:tplc="041B0005" w:tentative="1">
      <w:start w:val="1"/>
      <w:numFmt w:val="bullet"/>
      <w:lvlText w:val=""/>
      <w:lvlJc w:val="left"/>
      <w:pPr>
        <w:ind w:left="1734" w:hanging="360"/>
      </w:pPr>
      <w:rPr>
        <w:rFonts w:ascii="Wingdings" w:hAnsi="Wingdings" w:hint="default"/>
      </w:rPr>
    </w:lvl>
    <w:lvl w:ilvl="3" w:tplc="041B0001" w:tentative="1">
      <w:start w:val="1"/>
      <w:numFmt w:val="bullet"/>
      <w:lvlText w:val=""/>
      <w:lvlJc w:val="left"/>
      <w:pPr>
        <w:ind w:left="2454" w:hanging="360"/>
      </w:pPr>
      <w:rPr>
        <w:rFonts w:ascii="Symbol" w:hAnsi="Symbol" w:hint="default"/>
      </w:rPr>
    </w:lvl>
    <w:lvl w:ilvl="4" w:tplc="041B0003" w:tentative="1">
      <w:start w:val="1"/>
      <w:numFmt w:val="bullet"/>
      <w:lvlText w:val="o"/>
      <w:lvlJc w:val="left"/>
      <w:pPr>
        <w:ind w:left="3174" w:hanging="360"/>
      </w:pPr>
      <w:rPr>
        <w:rFonts w:ascii="Courier New" w:hAnsi="Courier New" w:hint="default"/>
      </w:rPr>
    </w:lvl>
    <w:lvl w:ilvl="5" w:tplc="041B0005" w:tentative="1">
      <w:start w:val="1"/>
      <w:numFmt w:val="bullet"/>
      <w:lvlText w:val=""/>
      <w:lvlJc w:val="left"/>
      <w:pPr>
        <w:ind w:left="3894" w:hanging="360"/>
      </w:pPr>
      <w:rPr>
        <w:rFonts w:ascii="Wingdings" w:hAnsi="Wingdings" w:hint="default"/>
      </w:rPr>
    </w:lvl>
    <w:lvl w:ilvl="6" w:tplc="041B0001" w:tentative="1">
      <w:start w:val="1"/>
      <w:numFmt w:val="bullet"/>
      <w:lvlText w:val=""/>
      <w:lvlJc w:val="left"/>
      <w:pPr>
        <w:ind w:left="4614" w:hanging="360"/>
      </w:pPr>
      <w:rPr>
        <w:rFonts w:ascii="Symbol" w:hAnsi="Symbol" w:hint="default"/>
      </w:rPr>
    </w:lvl>
    <w:lvl w:ilvl="7" w:tplc="041B0003" w:tentative="1">
      <w:start w:val="1"/>
      <w:numFmt w:val="bullet"/>
      <w:lvlText w:val="o"/>
      <w:lvlJc w:val="left"/>
      <w:pPr>
        <w:ind w:left="5334" w:hanging="360"/>
      </w:pPr>
      <w:rPr>
        <w:rFonts w:ascii="Courier New" w:hAnsi="Courier New" w:hint="default"/>
      </w:rPr>
    </w:lvl>
    <w:lvl w:ilvl="8" w:tplc="041B0005" w:tentative="1">
      <w:start w:val="1"/>
      <w:numFmt w:val="bullet"/>
      <w:lvlText w:val=""/>
      <w:lvlJc w:val="left"/>
      <w:pPr>
        <w:ind w:left="6054" w:hanging="360"/>
      </w:pPr>
      <w:rPr>
        <w:rFonts w:ascii="Wingdings" w:hAnsi="Wingdings" w:hint="default"/>
      </w:rPr>
    </w:lvl>
  </w:abstractNum>
  <w:abstractNum w:abstractNumId="15" w15:restartNumberingAfterBreak="0">
    <w:nsid w:val="6AB62683"/>
    <w:multiLevelType w:val="singleLevel"/>
    <w:tmpl w:val="768E8086"/>
    <w:lvl w:ilvl="0">
      <w:start w:val="1"/>
      <w:numFmt w:val="bullet"/>
      <w:lvlText w:val="-"/>
      <w:lvlJc w:val="left"/>
      <w:pPr>
        <w:tabs>
          <w:tab w:val="num" w:pos="644"/>
        </w:tabs>
        <w:ind w:left="644" w:hanging="360"/>
      </w:pPr>
      <w:rPr>
        <w:rFonts w:hint="default"/>
      </w:rPr>
    </w:lvl>
  </w:abstractNum>
  <w:abstractNum w:abstractNumId="16" w15:restartNumberingAfterBreak="0">
    <w:nsid w:val="6B625AE5"/>
    <w:multiLevelType w:val="singleLevel"/>
    <w:tmpl w:val="0405000F"/>
    <w:lvl w:ilvl="0">
      <w:start w:val="2"/>
      <w:numFmt w:val="decimal"/>
      <w:lvlText w:val="%1."/>
      <w:lvlJc w:val="left"/>
      <w:pPr>
        <w:tabs>
          <w:tab w:val="num" w:pos="360"/>
        </w:tabs>
        <w:ind w:left="360" w:hanging="360"/>
      </w:pPr>
      <w:rPr>
        <w:rFonts w:cs="Times New Roman" w:hint="default"/>
      </w:rPr>
    </w:lvl>
  </w:abstractNum>
  <w:abstractNum w:abstractNumId="17" w15:restartNumberingAfterBreak="0">
    <w:nsid w:val="6F3C24B4"/>
    <w:multiLevelType w:val="hybridMultilevel"/>
    <w:tmpl w:val="3162F5C2"/>
    <w:lvl w:ilvl="0" w:tplc="056EA108">
      <w:start w:val="22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4011C4B"/>
    <w:multiLevelType w:val="hybridMultilevel"/>
    <w:tmpl w:val="3F1EC88E"/>
    <w:lvl w:ilvl="0" w:tplc="71D8E1E8">
      <w:start w:val="1"/>
      <w:numFmt w:val="lowerLetter"/>
      <w:lvlText w:val="%1)"/>
      <w:lvlJc w:val="left"/>
      <w:pPr>
        <w:ind w:left="644" w:hanging="360"/>
      </w:pPr>
      <w:rPr>
        <w:rFonts w:cs="Times New Roman" w:hint="default"/>
        <w:b/>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9" w15:restartNumberingAfterBreak="0">
    <w:nsid w:val="77F25767"/>
    <w:multiLevelType w:val="hybridMultilevel"/>
    <w:tmpl w:val="AD60BE6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21" w15:restartNumberingAfterBreak="0">
    <w:nsid w:val="7C645C37"/>
    <w:multiLevelType w:val="hybridMultilevel"/>
    <w:tmpl w:val="35F080D8"/>
    <w:lvl w:ilvl="0" w:tplc="FF7E47CC">
      <w:start w:val="36"/>
      <w:numFmt w:val="decimal"/>
      <w:lvlText w:val="%1."/>
      <w:lvlJc w:val="left"/>
      <w:pPr>
        <w:tabs>
          <w:tab w:val="num" w:pos="720"/>
        </w:tabs>
        <w:ind w:left="720" w:hanging="360"/>
      </w:pPr>
      <w:rPr>
        <w:rFonts w:cs="Times New Roman"/>
      </w:rPr>
    </w:lvl>
    <w:lvl w:ilvl="1" w:tplc="B310DDD0">
      <w:start w:val="1"/>
      <w:numFmt w:val="lowerLetter"/>
      <w:lvlText w:val="%2)"/>
      <w:lvlJc w:val="left"/>
      <w:pPr>
        <w:tabs>
          <w:tab w:val="num" w:pos="1440"/>
        </w:tabs>
        <w:ind w:left="1440" w:hanging="360"/>
      </w:pPr>
      <w:rPr>
        <w:rFonts w:ascii="Times New Roman" w:eastAsia="Times New Roman" w:hAnsi="Times New Roman" w:cs="Times New Roman"/>
      </w:rPr>
    </w:lvl>
    <w:lvl w:ilvl="2" w:tplc="F014F6F0">
      <w:start w:val="1"/>
      <w:numFmt w:val="lowerRoman"/>
      <w:lvlText w:val="%3."/>
      <w:lvlJc w:val="right"/>
      <w:pPr>
        <w:tabs>
          <w:tab w:val="num" w:pos="2160"/>
        </w:tabs>
        <w:ind w:left="2160" w:hanging="180"/>
      </w:pPr>
      <w:rPr>
        <w:rFonts w:cs="Times New Roman"/>
      </w:rPr>
    </w:lvl>
    <w:lvl w:ilvl="3" w:tplc="E1365454">
      <w:start w:val="1"/>
      <w:numFmt w:val="decimal"/>
      <w:lvlText w:val="%4."/>
      <w:lvlJc w:val="left"/>
      <w:pPr>
        <w:tabs>
          <w:tab w:val="num" w:pos="2880"/>
        </w:tabs>
        <w:ind w:left="2880" w:hanging="360"/>
      </w:pPr>
      <w:rPr>
        <w:rFonts w:cs="Times New Roman"/>
      </w:rPr>
    </w:lvl>
    <w:lvl w:ilvl="4" w:tplc="8724E436">
      <w:start w:val="1"/>
      <w:numFmt w:val="decimal"/>
      <w:lvlText w:val="%5."/>
      <w:lvlJc w:val="left"/>
      <w:pPr>
        <w:tabs>
          <w:tab w:val="num" w:pos="3600"/>
        </w:tabs>
        <w:ind w:left="3600" w:hanging="360"/>
      </w:pPr>
      <w:rPr>
        <w:rFonts w:cs="Times New Roman"/>
      </w:rPr>
    </w:lvl>
    <w:lvl w:ilvl="5" w:tplc="A7AAAD14">
      <w:start w:val="1"/>
      <w:numFmt w:val="decimal"/>
      <w:lvlText w:val="%6."/>
      <w:lvlJc w:val="left"/>
      <w:pPr>
        <w:tabs>
          <w:tab w:val="num" w:pos="4320"/>
        </w:tabs>
        <w:ind w:left="4320" w:hanging="360"/>
      </w:pPr>
      <w:rPr>
        <w:rFonts w:cs="Times New Roman"/>
      </w:rPr>
    </w:lvl>
    <w:lvl w:ilvl="6" w:tplc="871A74F4">
      <w:start w:val="1"/>
      <w:numFmt w:val="decimal"/>
      <w:lvlText w:val="%7."/>
      <w:lvlJc w:val="left"/>
      <w:pPr>
        <w:tabs>
          <w:tab w:val="num" w:pos="5040"/>
        </w:tabs>
        <w:ind w:left="5040" w:hanging="360"/>
      </w:pPr>
      <w:rPr>
        <w:rFonts w:cs="Times New Roman"/>
      </w:rPr>
    </w:lvl>
    <w:lvl w:ilvl="7" w:tplc="5964E9FC">
      <w:start w:val="1"/>
      <w:numFmt w:val="decimal"/>
      <w:lvlText w:val="%8."/>
      <w:lvlJc w:val="left"/>
      <w:pPr>
        <w:tabs>
          <w:tab w:val="num" w:pos="5760"/>
        </w:tabs>
        <w:ind w:left="5760" w:hanging="360"/>
      </w:pPr>
      <w:rPr>
        <w:rFonts w:cs="Times New Roman"/>
      </w:rPr>
    </w:lvl>
    <w:lvl w:ilvl="8" w:tplc="EB4A1BD2">
      <w:start w:val="1"/>
      <w:numFmt w:val="decimal"/>
      <w:lvlText w:val="%9."/>
      <w:lvlJc w:val="left"/>
      <w:pPr>
        <w:tabs>
          <w:tab w:val="num" w:pos="6480"/>
        </w:tabs>
        <w:ind w:left="6480" w:hanging="360"/>
      </w:pPr>
      <w:rPr>
        <w:rFonts w:cs="Times New Roman"/>
      </w:rPr>
    </w:lvl>
  </w:abstractNum>
  <w:num w:numId="1">
    <w:abstractNumId w:val="3"/>
  </w:num>
  <w:num w:numId="2">
    <w:abstractNumId w:val="1"/>
  </w:num>
  <w:num w:numId="3">
    <w:abstractNumId w:val="2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7"/>
  </w:num>
  <w:num w:numId="7">
    <w:abstractNumId w:val="0"/>
  </w:num>
  <w:num w:numId="8">
    <w:abstractNumId w:val="19"/>
  </w:num>
  <w:num w:numId="9">
    <w:abstractNumId w:val="14"/>
  </w:num>
  <w:num w:numId="10">
    <w:abstractNumId w:val="5"/>
  </w:num>
  <w:num w:numId="11">
    <w:abstractNumId w:val="4"/>
  </w:num>
  <w:num w:numId="12">
    <w:abstractNumId w:val="8"/>
  </w:num>
  <w:num w:numId="13">
    <w:abstractNumId w:val="15"/>
  </w:num>
  <w:num w:numId="14">
    <w:abstractNumId w:val="16"/>
  </w:num>
  <w:num w:numId="15">
    <w:abstractNumId w:val="12"/>
  </w:num>
  <w:num w:numId="16">
    <w:abstractNumId w:val="18"/>
  </w:num>
  <w:num w:numId="17">
    <w:abstractNumId w:val="13"/>
  </w:num>
  <w:num w:numId="18">
    <w:abstractNumId w:val="2"/>
  </w:num>
  <w:num w:numId="19">
    <w:abstractNumId w:val="20"/>
  </w:num>
  <w:num w:numId="20">
    <w:abstractNumId w:val="17"/>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3C"/>
    <w:rsid w:val="00007346"/>
    <w:rsid w:val="00014ED6"/>
    <w:rsid w:val="000343FE"/>
    <w:rsid w:val="000358D8"/>
    <w:rsid w:val="00050159"/>
    <w:rsid w:val="00060D72"/>
    <w:rsid w:val="0006283B"/>
    <w:rsid w:val="00072B24"/>
    <w:rsid w:val="000838E7"/>
    <w:rsid w:val="00097D9D"/>
    <w:rsid w:val="000A5CFF"/>
    <w:rsid w:val="000B3E0C"/>
    <w:rsid w:val="000B6031"/>
    <w:rsid w:val="000F0E29"/>
    <w:rsid w:val="00104458"/>
    <w:rsid w:val="00115FD1"/>
    <w:rsid w:val="00141D1D"/>
    <w:rsid w:val="00147003"/>
    <w:rsid w:val="00161291"/>
    <w:rsid w:val="001659B2"/>
    <w:rsid w:val="00167785"/>
    <w:rsid w:val="00174D48"/>
    <w:rsid w:val="00177F33"/>
    <w:rsid w:val="00180F2F"/>
    <w:rsid w:val="00183AFA"/>
    <w:rsid w:val="00185F9C"/>
    <w:rsid w:val="00195C3C"/>
    <w:rsid w:val="001B1D0D"/>
    <w:rsid w:val="001B7FEC"/>
    <w:rsid w:val="001C167E"/>
    <w:rsid w:val="001D2D9F"/>
    <w:rsid w:val="001D3916"/>
    <w:rsid w:val="001D68BF"/>
    <w:rsid w:val="001D6B23"/>
    <w:rsid w:val="001E1570"/>
    <w:rsid w:val="001E1F77"/>
    <w:rsid w:val="001E20C0"/>
    <w:rsid w:val="001E43DA"/>
    <w:rsid w:val="001F0864"/>
    <w:rsid w:val="001F277A"/>
    <w:rsid w:val="001F3091"/>
    <w:rsid w:val="001F6BA8"/>
    <w:rsid w:val="00206245"/>
    <w:rsid w:val="00207BDE"/>
    <w:rsid w:val="00211D1C"/>
    <w:rsid w:val="00213144"/>
    <w:rsid w:val="002278CF"/>
    <w:rsid w:val="0023600A"/>
    <w:rsid w:val="0023751B"/>
    <w:rsid w:val="0024404C"/>
    <w:rsid w:val="00244912"/>
    <w:rsid w:val="00244D16"/>
    <w:rsid w:val="00266E69"/>
    <w:rsid w:val="002708BA"/>
    <w:rsid w:val="002753DF"/>
    <w:rsid w:val="0029566F"/>
    <w:rsid w:val="00296758"/>
    <w:rsid w:val="002973EB"/>
    <w:rsid w:val="002B6F82"/>
    <w:rsid w:val="002E7617"/>
    <w:rsid w:val="002F7D05"/>
    <w:rsid w:val="0030411D"/>
    <w:rsid w:val="00315F76"/>
    <w:rsid w:val="00316C3B"/>
    <w:rsid w:val="00317100"/>
    <w:rsid w:val="003234A8"/>
    <w:rsid w:val="0032685A"/>
    <w:rsid w:val="003363BA"/>
    <w:rsid w:val="0034185C"/>
    <w:rsid w:val="003420B8"/>
    <w:rsid w:val="00347D82"/>
    <w:rsid w:val="003524BA"/>
    <w:rsid w:val="0035486F"/>
    <w:rsid w:val="003757BD"/>
    <w:rsid w:val="00377EAC"/>
    <w:rsid w:val="00381907"/>
    <w:rsid w:val="00382101"/>
    <w:rsid w:val="00386598"/>
    <w:rsid w:val="0039271D"/>
    <w:rsid w:val="003C289B"/>
    <w:rsid w:val="003C2CF3"/>
    <w:rsid w:val="003C612E"/>
    <w:rsid w:val="003D51ED"/>
    <w:rsid w:val="003D6A37"/>
    <w:rsid w:val="003E7E2D"/>
    <w:rsid w:val="003F5985"/>
    <w:rsid w:val="00400880"/>
    <w:rsid w:val="00402495"/>
    <w:rsid w:val="00402BF8"/>
    <w:rsid w:val="00403CFB"/>
    <w:rsid w:val="00404C94"/>
    <w:rsid w:val="00407BFC"/>
    <w:rsid w:val="00412EB7"/>
    <w:rsid w:val="004407E5"/>
    <w:rsid w:val="00451E12"/>
    <w:rsid w:val="00452013"/>
    <w:rsid w:val="00472E9E"/>
    <w:rsid w:val="00494166"/>
    <w:rsid w:val="004B4897"/>
    <w:rsid w:val="004B7A9F"/>
    <w:rsid w:val="004C16D2"/>
    <w:rsid w:val="004C5338"/>
    <w:rsid w:val="004D62F1"/>
    <w:rsid w:val="004E7DC0"/>
    <w:rsid w:val="004F25A7"/>
    <w:rsid w:val="004F3431"/>
    <w:rsid w:val="00500260"/>
    <w:rsid w:val="00524381"/>
    <w:rsid w:val="00544D26"/>
    <w:rsid w:val="00560C50"/>
    <w:rsid w:val="00560F42"/>
    <w:rsid w:val="00566ED2"/>
    <w:rsid w:val="00580B72"/>
    <w:rsid w:val="005954F8"/>
    <w:rsid w:val="005A150A"/>
    <w:rsid w:val="005A189A"/>
    <w:rsid w:val="005A20EF"/>
    <w:rsid w:val="005A358A"/>
    <w:rsid w:val="005A63AE"/>
    <w:rsid w:val="005B352D"/>
    <w:rsid w:val="005E54A0"/>
    <w:rsid w:val="005F7245"/>
    <w:rsid w:val="00601431"/>
    <w:rsid w:val="00625F02"/>
    <w:rsid w:val="00632F87"/>
    <w:rsid w:val="00637C74"/>
    <w:rsid w:val="00661D10"/>
    <w:rsid w:val="006A2F33"/>
    <w:rsid w:val="006C5970"/>
    <w:rsid w:val="006E6F39"/>
    <w:rsid w:val="006E7BDA"/>
    <w:rsid w:val="006F6F38"/>
    <w:rsid w:val="007066A3"/>
    <w:rsid w:val="007108BC"/>
    <w:rsid w:val="00710E27"/>
    <w:rsid w:val="00711853"/>
    <w:rsid w:val="00717A43"/>
    <w:rsid w:val="00717A7E"/>
    <w:rsid w:val="00725500"/>
    <w:rsid w:val="007370C7"/>
    <w:rsid w:val="0075626E"/>
    <w:rsid w:val="00756DA4"/>
    <w:rsid w:val="00761784"/>
    <w:rsid w:val="007700D5"/>
    <w:rsid w:val="00780E14"/>
    <w:rsid w:val="007819BF"/>
    <w:rsid w:val="00797E5F"/>
    <w:rsid w:val="007B019B"/>
    <w:rsid w:val="0082000D"/>
    <w:rsid w:val="008321A4"/>
    <w:rsid w:val="0084334D"/>
    <w:rsid w:val="008447AD"/>
    <w:rsid w:val="008455A9"/>
    <w:rsid w:val="00847E3A"/>
    <w:rsid w:val="00857021"/>
    <w:rsid w:val="00863509"/>
    <w:rsid w:val="00863C4D"/>
    <w:rsid w:val="00891916"/>
    <w:rsid w:val="008A1E82"/>
    <w:rsid w:val="008A4281"/>
    <w:rsid w:val="008B260B"/>
    <w:rsid w:val="008C48CB"/>
    <w:rsid w:val="008D587D"/>
    <w:rsid w:val="008D7B03"/>
    <w:rsid w:val="008E33F8"/>
    <w:rsid w:val="008F7430"/>
    <w:rsid w:val="009005AE"/>
    <w:rsid w:val="0090697F"/>
    <w:rsid w:val="00925E87"/>
    <w:rsid w:val="009303B3"/>
    <w:rsid w:val="00933C5C"/>
    <w:rsid w:val="00934CF9"/>
    <w:rsid w:val="009436C3"/>
    <w:rsid w:val="0095221D"/>
    <w:rsid w:val="009526CF"/>
    <w:rsid w:val="00962AF6"/>
    <w:rsid w:val="00963A01"/>
    <w:rsid w:val="00967992"/>
    <w:rsid w:val="009874E5"/>
    <w:rsid w:val="00987527"/>
    <w:rsid w:val="009A35DB"/>
    <w:rsid w:val="009B4837"/>
    <w:rsid w:val="009B7793"/>
    <w:rsid w:val="009B7913"/>
    <w:rsid w:val="009C0F18"/>
    <w:rsid w:val="009E7660"/>
    <w:rsid w:val="00A1133B"/>
    <w:rsid w:val="00A20E8D"/>
    <w:rsid w:val="00A30C39"/>
    <w:rsid w:val="00A3520F"/>
    <w:rsid w:val="00A422CF"/>
    <w:rsid w:val="00A57922"/>
    <w:rsid w:val="00A84EDB"/>
    <w:rsid w:val="00AA0F62"/>
    <w:rsid w:val="00AA12B7"/>
    <w:rsid w:val="00AA1D2A"/>
    <w:rsid w:val="00AB6CF7"/>
    <w:rsid w:val="00AD3DDF"/>
    <w:rsid w:val="00AE645A"/>
    <w:rsid w:val="00AE7640"/>
    <w:rsid w:val="00AF4F35"/>
    <w:rsid w:val="00AF570E"/>
    <w:rsid w:val="00B03D3D"/>
    <w:rsid w:val="00B12C46"/>
    <w:rsid w:val="00B24E2E"/>
    <w:rsid w:val="00B31CF4"/>
    <w:rsid w:val="00B3281A"/>
    <w:rsid w:val="00B331F8"/>
    <w:rsid w:val="00B346F2"/>
    <w:rsid w:val="00B4009C"/>
    <w:rsid w:val="00B45510"/>
    <w:rsid w:val="00B45834"/>
    <w:rsid w:val="00B53597"/>
    <w:rsid w:val="00B53C4C"/>
    <w:rsid w:val="00B62388"/>
    <w:rsid w:val="00B709FB"/>
    <w:rsid w:val="00B759C2"/>
    <w:rsid w:val="00B802B9"/>
    <w:rsid w:val="00B80A26"/>
    <w:rsid w:val="00B85D3E"/>
    <w:rsid w:val="00B86A75"/>
    <w:rsid w:val="00B918C6"/>
    <w:rsid w:val="00B95024"/>
    <w:rsid w:val="00BA42C7"/>
    <w:rsid w:val="00BA6D63"/>
    <w:rsid w:val="00BA7300"/>
    <w:rsid w:val="00BB5497"/>
    <w:rsid w:val="00BB570B"/>
    <w:rsid w:val="00BC3BDF"/>
    <w:rsid w:val="00BF3D36"/>
    <w:rsid w:val="00C07284"/>
    <w:rsid w:val="00C456E0"/>
    <w:rsid w:val="00C53849"/>
    <w:rsid w:val="00C57B58"/>
    <w:rsid w:val="00C72868"/>
    <w:rsid w:val="00C8349B"/>
    <w:rsid w:val="00C845C5"/>
    <w:rsid w:val="00C900AE"/>
    <w:rsid w:val="00C96EE6"/>
    <w:rsid w:val="00CB6BCF"/>
    <w:rsid w:val="00CB6CE7"/>
    <w:rsid w:val="00CD578F"/>
    <w:rsid w:val="00CE6FCD"/>
    <w:rsid w:val="00CF4A98"/>
    <w:rsid w:val="00D200D8"/>
    <w:rsid w:val="00D26EF0"/>
    <w:rsid w:val="00D37C1B"/>
    <w:rsid w:val="00D42644"/>
    <w:rsid w:val="00D4525A"/>
    <w:rsid w:val="00D50934"/>
    <w:rsid w:val="00D6272D"/>
    <w:rsid w:val="00D62AA8"/>
    <w:rsid w:val="00D64D89"/>
    <w:rsid w:val="00D74EE2"/>
    <w:rsid w:val="00D879D1"/>
    <w:rsid w:val="00DA2BF8"/>
    <w:rsid w:val="00DB0364"/>
    <w:rsid w:val="00DB723F"/>
    <w:rsid w:val="00DC0C8D"/>
    <w:rsid w:val="00DE3A0C"/>
    <w:rsid w:val="00DE745E"/>
    <w:rsid w:val="00DF0BAE"/>
    <w:rsid w:val="00DF1E4D"/>
    <w:rsid w:val="00DF752E"/>
    <w:rsid w:val="00E0274C"/>
    <w:rsid w:val="00E02B7F"/>
    <w:rsid w:val="00E06C3C"/>
    <w:rsid w:val="00E11B0E"/>
    <w:rsid w:val="00E1303D"/>
    <w:rsid w:val="00E1510A"/>
    <w:rsid w:val="00E163DF"/>
    <w:rsid w:val="00E20247"/>
    <w:rsid w:val="00E2410F"/>
    <w:rsid w:val="00E51682"/>
    <w:rsid w:val="00E54538"/>
    <w:rsid w:val="00E64599"/>
    <w:rsid w:val="00E7037B"/>
    <w:rsid w:val="00E70805"/>
    <w:rsid w:val="00E7790D"/>
    <w:rsid w:val="00E803B8"/>
    <w:rsid w:val="00E85DC6"/>
    <w:rsid w:val="00E93632"/>
    <w:rsid w:val="00E93CA7"/>
    <w:rsid w:val="00E97946"/>
    <w:rsid w:val="00EB048F"/>
    <w:rsid w:val="00EB0893"/>
    <w:rsid w:val="00EB1B2C"/>
    <w:rsid w:val="00EB36D2"/>
    <w:rsid w:val="00EC4A17"/>
    <w:rsid w:val="00ED1F9E"/>
    <w:rsid w:val="00EE6D9E"/>
    <w:rsid w:val="00EF5E03"/>
    <w:rsid w:val="00F12022"/>
    <w:rsid w:val="00F46F26"/>
    <w:rsid w:val="00F54259"/>
    <w:rsid w:val="00F6075C"/>
    <w:rsid w:val="00F71F6B"/>
    <w:rsid w:val="00F76491"/>
    <w:rsid w:val="00F76DEE"/>
    <w:rsid w:val="00F80F36"/>
    <w:rsid w:val="00F821D1"/>
    <w:rsid w:val="00F86C66"/>
    <w:rsid w:val="00F930FF"/>
    <w:rsid w:val="00F95956"/>
    <w:rsid w:val="00FB1C48"/>
    <w:rsid w:val="00FB29FB"/>
    <w:rsid w:val="00FC14AE"/>
    <w:rsid w:val="00FC7C43"/>
    <w:rsid w:val="00FD0B43"/>
    <w:rsid w:val="00FE0F18"/>
    <w:rsid w:val="00FE3DEA"/>
    <w:rsid w:val="00FF2C69"/>
    <w:rsid w:val="00FF66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52812"/>
  <w14:defaultImageDpi w14:val="0"/>
  <w15:docId w15:val="{CF613F6B-76C3-4207-8351-49B2FF8A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7D9D"/>
    <w:rPr>
      <w:sz w:val="24"/>
      <w:szCs w:val="24"/>
      <w:lang w:val="sk-SK" w:eastAsia="sk-SK"/>
    </w:rPr>
  </w:style>
  <w:style w:type="paragraph" w:styleId="Nadpis1">
    <w:name w:val="heading 1"/>
    <w:basedOn w:val="Normlny"/>
    <w:next w:val="Normlny"/>
    <w:link w:val="Nadpis1Char"/>
    <w:uiPriority w:val="9"/>
    <w:qFormat/>
    <w:rsid w:val="0034185C"/>
    <w:pPr>
      <w:numPr>
        <w:numId w:val="7"/>
      </w:numPr>
      <w:overflowPunct w:val="0"/>
      <w:autoSpaceDE w:val="0"/>
      <w:autoSpaceDN w:val="0"/>
      <w:adjustRightInd w:val="0"/>
      <w:spacing w:line="288" w:lineRule="auto"/>
      <w:jc w:val="both"/>
      <w:textAlignment w:val="baseline"/>
      <w:outlineLvl w:val="0"/>
    </w:pPr>
    <w:rPr>
      <w:kern w:val="28"/>
      <w:sz w:val="22"/>
      <w:szCs w:val="22"/>
      <w:lang w:val="nl-BE"/>
    </w:rPr>
  </w:style>
  <w:style w:type="paragraph" w:styleId="Nadpis2">
    <w:name w:val="heading 2"/>
    <w:basedOn w:val="Normlny"/>
    <w:next w:val="Normlny"/>
    <w:link w:val="Nadpis2Char"/>
    <w:uiPriority w:val="9"/>
    <w:qFormat/>
    <w:rsid w:val="0034185C"/>
    <w:pPr>
      <w:numPr>
        <w:ilvl w:val="1"/>
        <w:numId w:val="7"/>
      </w:numPr>
      <w:overflowPunct w:val="0"/>
      <w:autoSpaceDE w:val="0"/>
      <w:autoSpaceDN w:val="0"/>
      <w:adjustRightInd w:val="0"/>
      <w:spacing w:line="288" w:lineRule="auto"/>
      <w:jc w:val="both"/>
      <w:textAlignment w:val="baseline"/>
      <w:outlineLvl w:val="1"/>
    </w:pPr>
    <w:rPr>
      <w:sz w:val="22"/>
      <w:szCs w:val="22"/>
      <w:lang w:val="nl-BE"/>
    </w:rPr>
  </w:style>
  <w:style w:type="paragraph" w:styleId="Nadpis3">
    <w:name w:val="heading 3"/>
    <w:basedOn w:val="Normlny"/>
    <w:next w:val="Normlny"/>
    <w:link w:val="Nadpis3Char"/>
    <w:uiPriority w:val="9"/>
    <w:qFormat/>
    <w:rsid w:val="0034185C"/>
    <w:pPr>
      <w:numPr>
        <w:ilvl w:val="2"/>
        <w:numId w:val="7"/>
      </w:numPr>
      <w:overflowPunct w:val="0"/>
      <w:autoSpaceDE w:val="0"/>
      <w:autoSpaceDN w:val="0"/>
      <w:adjustRightInd w:val="0"/>
      <w:spacing w:line="288" w:lineRule="auto"/>
      <w:jc w:val="both"/>
      <w:textAlignment w:val="baseline"/>
      <w:outlineLvl w:val="2"/>
    </w:pPr>
    <w:rPr>
      <w:sz w:val="22"/>
      <w:szCs w:val="22"/>
      <w:lang w:val="nl-BE"/>
    </w:rPr>
  </w:style>
  <w:style w:type="paragraph" w:styleId="Nadpis4">
    <w:name w:val="heading 4"/>
    <w:basedOn w:val="Normlny"/>
    <w:next w:val="Normlny"/>
    <w:link w:val="Nadpis4Char"/>
    <w:uiPriority w:val="9"/>
    <w:qFormat/>
    <w:rsid w:val="0034185C"/>
    <w:pPr>
      <w:numPr>
        <w:ilvl w:val="3"/>
        <w:numId w:val="7"/>
      </w:numPr>
      <w:overflowPunct w:val="0"/>
      <w:autoSpaceDE w:val="0"/>
      <w:autoSpaceDN w:val="0"/>
      <w:adjustRightInd w:val="0"/>
      <w:spacing w:line="288" w:lineRule="auto"/>
      <w:jc w:val="both"/>
      <w:textAlignment w:val="baseline"/>
      <w:outlineLvl w:val="3"/>
    </w:pPr>
    <w:rPr>
      <w:sz w:val="22"/>
      <w:szCs w:val="22"/>
      <w:lang w:val="nl-BE"/>
    </w:rPr>
  </w:style>
  <w:style w:type="paragraph" w:styleId="Nadpis5">
    <w:name w:val="heading 5"/>
    <w:basedOn w:val="Normlny"/>
    <w:next w:val="Normlny"/>
    <w:link w:val="Nadpis5Char"/>
    <w:uiPriority w:val="9"/>
    <w:qFormat/>
    <w:rsid w:val="0034185C"/>
    <w:pPr>
      <w:numPr>
        <w:ilvl w:val="4"/>
        <w:numId w:val="7"/>
      </w:numPr>
      <w:overflowPunct w:val="0"/>
      <w:autoSpaceDE w:val="0"/>
      <w:autoSpaceDN w:val="0"/>
      <w:adjustRightInd w:val="0"/>
      <w:spacing w:line="288" w:lineRule="auto"/>
      <w:jc w:val="both"/>
      <w:textAlignment w:val="baseline"/>
      <w:outlineLvl w:val="4"/>
    </w:pPr>
    <w:rPr>
      <w:sz w:val="22"/>
      <w:szCs w:val="22"/>
      <w:lang w:val="nl-BE"/>
    </w:rPr>
  </w:style>
  <w:style w:type="paragraph" w:styleId="Nadpis6">
    <w:name w:val="heading 6"/>
    <w:basedOn w:val="Normlny"/>
    <w:next w:val="Normlny"/>
    <w:link w:val="Nadpis6Char"/>
    <w:uiPriority w:val="9"/>
    <w:qFormat/>
    <w:rsid w:val="0034185C"/>
    <w:pPr>
      <w:numPr>
        <w:ilvl w:val="5"/>
        <w:numId w:val="7"/>
      </w:numPr>
      <w:overflowPunct w:val="0"/>
      <w:autoSpaceDE w:val="0"/>
      <w:autoSpaceDN w:val="0"/>
      <w:adjustRightInd w:val="0"/>
      <w:spacing w:line="288" w:lineRule="auto"/>
      <w:jc w:val="both"/>
      <w:textAlignment w:val="baseline"/>
      <w:outlineLvl w:val="5"/>
    </w:pPr>
    <w:rPr>
      <w:sz w:val="22"/>
      <w:szCs w:val="22"/>
      <w:lang w:val="nl-BE"/>
    </w:rPr>
  </w:style>
  <w:style w:type="paragraph" w:styleId="Nadpis7">
    <w:name w:val="heading 7"/>
    <w:basedOn w:val="Normlny"/>
    <w:next w:val="Normlny"/>
    <w:link w:val="Nadpis7Char"/>
    <w:uiPriority w:val="9"/>
    <w:qFormat/>
    <w:rsid w:val="0034185C"/>
    <w:pPr>
      <w:numPr>
        <w:ilvl w:val="6"/>
        <w:numId w:val="7"/>
      </w:numPr>
      <w:overflowPunct w:val="0"/>
      <w:autoSpaceDE w:val="0"/>
      <w:autoSpaceDN w:val="0"/>
      <w:adjustRightInd w:val="0"/>
      <w:spacing w:line="288" w:lineRule="auto"/>
      <w:jc w:val="both"/>
      <w:textAlignment w:val="baseline"/>
      <w:outlineLvl w:val="6"/>
    </w:pPr>
    <w:rPr>
      <w:sz w:val="22"/>
      <w:szCs w:val="22"/>
      <w:lang w:val="nl-BE"/>
    </w:rPr>
  </w:style>
  <w:style w:type="paragraph" w:styleId="Nadpis8">
    <w:name w:val="heading 8"/>
    <w:basedOn w:val="Normlny"/>
    <w:next w:val="Normlny"/>
    <w:link w:val="Nadpis8Char"/>
    <w:uiPriority w:val="9"/>
    <w:qFormat/>
    <w:rsid w:val="0034185C"/>
    <w:pPr>
      <w:numPr>
        <w:ilvl w:val="7"/>
        <w:numId w:val="7"/>
      </w:numPr>
      <w:overflowPunct w:val="0"/>
      <w:autoSpaceDE w:val="0"/>
      <w:autoSpaceDN w:val="0"/>
      <w:adjustRightInd w:val="0"/>
      <w:spacing w:line="288" w:lineRule="auto"/>
      <w:jc w:val="both"/>
      <w:textAlignment w:val="baseline"/>
      <w:outlineLvl w:val="7"/>
    </w:pPr>
    <w:rPr>
      <w:sz w:val="22"/>
      <w:szCs w:val="22"/>
      <w:lang w:val="nl-BE"/>
    </w:rPr>
  </w:style>
  <w:style w:type="paragraph" w:styleId="Nadpis9">
    <w:name w:val="heading 9"/>
    <w:basedOn w:val="Normlny"/>
    <w:next w:val="Normlny"/>
    <w:link w:val="Nadpis9Char"/>
    <w:uiPriority w:val="9"/>
    <w:qFormat/>
    <w:rsid w:val="0034185C"/>
    <w:pPr>
      <w:numPr>
        <w:ilvl w:val="8"/>
        <w:numId w:val="7"/>
      </w:numPr>
      <w:overflowPunct w:val="0"/>
      <w:autoSpaceDE w:val="0"/>
      <w:autoSpaceDN w:val="0"/>
      <w:adjustRightInd w:val="0"/>
      <w:spacing w:line="288" w:lineRule="auto"/>
      <w:jc w:val="both"/>
      <w:textAlignment w:val="baseline"/>
      <w:outlineLvl w:val="8"/>
    </w:pPr>
    <w:rPr>
      <w:sz w:val="22"/>
      <w:szCs w:val="22"/>
      <w:lang w:val="nl-B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34185C"/>
    <w:rPr>
      <w:rFonts w:cs="Times New Roman"/>
      <w:kern w:val="28"/>
      <w:sz w:val="22"/>
      <w:szCs w:val="22"/>
      <w:lang w:val="nl-BE" w:eastAsia="sk-SK"/>
    </w:rPr>
  </w:style>
  <w:style w:type="character" w:customStyle="1" w:styleId="Nadpis2Char">
    <w:name w:val="Nadpis 2 Char"/>
    <w:basedOn w:val="Predvolenpsmoodseku"/>
    <w:link w:val="Nadpis2"/>
    <w:uiPriority w:val="9"/>
    <w:locked/>
    <w:rsid w:val="0034185C"/>
    <w:rPr>
      <w:rFonts w:cs="Times New Roman"/>
      <w:sz w:val="22"/>
      <w:szCs w:val="22"/>
      <w:lang w:val="nl-BE" w:eastAsia="sk-SK"/>
    </w:rPr>
  </w:style>
  <w:style w:type="character" w:customStyle="1" w:styleId="Nadpis3Char">
    <w:name w:val="Nadpis 3 Char"/>
    <w:basedOn w:val="Predvolenpsmoodseku"/>
    <w:link w:val="Nadpis3"/>
    <w:uiPriority w:val="9"/>
    <w:locked/>
    <w:rsid w:val="0034185C"/>
    <w:rPr>
      <w:rFonts w:cs="Times New Roman"/>
      <w:sz w:val="22"/>
      <w:szCs w:val="22"/>
      <w:lang w:val="nl-BE" w:eastAsia="sk-SK"/>
    </w:rPr>
  </w:style>
  <w:style w:type="character" w:customStyle="1" w:styleId="Nadpis4Char">
    <w:name w:val="Nadpis 4 Char"/>
    <w:basedOn w:val="Predvolenpsmoodseku"/>
    <w:link w:val="Nadpis4"/>
    <w:uiPriority w:val="9"/>
    <w:locked/>
    <w:rsid w:val="0034185C"/>
    <w:rPr>
      <w:rFonts w:cs="Times New Roman"/>
      <w:sz w:val="22"/>
      <w:szCs w:val="22"/>
      <w:lang w:val="nl-BE" w:eastAsia="sk-SK"/>
    </w:rPr>
  </w:style>
  <w:style w:type="character" w:customStyle="1" w:styleId="Nadpis5Char">
    <w:name w:val="Nadpis 5 Char"/>
    <w:basedOn w:val="Predvolenpsmoodseku"/>
    <w:link w:val="Nadpis5"/>
    <w:uiPriority w:val="9"/>
    <w:locked/>
    <w:rsid w:val="0034185C"/>
    <w:rPr>
      <w:rFonts w:cs="Times New Roman"/>
      <w:sz w:val="22"/>
      <w:szCs w:val="22"/>
      <w:lang w:val="nl-BE" w:eastAsia="sk-SK"/>
    </w:rPr>
  </w:style>
  <w:style w:type="character" w:customStyle="1" w:styleId="Nadpis6Char">
    <w:name w:val="Nadpis 6 Char"/>
    <w:basedOn w:val="Predvolenpsmoodseku"/>
    <w:link w:val="Nadpis6"/>
    <w:uiPriority w:val="9"/>
    <w:locked/>
    <w:rsid w:val="0034185C"/>
    <w:rPr>
      <w:rFonts w:cs="Times New Roman"/>
      <w:sz w:val="22"/>
      <w:szCs w:val="22"/>
      <w:lang w:val="nl-BE" w:eastAsia="sk-SK"/>
    </w:rPr>
  </w:style>
  <w:style w:type="character" w:customStyle="1" w:styleId="Nadpis7Char">
    <w:name w:val="Nadpis 7 Char"/>
    <w:basedOn w:val="Predvolenpsmoodseku"/>
    <w:link w:val="Nadpis7"/>
    <w:uiPriority w:val="9"/>
    <w:locked/>
    <w:rsid w:val="0034185C"/>
    <w:rPr>
      <w:rFonts w:cs="Times New Roman"/>
      <w:sz w:val="22"/>
      <w:szCs w:val="22"/>
      <w:lang w:val="nl-BE" w:eastAsia="sk-SK"/>
    </w:rPr>
  </w:style>
  <w:style w:type="character" w:customStyle="1" w:styleId="Nadpis8Char">
    <w:name w:val="Nadpis 8 Char"/>
    <w:basedOn w:val="Predvolenpsmoodseku"/>
    <w:link w:val="Nadpis8"/>
    <w:uiPriority w:val="9"/>
    <w:locked/>
    <w:rsid w:val="0034185C"/>
    <w:rPr>
      <w:rFonts w:cs="Times New Roman"/>
      <w:sz w:val="22"/>
      <w:szCs w:val="22"/>
      <w:lang w:val="nl-BE" w:eastAsia="sk-SK"/>
    </w:rPr>
  </w:style>
  <w:style w:type="character" w:customStyle="1" w:styleId="Nadpis9Char">
    <w:name w:val="Nadpis 9 Char"/>
    <w:basedOn w:val="Predvolenpsmoodseku"/>
    <w:link w:val="Nadpis9"/>
    <w:uiPriority w:val="9"/>
    <w:locked/>
    <w:rsid w:val="0034185C"/>
    <w:rPr>
      <w:rFonts w:cs="Times New Roman"/>
      <w:sz w:val="22"/>
      <w:szCs w:val="22"/>
      <w:lang w:val="nl-BE" w:eastAsia="sk-SK"/>
    </w:rPr>
  </w:style>
  <w:style w:type="character" w:customStyle="1" w:styleId="apple-style-span">
    <w:name w:val="apple-style-span"/>
    <w:basedOn w:val="Predvolenpsmoodseku"/>
    <w:uiPriority w:val="99"/>
    <w:rsid w:val="00195C3C"/>
    <w:rPr>
      <w:rFonts w:cs="Times New Roman"/>
    </w:rPr>
  </w:style>
  <w:style w:type="character" w:customStyle="1" w:styleId="NzovChar1">
    <w:name w:val="Názov Char1"/>
    <w:basedOn w:val="Predvolenpsmoodseku"/>
    <w:link w:val="Nzov"/>
    <w:uiPriority w:val="99"/>
    <w:locked/>
    <w:rsid w:val="00FC14AE"/>
    <w:rPr>
      <w:rFonts w:ascii="Arial Narrow" w:hAnsi="Arial Narrow" w:cs="Arial Narrow"/>
      <w:b/>
      <w:bCs/>
      <w:sz w:val="24"/>
      <w:szCs w:val="24"/>
      <w:u w:val="single"/>
      <w:lang w:val="sk-SK" w:eastAsia="cs-CZ"/>
    </w:rPr>
  </w:style>
  <w:style w:type="paragraph" w:styleId="Nzov">
    <w:name w:val="Title"/>
    <w:basedOn w:val="Normlny"/>
    <w:link w:val="NzovChar1"/>
    <w:uiPriority w:val="10"/>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uiPriority w:val="10"/>
    <w:rPr>
      <w:rFonts w:asciiTheme="majorHAnsi" w:eastAsiaTheme="majorEastAsia" w:hAnsiTheme="majorHAnsi" w:cstheme="majorBidi"/>
      <w:b/>
      <w:bCs/>
      <w:kern w:val="28"/>
      <w:sz w:val="32"/>
      <w:szCs w:val="32"/>
      <w:lang w:val="sk-SK" w:eastAsia="sk-SK"/>
    </w:rPr>
  </w:style>
  <w:style w:type="character" w:customStyle="1" w:styleId="NzovChar16">
    <w:name w:val="Názov Char16"/>
    <w:basedOn w:val="Predvolenpsmoodseku"/>
    <w:uiPriority w:val="10"/>
    <w:rPr>
      <w:rFonts w:asciiTheme="majorHAnsi" w:eastAsiaTheme="majorEastAsia" w:hAnsiTheme="majorHAnsi" w:cs="Times New Roman"/>
      <w:b/>
      <w:bCs/>
      <w:kern w:val="28"/>
      <w:sz w:val="32"/>
      <w:szCs w:val="32"/>
    </w:rPr>
  </w:style>
  <w:style w:type="character" w:customStyle="1" w:styleId="NzovChar15">
    <w:name w:val="Názov Char15"/>
    <w:basedOn w:val="Predvolenpsmoodseku"/>
    <w:uiPriority w:val="10"/>
    <w:rPr>
      <w:rFonts w:asciiTheme="majorHAnsi" w:eastAsiaTheme="majorEastAsia" w:hAnsiTheme="majorHAnsi" w:cs="Times New Roman"/>
      <w:b/>
      <w:bCs/>
      <w:kern w:val="28"/>
      <w:sz w:val="32"/>
      <w:szCs w:val="32"/>
    </w:rPr>
  </w:style>
  <w:style w:type="character" w:customStyle="1" w:styleId="NzovChar14">
    <w:name w:val="Názov Char14"/>
    <w:basedOn w:val="Predvolenpsmoodseku"/>
    <w:uiPriority w:val="10"/>
    <w:rPr>
      <w:rFonts w:asciiTheme="majorHAnsi" w:eastAsiaTheme="majorEastAsia" w:hAnsiTheme="majorHAnsi" w:cs="Times New Roman"/>
      <w:b/>
      <w:bCs/>
      <w:kern w:val="28"/>
      <w:sz w:val="32"/>
      <w:szCs w:val="32"/>
    </w:rPr>
  </w:style>
  <w:style w:type="character" w:customStyle="1" w:styleId="NzovChar13">
    <w:name w:val="Názov Char13"/>
    <w:basedOn w:val="Predvolenpsmoodseku"/>
    <w:uiPriority w:val="10"/>
    <w:rPr>
      <w:rFonts w:asciiTheme="majorHAnsi" w:eastAsiaTheme="majorEastAsia" w:hAnsiTheme="majorHAnsi" w:cs="Times New Roman"/>
      <w:b/>
      <w:bCs/>
      <w:kern w:val="28"/>
      <w:sz w:val="32"/>
      <w:szCs w:val="32"/>
    </w:rPr>
  </w:style>
  <w:style w:type="character" w:customStyle="1" w:styleId="NzovChar12">
    <w:name w:val="Názov Char12"/>
    <w:basedOn w:val="Predvolenpsmoodseku"/>
    <w:uiPriority w:val="10"/>
    <w:rPr>
      <w:rFonts w:asciiTheme="majorHAnsi" w:eastAsiaTheme="majorEastAsia" w:hAnsiTheme="majorHAnsi" w:cs="Times New Roman"/>
      <w:b/>
      <w:bCs/>
      <w:kern w:val="28"/>
      <w:sz w:val="32"/>
      <w:szCs w:val="32"/>
    </w:rPr>
  </w:style>
  <w:style w:type="character" w:customStyle="1" w:styleId="NzovChar11">
    <w:name w:val="Názov Char11"/>
    <w:basedOn w:val="Predvolenpsmoodseku"/>
    <w:uiPriority w:val="10"/>
    <w:rPr>
      <w:rFonts w:asciiTheme="majorHAnsi" w:eastAsiaTheme="majorEastAsia" w:hAnsiTheme="majorHAnsi" w:cs="Times New Roman"/>
      <w:b/>
      <w:bCs/>
      <w:kern w:val="28"/>
      <w:sz w:val="32"/>
      <w:szCs w:val="32"/>
    </w:rPr>
  </w:style>
  <w:style w:type="character" w:customStyle="1" w:styleId="NzovChar10">
    <w:name w:val="Názov Char10"/>
    <w:basedOn w:val="Predvolenpsmoodseku"/>
    <w:uiPriority w:val="10"/>
    <w:rPr>
      <w:rFonts w:asciiTheme="majorHAnsi" w:eastAsiaTheme="majorEastAsia" w:hAnsiTheme="majorHAnsi" w:cs="Times New Roman"/>
      <w:b/>
      <w:bCs/>
      <w:kern w:val="28"/>
      <w:sz w:val="32"/>
      <w:szCs w:val="32"/>
    </w:rPr>
  </w:style>
  <w:style w:type="character" w:customStyle="1" w:styleId="NzovChar9">
    <w:name w:val="Názov Char9"/>
    <w:basedOn w:val="Predvolenpsmoodseku"/>
    <w:uiPriority w:val="10"/>
    <w:rPr>
      <w:rFonts w:asciiTheme="majorHAnsi" w:eastAsiaTheme="majorEastAsia" w:hAnsiTheme="majorHAnsi" w:cs="Times New Roman"/>
      <w:b/>
      <w:bCs/>
      <w:kern w:val="28"/>
      <w:sz w:val="32"/>
      <w:szCs w:val="32"/>
    </w:rPr>
  </w:style>
  <w:style w:type="character" w:customStyle="1" w:styleId="NzovChar8">
    <w:name w:val="Názov Char8"/>
    <w:basedOn w:val="Predvolenpsmoodseku"/>
    <w:uiPriority w:val="10"/>
    <w:rPr>
      <w:rFonts w:asciiTheme="majorHAnsi" w:eastAsiaTheme="majorEastAsia" w:hAnsiTheme="majorHAnsi" w:cs="Times New Roman"/>
      <w:b/>
      <w:bCs/>
      <w:kern w:val="28"/>
      <w:sz w:val="32"/>
      <w:szCs w:val="32"/>
    </w:rPr>
  </w:style>
  <w:style w:type="character" w:customStyle="1" w:styleId="NzovChar7">
    <w:name w:val="Názov Char7"/>
    <w:basedOn w:val="Predvolenpsmoodseku"/>
    <w:uiPriority w:val="10"/>
    <w:rPr>
      <w:rFonts w:asciiTheme="majorHAnsi" w:eastAsiaTheme="majorEastAsia" w:hAnsiTheme="majorHAnsi" w:cs="Times New Roman"/>
      <w:b/>
      <w:bCs/>
      <w:kern w:val="28"/>
      <w:sz w:val="32"/>
      <w:szCs w:val="32"/>
    </w:rPr>
  </w:style>
  <w:style w:type="character" w:customStyle="1" w:styleId="NzovChar6">
    <w:name w:val="Názov Char6"/>
    <w:basedOn w:val="Predvolenpsmoodseku"/>
    <w:uiPriority w:val="10"/>
    <w:rPr>
      <w:rFonts w:asciiTheme="majorHAnsi" w:eastAsiaTheme="majorEastAsia" w:hAnsiTheme="majorHAnsi" w:cs="Times New Roman"/>
      <w:b/>
      <w:bCs/>
      <w:kern w:val="28"/>
      <w:sz w:val="32"/>
      <w:szCs w:val="32"/>
    </w:rPr>
  </w:style>
  <w:style w:type="character" w:customStyle="1" w:styleId="NzovChar5">
    <w:name w:val="Názov Char5"/>
    <w:basedOn w:val="Predvolenpsmoodseku"/>
    <w:uiPriority w:val="10"/>
    <w:rPr>
      <w:rFonts w:asciiTheme="majorHAnsi" w:eastAsiaTheme="majorEastAsia" w:hAnsiTheme="majorHAnsi" w:cs="Times New Roman"/>
      <w:b/>
      <w:bCs/>
      <w:kern w:val="28"/>
      <w:sz w:val="32"/>
      <w:szCs w:val="32"/>
    </w:rPr>
  </w:style>
  <w:style w:type="character" w:customStyle="1" w:styleId="NzovChar4">
    <w:name w:val="Názov Char4"/>
    <w:basedOn w:val="Predvolenpsmoodseku"/>
    <w:uiPriority w:val="10"/>
    <w:rPr>
      <w:rFonts w:asciiTheme="majorHAnsi" w:eastAsiaTheme="majorEastAsia" w:hAnsiTheme="majorHAnsi" w:cs="Times New Roman"/>
      <w:b/>
      <w:bCs/>
      <w:kern w:val="28"/>
      <w:sz w:val="32"/>
      <w:szCs w:val="32"/>
    </w:rPr>
  </w:style>
  <w:style w:type="character" w:customStyle="1" w:styleId="NzovChar3">
    <w:name w:val="Názov Char3"/>
    <w:basedOn w:val="Predvolenpsmoodseku"/>
    <w:uiPriority w:val="10"/>
    <w:rPr>
      <w:rFonts w:asciiTheme="majorHAnsi" w:eastAsiaTheme="majorEastAsia" w:hAnsiTheme="majorHAnsi" w:cs="Times New Roman"/>
      <w:b/>
      <w:bCs/>
      <w:kern w:val="28"/>
      <w:sz w:val="32"/>
      <w:szCs w:val="32"/>
    </w:rPr>
  </w:style>
  <w:style w:type="character" w:customStyle="1" w:styleId="NzovChar2">
    <w:name w:val="Názov Char2"/>
    <w:basedOn w:val="Predvolenpsmoodseku"/>
    <w:uiPriority w:val="10"/>
    <w:rPr>
      <w:rFonts w:asciiTheme="majorHAnsi" w:eastAsiaTheme="majorEastAsia" w:hAnsiTheme="majorHAnsi" w:cs="Times New Roman"/>
      <w:b/>
      <w:bCs/>
      <w:kern w:val="28"/>
      <w:sz w:val="32"/>
      <w:szCs w:val="32"/>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 w:type="character" w:styleId="Zstupntext">
    <w:name w:val="Placeholder Text"/>
    <w:basedOn w:val="Predvolenpsmoodseku"/>
    <w:uiPriority w:val="99"/>
    <w:semiHidden/>
    <w:rsid w:val="0034185C"/>
    <w:rPr>
      <w:rFonts w:ascii="Times New Roman" w:hAnsi="Times New Roman"/>
      <w:color w:val="808080"/>
    </w:rPr>
  </w:style>
  <w:style w:type="paragraph" w:customStyle="1" w:styleId="Zkladntext">
    <w:name w:val="Základní text"/>
    <w:aliases w:val="Základný text Char Char"/>
    <w:rsid w:val="0034185C"/>
    <w:pPr>
      <w:widowControl w:val="0"/>
      <w:autoSpaceDE w:val="0"/>
      <w:autoSpaceDN w:val="0"/>
    </w:pPr>
    <w:rPr>
      <w:rFonts w:ascii="Arial Narrow" w:hAnsi="Arial Narrow" w:cs="Arial Narrow"/>
      <w:color w:val="000000"/>
      <w:sz w:val="24"/>
      <w:szCs w:val="24"/>
      <w:lang w:val="sk-SK" w:eastAsia="sk-SK"/>
    </w:rPr>
  </w:style>
  <w:style w:type="paragraph" w:styleId="Odsekzoznamu">
    <w:name w:val="List Paragraph"/>
    <w:aliases w:val="Odsek zoznamu1,Odsek,body,Odsek zoznamu2"/>
    <w:basedOn w:val="Normlny"/>
    <w:link w:val="OdsekzoznamuChar"/>
    <w:uiPriority w:val="34"/>
    <w:qFormat/>
    <w:rsid w:val="0034185C"/>
    <w:pPr>
      <w:spacing w:after="160" w:line="256" w:lineRule="auto"/>
      <w:ind w:left="720"/>
      <w:contextualSpacing/>
    </w:pPr>
    <w:rPr>
      <w:rFonts w:ascii="Calibri" w:hAnsi="Calibri"/>
      <w:sz w:val="22"/>
      <w:szCs w:val="22"/>
      <w:lang w:eastAsia="en-US"/>
    </w:rPr>
  </w:style>
  <w:style w:type="paragraph" w:styleId="Bezriadkovania">
    <w:name w:val="No Spacing"/>
    <w:uiPriority w:val="1"/>
    <w:qFormat/>
    <w:rsid w:val="0034185C"/>
    <w:rPr>
      <w:rFonts w:ascii="Calibri" w:hAnsi="Calibri"/>
      <w:lang w:val="sk-SK"/>
    </w:rPr>
  </w:style>
  <w:style w:type="paragraph" w:styleId="Zkladntext0">
    <w:name w:val="Body Text"/>
    <w:basedOn w:val="Normlny"/>
    <w:link w:val="ZkladntextChar"/>
    <w:uiPriority w:val="99"/>
    <w:rsid w:val="00FE3DEA"/>
    <w:pPr>
      <w:spacing w:after="120"/>
    </w:pPr>
  </w:style>
  <w:style w:type="character" w:customStyle="1" w:styleId="ZkladntextChar">
    <w:name w:val="Základný text Char"/>
    <w:basedOn w:val="Predvolenpsmoodseku"/>
    <w:link w:val="Zkladntext0"/>
    <w:uiPriority w:val="99"/>
    <w:locked/>
    <w:rsid w:val="00FE3DEA"/>
    <w:rPr>
      <w:rFonts w:cs="Times New Roman"/>
      <w:sz w:val="24"/>
      <w:szCs w:val="24"/>
      <w:lang w:val="sk-SK" w:eastAsia="sk-SK"/>
    </w:rPr>
  </w:style>
  <w:style w:type="paragraph" w:customStyle="1" w:styleId="Zkladntext1">
    <w:name w:val="Zkladn text"/>
    <w:rsid w:val="00FE3DEA"/>
    <w:pPr>
      <w:widowControl w:val="0"/>
      <w:autoSpaceDE w:val="0"/>
      <w:autoSpaceDN w:val="0"/>
    </w:pPr>
    <w:rPr>
      <w:color w:val="000000"/>
      <w:sz w:val="20"/>
      <w:szCs w:val="20"/>
      <w:lang w:val="sk-SK" w:eastAsia="sk-SK"/>
    </w:rPr>
  </w:style>
  <w:style w:type="character" w:styleId="Zvraznenie">
    <w:name w:val="Emphasis"/>
    <w:basedOn w:val="Predvolenpsmoodseku"/>
    <w:uiPriority w:val="20"/>
    <w:qFormat/>
    <w:rsid w:val="00FE3DEA"/>
    <w:rPr>
      <w:i/>
    </w:rPr>
  </w:style>
  <w:style w:type="paragraph" w:customStyle="1" w:styleId="c08dispositif">
    <w:name w:val="c08dispositif"/>
    <w:basedOn w:val="Normlny"/>
    <w:rsid w:val="00FE3DEA"/>
    <w:pPr>
      <w:spacing w:before="100" w:beforeAutospacing="1" w:after="240"/>
      <w:ind w:left="1134" w:hanging="567"/>
      <w:jc w:val="both"/>
    </w:pPr>
    <w:rPr>
      <w:b/>
      <w:bCs/>
    </w:rPr>
  </w:style>
  <w:style w:type="character" w:customStyle="1" w:styleId="awspan1">
    <w:name w:val="awspan1"/>
    <w:rsid w:val="00FE3DEA"/>
    <w:rPr>
      <w:color w:val="000000"/>
      <w:sz w:val="24"/>
    </w:rPr>
  </w:style>
  <w:style w:type="paragraph" w:styleId="Obyajntext">
    <w:name w:val="Plain Text"/>
    <w:basedOn w:val="Normlny"/>
    <w:link w:val="ObyajntextChar"/>
    <w:uiPriority w:val="99"/>
    <w:unhideWhenUsed/>
    <w:rsid w:val="00EF5E03"/>
    <w:rPr>
      <w:rFonts w:ascii="Calibri" w:hAnsi="Calibri"/>
      <w:sz w:val="22"/>
      <w:szCs w:val="21"/>
      <w:lang w:eastAsia="en-US"/>
    </w:rPr>
  </w:style>
  <w:style w:type="character" w:customStyle="1" w:styleId="ObyajntextChar">
    <w:name w:val="Obyčajný text Char"/>
    <w:basedOn w:val="Predvolenpsmoodseku"/>
    <w:link w:val="Obyajntext"/>
    <w:uiPriority w:val="99"/>
    <w:locked/>
    <w:rsid w:val="00EF5E03"/>
    <w:rPr>
      <w:rFonts w:ascii="Calibri" w:hAnsi="Calibri" w:cs="Times New Roman"/>
      <w:sz w:val="21"/>
      <w:szCs w:val="21"/>
      <w:lang w:val="sk-SK" w:eastAsia="x-none"/>
    </w:rPr>
  </w:style>
  <w:style w:type="character" w:customStyle="1" w:styleId="OdsekzoznamuChar">
    <w:name w:val="Odsek zoznamu Char"/>
    <w:aliases w:val="Odsek zoznamu1 Char,Odsek Char,body Char,Odsek zoznamu2 Char"/>
    <w:basedOn w:val="Predvolenpsmoodseku"/>
    <w:link w:val="Odsekzoznamu"/>
    <w:uiPriority w:val="34"/>
    <w:locked/>
    <w:rsid w:val="00DB0364"/>
    <w:rPr>
      <w:rFonts w:ascii="Calibri" w:hAnsi="Calibri" w:cs="Times New Roman"/>
      <w:sz w:val="22"/>
      <w:szCs w:val="22"/>
      <w:lang w:val="sk-SK" w:eastAsia="x-none"/>
    </w:rPr>
  </w:style>
  <w:style w:type="paragraph" w:styleId="Hlavika">
    <w:name w:val="header"/>
    <w:basedOn w:val="Normlny"/>
    <w:link w:val="HlavikaChar"/>
    <w:uiPriority w:val="99"/>
    <w:unhideWhenUsed/>
    <w:rsid w:val="00DF1E4D"/>
    <w:pPr>
      <w:tabs>
        <w:tab w:val="center" w:pos="4536"/>
        <w:tab w:val="right" w:pos="9072"/>
      </w:tabs>
    </w:pPr>
  </w:style>
  <w:style w:type="character" w:customStyle="1" w:styleId="HlavikaChar">
    <w:name w:val="Hlavička Char"/>
    <w:basedOn w:val="Predvolenpsmoodseku"/>
    <w:link w:val="Hlavika"/>
    <w:uiPriority w:val="99"/>
    <w:rsid w:val="00DF1E4D"/>
    <w:rPr>
      <w:sz w:val="24"/>
      <w:szCs w:val="24"/>
      <w:lang w:val="sk-SK" w:eastAsia="sk-SK"/>
    </w:rPr>
  </w:style>
  <w:style w:type="paragraph" w:styleId="Pta">
    <w:name w:val="footer"/>
    <w:basedOn w:val="Normlny"/>
    <w:link w:val="PtaChar"/>
    <w:uiPriority w:val="99"/>
    <w:unhideWhenUsed/>
    <w:rsid w:val="00DF1E4D"/>
    <w:pPr>
      <w:tabs>
        <w:tab w:val="center" w:pos="4536"/>
        <w:tab w:val="right" w:pos="9072"/>
      </w:tabs>
    </w:pPr>
  </w:style>
  <w:style w:type="character" w:customStyle="1" w:styleId="PtaChar">
    <w:name w:val="Päta Char"/>
    <w:basedOn w:val="Predvolenpsmoodseku"/>
    <w:link w:val="Pta"/>
    <w:uiPriority w:val="99"/>
    <w:rsid w:val="00DF1E4D"/>
    <w:rPr>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092413">
      <w:marLeft w:val="0"/>
      <w:marRight w:val="0"/>
      <w:marTop w:val="0"/>
      <w:marBottom w:val="0"/>
      <w:divBdr>
        <w:top w:val="none" w:sz="0" w:space="0" w:color="auto"/>
        <w:left w:val="none" w:sz="0" w:space="0" w:color="auto"/>
        <w:bottom w:val="none" w:sz="0" w:space="0" w:color="auto"/>
        <w:right w:val="none" w:sz="0" w:space="0" w:color="auto"/>
      </w:divBdr>
    </w:div>
    <w:div w:id="1525092414">
      <w:marLeft w:val="0"/>
      <w:marRight w:val="0"/>
      <w:marTop w:val="0"/>
      <w:marBottom w:val="0"/>
      <w:divBdr>
        <w:top w:val="none" w:sz="0" w:space="0" w:color="auto"/>
        <w:left w:val="none" w:sz="0" w:space="0" w:color="auto"/>
        <w:bottom w:val="none" w:sz="0" w:space="0" w:color="auto"/>
        <w:right w:val="none" w:sz="0" w:space="0" w:color="auto"/>
      </w:divBdr>
    </w:div>
    <w:div w:id="1525092415">
      <w:marLeft w:val="0"/>
      <w:marRight w:val="0"/>
      <w:marTop w:val="0"/>
      <w:marBottom w:val="0"/>
      <w:divBdr>
        <w:top w:val="none" w:sz="0" w:space="0" w:color="auto"/>
        <w:left w:val="none" w:sz="0" w:space="0" w:color="auto"/>
        <w:bottom w:val="none" w:sz="0" w:space="0" w:color="auto"/>
        <w:right w:val="none" w:sz="0" w:space="0" w:color="auto"/>
      </w:divBdr>
      <w:divsChild>
        <w:div w:id="1525092421">
          <w:marLeft w:val="0"/>
          <w:marRight w:val="0"/>
          <w:marTop w:val="0"/>
          <w:marBottom w:val="0"/>
          <w:divBdr>
            <w:top w:val="none" w:sz="0" w:space="0" w:color="auto"/>
            <w:left w:val="none" w:sz="0" w:space="0" w:color="auto"/>
            <w:bottom w:val="none" w:sz="0" w:space="0" w:color="auto"/>
            <w:right w:val="none" w:sz="0" w:space="0" w:color="auto"/>
          </w:divBdr>
        </w:div>
      </w:divsChild>
    </w:div>
    <w:div w:id="1525092416">
      <w:marLeft w:val="0"/>
      <w:marRight w:val="0"/>
      <w:marTop w:val="0"/>
      <w:marBottom w:val="0"/>
      <w:divBdr>
        <w:top w:val="none" w:sz="0" w:space="0" w:color="auto"/>
        <w:left w:val="none" w:sz="0" w:space="0" w:color="auto"/>
        <w:bottom w:val="none" w:sz="0" w:space="0" w:color="auto"/>
        <w:right w:val="none" w:sz="0" w:space="0" w:color="auto"/>
      </w:divBdr>
    </w:div>
    <w:div w:id="1525092417">
      <w:marLeft w:val="0"/>
      <w:marRight w:val="0"/>
      <w:marTop w:val="0"/>
      <w:marBottom w:val="0"/>
      <w:divBdr>
        <w:top w:val="none" w:sz="0" w:space="0" w:color="auto"/>
        <w:left w:val="none" w:sz="0" w:space="0" w:color="auto"/>
        <w:bottom w:val="none" w:sz="0" w:space="0" w:color="auto"/>
        <w:right w:val="none" w:sz="0" w:space="0" w:color="auto"/>
      </w:divBdr>
    </w:div>
    <w:div w:id="1525092418">
      <w:marLeft w:val="0"/>
      <w:marRight w:val="0"/>
      <w:marTop w:val="0"/>
      <w:marBottom w:val="0"/>
      <w:divBdr>
        <w:top w:val="none" w:sz="0" w:space="0" w:color="auto"/>
        <w:left w:val="none" w:sz="0" w:space="0" w:color="auto"/>
        <w:bottom w:val="none" w:sz="0" w:space="0" w:color="auto"/>
        <w:right w:val="none" w:sz="0" w:space="0" w:color="auto"/>
      </w:divBdr>
    </w:div>
    <w:div w:id="1525092420">
      <w:marLeft w:val="0"/>
      <w:marRight w:val="0"/>
      <w:marTop w:val="0"/>
      <w:marBottom w:val="0"/>
      <w:divBdr>
        <w:top w:val="none" w:sz="0" w:space="0" w:color="auto"/>
        <w:left w:val="none" w:sz="0" w:space="0" w:color="auto"/>
        <w:bottom w:val="none" w:sz="0" w:space="0" w:color="auto"/>
        <w:right w:val="none" w:sz="0" w:space="0" w:color="auto"/>
      </w:divBdr>
      <w:divsChild>
        <w:div w:id="1525092419">
          <w:marLeft w:val="0"/>
          <w:marRight w:val="0"/>
          <w:marTop w:val="0"/>
          <w:marBottom w:val="0"/>
          <w:divBdr>
            <w:top w:val="none" w:sz="0" w:space="0" w:color="auto"/>
            <w:left w:val="none" w:sz="0" w:space="0" w:color="auto"/>
            <w:bottom w:val="none" w:sz="0" w:space="0" w:color="auto"/>
            <w:right w:val="none" w:sz="0" w:space="0" w:color="auto"/>
          </w:divBdr>
        </w:div>
      </w:divsChild>
    </w:div>
    <w:div w:id="15250924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F3FA4-4276-43DC-8226-546CC9B7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3493</Words>
  <Characters>19913</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subject/>
  <dc:creator>Dostál, Ondrej</dc:creator>
  <cp:keywords/>
  <dc:description/>
  <cp:lastModifiedBy>klub OĽANO</cp:lastModifiedBy>
  <cp:revision>6</cp:revision>
  <cp:lastPrinted>2021-05-27T10:50:00Z</cp:lastPrinted>
  <dcterms:created xsi:type="dcterms:W3CDTF">2021-05-27T13:35:00Z</dcterms:created>
  <dcterms:modified xsi:type="dcterms:W3CDTF">2021-05-28T09:38:00Z</dcterms:modified>
</cp:coreProperties>
</file>