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E0664" w14:textId="77777777" w:rsidR="004C7749" w:rsidRPr="003539CB" w:rsidRDefault="0045501F">
      <w:pPr>
        <w:widowControl w:val="0"/>
        <w:pBdr>
          <w:bottom w:val="single" w:sz="12" w:space="1" w:color="000000"/>
        </w:pBdr>
        <w:spacing w:line="276" w:lineRule="auto"/>
        <w:jc w:val="center"/>
      </w:pPr>
      <w:r w:rsidRPr="003539CB">
        <w:rPr>
          <w:b/>
          <w:bCs/>
        </w:rPr>
        <w:t>NÁRODNÁ RADA SLOVENSKEJ REPUBLIKY</w:t>
      </w:r>
    </w:p>
    <w:p w14:paraId="6BE7D0B0" w14:textId="77777777" w:rsidR="004C7749" w:rsidRPr="003539CB" w:rsidRDefault="004C7749">
      <w:pPr>
        <w:widowControl w:val="0"/>
        <w:spacing w:line="276" w:lineRule="auto"/>
        <w:jc w:val="center"/>
        <w:rPr>
          <w:lang w:val="en-US"/>
        </w:rPr>
      </w:pPr>
    </w:p>
    <w:p w14:paraId="373DF024" w14:textId="77777777" w:rsidR="004C7749" w:rsidRPr="003539CB" w:rsidRDefault="0045501F">
      <w:pPr>
        <w:widowControl w:val="0"/>
        <w:spacing w:before="120" w:line="276" w:lineRule="auto"/>
        <w:jc w:val="center"/>
      </w:pPr>
      <w:r w:rsidRPr="003539CB">
        <w:rPr>
          <w:spacing w:val="20"/>
          <w:lang w:val="en-US"/>
        </w:rPr>
        <w:t>VIII</w:t>
      </w:r>
      <w:proofErr w:type="gramStart"/>
      <w:r w:rsidRPr="003539CB">
        <w:rPr>
          <w:spacing w:val="20"/>
          <w:lang w:val="en-US"/>
        </w:rPr>
        <w:t xml:space="preserve">.  </w:t>
      </w:r>
      <w:r w:rsidRPr="003539CB">
        <w:rPr>
          <w:spacing w:val="20"/>
        </w:rPr>
        <w:t>volebné</w:t>
      </w:r>
      <w:proofErr w:type="gramEnd"/>
      <w:r w:rsidRPr="003539CB">
        <w:rPr>
          <w:spacing w:val="20"/>
        </w:rPr>
        <w:t xml:space="preserve"> obdobie</w:t>
      </w:r>
    </w:p>
    <w:p w14:paraId="5E3266D3" w14:textId="77777777" w:rsidR="004C7749" w:rsidRPr="003539CB" w:rsidRDefault="004C7749">
      <w:pPr>
        <w:pStyle w:val="Zkladntext"/>
        <w:spacing w:line="276" w:lineRule="auto"/>
        <w:jc w:val="center"/>
        <w:rPr>
          <w:bCs/>
          <w:iCs/>
        </w:rPr>
      </w:pPr>
    </w:p>
    <w:p w14:paraId="4E9F8D02" w14:textId="77777777" w:rsidR="004C7749" w:rsidRPr="003539CB" w:rsidRDefault="004C7749">
      <w:pPr>
        <w:pStyle w:val="Zkladntext"/>
        <w:spacing w:line="276" w:lineRule="auto"/>
        <w:jc w:val="center"/>
        <w:rPr>
          <w:bCs/>
          <w:iCs/>
        </w:rPr>
      </w:pPr>
    </w:p>
    <w:p w14:paraId="59F17631" w14:textId="77777777" w:rsidR="004C7749" w:rsidRPr="003539CB" w:rsidRDefault="0045501F">
      <w:pPr>
        <w:pStyle w:val="Zkladntext"/>
        <w:spacing w:line="276" w:lineRule="auto"/>
        <w:jc w:val="center"/>
      </w:pPr>
      <w:r w:rsidRPr="003539CB">
        <w:rPr>
          <w:bCs/>
          <w:iCs/>
        </w:rPr>
        <w:t>Návrh</w:t>
      </w:r>
    </w:p>
    <w:p w14:paraId="1F50284B" w14:textId="77777777" w:rsidR="004C7749" w:rsidRPr="003539CB" w:rsidRDefault="004C7749">
      <w:pPr>
        <w:pStyle w:val="Zkladntext"/>
        <w:spacing w:line="276" w:lineRule="auto"/>
        <w:jc w:val="center"/>
        <w:rPr>
          <w:bCs/>
          <w:iCs/>
        </w:rPr>
      </w:pPr>
    </w:p>
    <w:p w14:paraId="61268DB3" w14:textId="77777777" w:rsidR="004C7749" w:rsidRPr="003539CB" w:rsidRDefault="004C7749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1F16FEAC" w14:textId="77777777" w:rsidR="004C7749" w:rsidRPr="003539CB" w:rsidRDefault="0045501F">
      <w:pPr>
        <w:pStyle w:val="Zkladntext"/>
        <w:spacing w:line="276" w:lineRule="auto"/>
        <w:jc w:val="center"/>
      </w:pPr>
      <w:r w:rsidRPr="003539CB">
        <w:rPr>
          <w:b/>
          <w:bCs/>
          <w:iCs/>
        </w:rPr>
        <w:t>ZÁKON</w:t>
      </w:r>
    </w:p>
    <w:p w14:paraId="5034BC83" w14:textId="77777777" w:rsidR="004C7749" w:rsidRPr="003539CB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1230D7FE" w14:textId="444C13C7" w:rsidR="004C7749" w:rsidRPr="003539CB" w:rsidRDefault="0045501F">
      <w:pPr>
        <w:pStyle w:val="Zkladntext"/>
        <w:spacing w:line="276" w:lineRule="auto"/>
        <w:jc w:val="center"/>
      </w:pPr>
      <w:r w:rsidRPr="003539CB">
        <w:rPr>
          <w:bCs/>
          <w:iCs/>
        </w:rPr>
        <w:t>z ........... 202</w:t>
      </w:r>
      <w:r w:rsidR="00EE7D16" w:rsidRPr="003539CB">
        <w:rPr>
          <w:bCs/>
          <w:iCs/>
        </w:rPr>
        <w:t>1</w:t>
      </w:r>
      <w:r w:rsidRPr="003539CB">
        <w:rPr>
          <w:bCs/>
          <w:iCs/>
        </w:rPr>
        <w:t>,</w:t>
      </w:r>
    </w:p>
    <w:p w14:paraId="76DADC0C" w14:textId="77777777" w:rsidR="004C7749" w:rsidRPr="003539CB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4538C214" w14:textId="77777777" w:rsidR="004C7749" w:rsidRPr="003539CB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48040DCB" w14:textId="31363AE2" w:rsidR="004C7749" w:rsidRPr="003539CB" w:rsidRDefault="00EE25E1" w:rsidP="00EE25E1">
      <w:pPr>
        <w:pStyle w:val="Zkladntext"/>
        <w:spacing w:line="276" w:lineRule="auto"/>
        <w:jc w:val="center"/>
        <w:rPr>
          <w:b/>
          <w:bCs/>
          <w:color w:val="000000"/>
          <w:shd w:val="clear" w:color="auto" w:fill="FFFFFF"/>
        </w:rPr>
      </w:pPr>
      <w:bookmarkStart w:id="0" w:name="_Hlk64301869"/>
      <w:r w:rsidRPr="003539CB">
        <w:rPr>
          <w:b/>
          <w:bCs/>
          <w:color w:val="000000"/>
          <w:shd w:val="clear" w:color="auto" w:fill="FFFFFF"/>
        </w:rPr>
        <w:t xml:space="preserve">ktorým sa </w:t>
      </w:r>
      <w:r w:rsidR="00F558E0">
        <w:rPr>
          <w:b/>
          <w:bCs/>
          <w:color w:val="000000"/>
          <w:shd w:val="clear" w:color="auto" w:fill="FFFFFF"/>
        </w:rPr>
        <w:t xml:space="preserve">mení a </w:t>
      </w:r>
      <w:r w:rsidRPr="003539CB">
        <w:rPr>
          <w:b/>
          <w:bCs/>
          <w:color w:val="000000"/>
          <w:shd w:val="clear" w:color="auto" w:fill="FFFFFF"/>
        </w:rPr>
        <w:t xml:space="preserve">dopĺňa </w:t>
      </w:r>
      <w:bookmarkStart w:id="1" w:name="_Hlk64301841"/>
      <w:r w:rsidRPr="003539CB">
        <w:rPr>
          <w:b/>
          <w:bCs/>
          <w:color w:val="000000"/>
          <w:shd w:val="clear" w:color="auto" w:fill="FFFFFF"/>
        </w:rPr>
        <w:t xml:space="preserve">zákon č. </w:t>
      </w:r>
      <w:r w:rsidR="008D5EAF" w:rsidRPr="003539CB">
        <w:rPr>
          <w:b/>
          <w:bCs/>
          <w:color w:val="000000"/>
          <w:shd w:val="clear" w:color="auto" w:fill="FFFFFF"/>
        </w:rPr>
        <w:t>55/2017</w:t>
      </w:r>
      <w:r w:rsidRPr="003539CB">
        <w:rPr>
          <w:b/>
          <w:bCs/>
          <w:color w:val="000000"/>
          <w:shd w:val="clear" w:color="auto" w:fill="FFFFFF"/>
        </w:rPr>
        <w:t xml:space="preserve"> Z. z. o</w:t>
      </w:r>
      <w:r w:rsidR="008D5EAF" w:rsidRPr="003539CB">
        <w:rPr>
          <w:b/>
          <w:bCs/>
          <w:color w:val="000000"/>
          <w:shd w:val="clear" w:color="auto" w:fill="FFFFFF"/>
        </w:rPr>
        <w:t> štátnej službe a o zmene a doplnení niektorých zákonov</w:t>
      </w:r>
      <w:r w:rsidRPr="003539CB">
        <w:rPr>
          <w:b/>
          <w:bCs/>
          <w:color w:val="000000"/>
          <w:shd w:val="clear" w:color="auto" w:fill="FFFFFF"/>
        </w:rPr>
        <w:t xml:space="preserve"> v znení neskorších predpisov</w:t>
      </w:r>
      <w:bookmarkEnd w:id="0"/>
      <w:bookmarkEnd w:id="1"/>
    </w:p>
    <w:p w14:paraId="69A5D2CB" w14:textId="77777777" w:rsidR="00EE25E1" w:rsidRPr="003539CB" w:rsidRDefault="00EE25E1" w:rsidP="00EE25E1">
      <w:pPr>
        <w:pStyle w:val="Zkladntext"/>
        <w:spacing w:line="276" w:lineRule="auto"/>
        <w:jc w:val="center"/>
      </w:pPr>
    </w:p>
    <w:p w14:paraId="5E91F3F2" w14:textId="77777777" w:rsidR="004C7749" w:rsidRPr="003539CB" w:rsidRDefault="0045501F">
      <w:pPr>
        <w:spacing w:line="276" w:lineRule="auto"/>
        <w:ind w:firstLine="708"/>
      </w:pPr>
      <w:r w:rsidRPr="003539CB">
        <w:t>Národná rada Slovenskej republiky sa uzniesla na tomto zákone:</w:t>
      </w:r>
    </w:p>
    <w:p w14:paraId="20486488" w14:textId="77777777" w:rsidR="004C7749" w:rsidRPr="003539CB" w:rsidRDefault="004C7749">
      <w:pPr>
        <w:spacing w:line="276" w:lineRule="auto"/>
        <w:jc w:val="center"/>
        <w:rPr>
          <w:b/>
          <w:bCs/>
        </w:rPr>
      </w:pPr>
    </w:p>
    <w:p w14:paraId="1445722D" w14:textId="77777777" w:rsidR="004C7749" w:rsidRPr="003539CB" w:rsidRDefault="0045501F">
      <w:pPr>
        <w:spacing w:line="276" w:lineRule="auto"/>
        <w:jc w:val="center"/>
      </w:pPr>
      <w:r w:rsidRPr="003539CB">
        <w:rPr>
          <w:b/>
          <w:bCs/>
        </w:rPr>
        <w:t>Čl. I</w:t>
      </w:r>
    </w:p>
    <w:p w14:paraId="4739E7BD" w14:textId="77777777" w:rsidR="004C7749" w:rsidRPr="003539CB" w:rsidRDefault="004C7749">
      <w:pPr>
        <w:spacing w:line="276" w:lineRule="auto"/>
        <w:jc w:val="center"/>
        <w:rPr>
          <w:b/>
          <w:bCs/>
        </w:rPr>
      </w:pPr>
    </w:p>
    <w:p w14:paraId="137C0AC4" w14:textId="1F69A36A" w:rsidR="004C7749" w:rsidRPr="003539CB" w:rsidRDefault="0045501F" w:rsidP="008D5EAF">
      <w:r w:rsidRPr="003539CB">
        <w:tab/>
      </w:r>
      <w:r w:rsidR="008D5EAF" w:rsidRPr="003539CB">
        <w:t>Zákon č. </w:t>
      </w:r>
      <w:hyperlink r:id="rId7" w:tooltip="Odkaz na predpis alebo ustanovenie" w:history="1">
        <w:r w:rsidR="008D5EAF" w:rsidRPr="003539CB">
          <w:rPr>
            <w:rStyle w:val="Hypertextovprepojenie"/>
            <w:color w:val="auto"/>
            <w:u w:val="none"/>
          </w:rPr>
          <w:t>55/2017 Z. z.</w:t>
        </w:r>
      </w:hyperlink>
      <w:r w:rsidR="008D5EAF" w:rsidRPr="003539CB">
        <w:t> 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</w:t>
      </w:r>
      <w:r w:rsidR="00C565C5">
        <w:t xml:space="preserve"> z., zákona č. 134/2020 Z. z., </w:t>
      </w:r>
      <w:r w:rsidR="008D5EAF" w:rsidRPr="003539CB">
        <w:t>zákona č. 423/2020 Z. z.</w:t>
      </w:r>
      <w:r w:rsidR="00C565C5">
        <w:t xml:space="preserve"> a zákona č. 76/2021 Z. z.</w:t>
      </w:r>
      <w:r w:rsidR="008D5EAF" w:rsidRPr="003539CB">
        <w:t xml:space="preserve"> sa</w:t>
      </w:r>
      <w:r w:rsidR="00F558E0">
        <w:t xml:space="preserve"> mení a</w:t>
      </w:r>
      <w:r w:rsidR="008D5EAF" w:rsidRPr="003539CB">
        <w:t xml:space="preserve"> dopĺňa takto:</w:t>
      </w:r>
    </w:p>
    <w:p w14:paraId="0BEE2D8A" w14:textId="77777777" w:rsidR="00783C38" w:rsidRPr="006627F8" w:rsidRDefault="00783C38" w:rsidP="006627F8">
      <w:pPr>
        <w:jc w:val="both"/>
        <w:rPr>
          <w:bCs/>
        </w:rPr>
      </w:pPr>
    </w:p>
    <w:p w14:paraId="3D573F14" w14:textId="77777777" w:rsidR="00F558E0" w:rsidRPr="00DD023F" w:rsidRDefault="00F558E0" w:rsidP="00DD023F">
      <w:pPr>
        <w:spacing w:after="16"/>
        <w:jc w:val="both"/>
        <w:rPr>
          <w:bCs/>
        </w:rPr>
      </w:pPr>
    </w:p>
    <w:p w14:paraId="74A92C7F" w14:textId="0EF2AC74" w:rsidR="0026490A" w:rsidRDefault="0026490A" w:rsidP="00F558E0">
      <w:pPr>
        <w:pStyle w:val="Odsekzoznamu"/>
        <w:numPr>
          <w:ilvl w:val="0"/>
          <w:numId w:val="9"/>
        </w:numPr>
        <w:spacing w:after="16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Čl. 8 sa slová „dôvodov ustanovených“ nahrádzajú slovami „spôsobom ustanoveným“.</w:t>
      </w:r>
    </w:p>
    <w:p w14:paraId="54F2A974" w14:textId="43AAB90C" w:rsidR="00713118" w:rsidRPr="005A377C" w:rsidRDefault="00713118" w:rsidP="005A377C">
      <w:pPr>
        <w:rPr>
          <w:bCs/>
        </w:rPr>
      </w:pPr>
    </w:p>
    <w:p w14:paraId="521BA0CA" w14:textId="287060E6" w:rsidR="00B43433" w:rsidRPr="003539CB" w:rsidRDefault="007E5F26" w:rsidP="00F558E0">
      <w:pPr>
        <w:pStyle w:val="Odsekzoznamu"/>
        <w:numPr>
          <w:ilvl w:val="0"/>
          <w:numId w:val="9"/>
        </w:numPr>
        <w:spacing w:after="16"/>
        <w:ind w:left="1134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9CB">
        <w:rPr>
          <w:rFonts w:ascii="Times New Roman" w:hAnsi="Times New Roman" w:cs="Times New Roman"/>
          <w:bCs/>
          <w:sz w:val="24"/>
          <w:szCs w:val="24"/>
        </w:rPr>
        <w:t>V § 61 sa za odsek 4 vkladajú nové odseky 5 a 6, ktoré znejú:</w:t>
      </w:r>
    </w:p>
    <w:p w14:paraId="0DE04F17" w14:textId="22F95C1B" w:rsidR="00B43433" w:rsidRPr="003539CB" w:rsidRDefault="007E5F26" w:rsidP="00F558E0">
      <w:pPr>
        <w:spacing w:after="16" w:line="276" w:lineRule="auto"/>
        <w:ind w:left="851"/>
        <w:contextualSpacing/>
        <w:jc w:val="both"/>
        <w:rPr>
          <w:shd w:val="clear" w:color="auto" w:fill="FFFFFF"/>
        </w:rPr>
      </w:pPr>
      <w:bookmarkStart w:id="2" w:name="_Hlk63947580"/>
      <w:r w:rsidRPr="003539CB">
        <w:rPr>
          <w:rFonts w:eastAsiaTheme="minorHAnsi"/>
          <w:lang w:eastAsia="en-US"/>
        </w:rPr>
        <w:t xml:space="preserve">„(5) </w:t>
      </w:r>
      <w:r w:rsidR="00B43433" w:rsidRPr="003539CB">
        <w:rPr>
          <w:shd w:val="clear" w:color="auto" w:fill="FFFFFF"/>
        </w:rPr>
        <w:t>Generálny tajomník</w:t>
      </w:r>
      <w:r w:rsidRPr="003539CB">
        <w:rPr>
          <w:shd w:val="clear" w:color="auto" w:fill="FFFFFF"/>
        </w:rPr>
        <w:t xml:space="preserve"> môže so súhlasom štatutárneho orgánu </w:t>
      </w:r>
      <w:r w:rsidR="00087E78">
        <w:rPr>
          <w:shd w:val="clear" w:color="auto" w:fill="FFFFFF"/>
        </w:rPr>
        <w:t>alebo štátneho zamestnanca vo verejnej funkcii</w:t>
      </w:r>
      <w:r w:rsidR="00CD707E">
        <w:rPr>
          <w:shd w:val="clear" w:color="auto" w:fill="FFFFFF"/>
        </w:rPr>
        <w:t xml:space="preserve"> </w:t>
      </w:r>
      <w:r w:rsidRPr="003539CB">
        <w:rPr>
          <w:shd w:val="clear" w:color="auto" w:fill="FFFFFF"/>
        </w:rPr>
        <w:t>odvolať z funkcie vedúceho zamestnanca, ktorého priamo riadi</w:t>
      </w:r>
      <w:r w:rsidR="00361378">
        <w:rPr>
          <w:shd w:val="clear" w:color="auto" w:fill="FFFFFF"/>
        </w:rPr>
        <w:t xml:space="preserve"> štatutárny orgán</w:t>
      </w:r>
      <w:r w:rsidR="00046AE0">
        <w:rPr>
          <w:shd w:val="clear" w:color="auto" w:fill="FFFFFF"/>
        </w:rPr>
        <w:t xml:space="preserve"> alebo štátny zamestnanec vo verejn</w:t>
      </w:r>
      <w:r w:rsidR="00CD707E">
        <w:rPr>
          <w:shd w:val="clear" w:color="auto" w:fill="FFFFFF"/>
        </w:rPr>
        <w:t>e</w:t>
      </w:r>
      <w:r w:rsidR="00046AE0">
        <w:rPr>
          <w:shd w:val="clear" w:color="auto" w:fill="FFFFFF"/>
        </w:rPr>
        <w:t>j funkcii</w:t>
      </w:r>
      <w:r w:rsidRPr="003539CB">
        <w:rPr>
          <w:shd w:val="clear" w:color="auto" w:fill="FFFFFF"/>
        </w:rPr>
        <w:t>, aj bez uvedenia dôvodu, ak osobitný predpis neustanovuje inak.</w:t>
      </w:r>
    </w:p>
    <w:p w14:paraId="190C57CD" w14:textId="0C68F751" w:rsidR="00900F60" w:rsidRPr="003539CB" w:rsidRDefault="007E5F26" w:rsidP="00F558E0">
      <w:pPr>
        <w:spacing w:after="16" w:line="276" w:lineRule="auto"/>
        <w:ind w:left="851"/>
        <w:contextualSpacing/>
        <w:jc w:val="both"/>
        <w:rPr>
          <w:shd w:val="clear" w:color="auto" w:fill="FFFFFF"/>
        </w:rPr>
      </w:pPr>
      <w:r w:rsidRPr="003539CB">
        <w:rPr>
          <w:shd w:val="clear" w:color="auto" w:fill="FFFFFF"/>
        </w:rPr>
        <w:t xml:space="preserve">(6) </w:t>
      </w:r>
      <w:r w:rsidR="00B43433" w:rsidRPr="003539CB">
        <w:rPr>
          <w:shd w:val="clear" w:color="auto" w:fill="FFFFFF"/>
        </w:rPr>
        <w:t>Generálny tajomník</w:t>
      </w:r>
      <w:r w:rsidRPr="003539CB">
        <w:rPr>
          <w:shd w:val="clear" w:color="auto" w:fill="FFFFFF"/>
        </w:rPr>
        <w:t xml:space="preserve"> na návrh štatutárneho orgánu alebo na návrh štátneho zamestnanca vo verejnej funkcii odvolá </w:t>
      </w:r>
      <w:r w:rsidR="00CD707E">
        <w:rPr>
          <w:shd w:val="clear" w:color="auto" w:fill="FFFFFF"/>
        </w:rPr>
        <w:t xml:space="preserve">do 10 dní </w:t>
      </w:r>
      <w:r w:rsidRPr="003539CB">
        <w:rPr>
          <w:shd w:val="clear" w:color="auto" w:fill="FFFFFF"/>
        </w:rPr>
        <w:t>aj bez uvedenia dôvodu vedúceho zamestnanca, ktorého priamo riadi štatutárny orgán alebo štátny zamestnanec vo verejnej funkcii, ak osobitný predpis neustanovuje inak.“.</w:t>
      </w:r>
    </w:p>
    <w:p w14:paraId="6589B891" w14:textId="571BBEE7" w:rsidR="00900F60" w:rsidRDefault="003539CB" w:rsidP="00F558E0">
      <w:pPr>
        <w:spacing w:after="16" w:line="276" w:lineRule="auto"/>
        <w:ind w:left="851"/>
        <w:contextualSpacing/>
        <w:jc w:val="both"/>
        <w:rPr>
          <w:shd w:val="clear" w:color="auto" w:fill="FFFFFF"/>
        </w:rPr>
      </w:pPr>
      <w:r w:rsidRPr="003539CB">
        <w:rPr>
          <w:shd w:val="clear" w:color="auto" w:fill="FFFFFF"/>
        </w:rPr>
        <w:t>Doterajší odsek 5 sa označuje ako odsek 7.</w:t>
      </w:r>
    </w:p>
    <w:p w14:paraId="5E7798A8" w14:textId="77777777" w:rsidR="00F558E0" w:rsidRPr="003539CB" w:rsidRDefault="00F558E0" w:rsidP="00F558E0">
      <w:pPr>
        <w:spacing w:after="16" w:line="276" w:lineRule="auto"/>
        <w:ind w:left="851"/>
        <w:contextualSpacing/>
        <w:jc w:val="both"/>
        <w:rPr>
          <w:shd w:val="clear" w:color="auto" w:fill="FFFFFF"/>
        </w:rPr>
      </w:pPr>
    </w:p>
    <w:p w14:paraId="70D5F143" w14:textId="2D283EB9" w:rsidR="00D23444" w:rsidRDefault="00900F60" w:rsidP="00F558E0">
      <w:pPr>
        <w:pStyle w:val="Odsekzoznamu"/>
        <w:numPr>
          <w:ilvl w:val="0"/>
          <w:numId w:val="9"/>
        </w:numPr>
        <w:spacing w:after="16"/>
        <w:ind w:left="1134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9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V § 75 ods. 1 písm. c) sa slová „§ 61 ods. 1 až 4“ nahrádzajú slovami „ § 61 ods. 1 až 6“</w:t>
      </w:r>
      <w:r w:rsidR="00783C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490D9F" w14:textId="77777777" w:rsidR="00F558E0" w:rsidRPr="00BE3E72" w:rsidRDefault="00F558E0" w:rsidP="00BE3E72">
      <w:pPr>
        <w:spacing w:after="16"/>
        <w:jc w:val="both"/>
        <w:rPr>
          <w:shd w:val="clear" w:color="auto" w:fill="FFFFFF"/>
        </w:rPr>
      </w:pPr>
    </w:p>
    <w:p w14:paraId="38D84069" w14:textId="0ECE9CDC" w:rsidR="004C7749" w:rsidRDefault="00873BA0" w:rsidP="00B31AAB">
      <w:pPr>
        <w:pStyle w:val="Odsekzoznamu"/>
        <w:numPr>
          <w:ilvl w:val="0"/>
          <w:numId w:val="9"/>
        </w:numPr>
        <w:spacing w:after="16"/>
        <w:ind w:left="1134" w:hanging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9CB">
        <w:rPr>
          <w:rFonts w:ascii="Times New Roman" w:hAnsi="Times New Roman" w:cs="Times New Roman"/>
          <w:sz w:val="24"/>
          <w:szCs w:val="24"/>
          <w:shd w:val="clear" w:color="auto" w:fill="FFFFFF"/>
        </w:rPr>
        <w:t>V § 83 ods. 3 sa slová „§ 61 ods. 1, 3 alebo ods. 4 písm. a)“ nahrádzajú slovami „§ 61 ods. 1, 3, ods. 4 písm. a), ods. 5 alebo 6“.</w:t>
      </w:r>
      <w:bookmarkEnd w:id="2"/>
    </w:p>
    <w:p w14:paraId="5DEA8219" w14:textId="77777777" w:rsidR="0026490A" w:rsidRPr="00A3473C" w:rsidRDefault="0026490A" w:rsidP="00A3473C">
      <w:pPr>
        <w:pStyle w:val="Odsekzoznamu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83AC25" w14:textId="77777777" w:rsidR="007F386B" w:rsidRPr="00B31AAB" w:rsidRDefault="007F386B" w:rsidP="00A3473C">
      <w:pPr>
        <w:pStyle w:val="Odsekzoznamu"/>
        <w:spacing w:after="16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91ACA6" w14:textId="09C0B213" w:rsidR="004C7749" w:rsidRPr="003539CB" w:rsidRDefault="0045501F" w:rsidP="00B43433">
      <w:pPr>
        <w:spacing w:after="120" w:line="276" w:lineRule="auto"/>
        <w:jc w:val="center"/>
      </w:pPr>
      <w:r w:rsidRPr="003539CB">
        <w:rPr>
          <w:b/>
          <w:bCs/>
        </w:rPr>
        <w:t>Čl. II</w:t>
      </w:r>
    </w:p>
    <w:p w14:paraId="7A34A6BC" w14:textId="450B2C26" w:rsidR="004C7749" w:rsidRPr="003539CB" w:rsidRDefault="0045501F" w:rsidP="0091215A">
      <w:pPr>
        <w:spacing w:after="120" w:line="276" w:lineRule="auto"/>
        <w:ind w:firstLine="708"/>
        <w:jc w:val="both"/>
      </w:pPr>
      <w:r w:rsidRPr="003539CB">
        <w:t xml:space="preserve">Tento zákon nadobúda účinnosť </w:t>
      </w:r>
      <w:r w:rsidR="00361378">
        <w:t>dňom vyhlásenia</w:t>
      </w:r>
      <w:r w:rsidRPr="003539CB">
        <w:t>.</w:t>
      </w:r>
    </w:p>
    <w:p w14:paraId="4CCFAD01" w14:textId="16008F97" w:rsidR="008F7F0D" w:rsidRPr="003539CB" w:rsidRDefault="008F7F0D" w:rsidP="0091215A">
      <w:pPr>
        <w:spacing w:after="120" w:line="276" w:lineRule="auto"/>
        <w:ind w:firstLine="708"/>
        <w:jc w:val="both"/>
      </w:pPr>
    </w:p>
    <w:p w14:paraId="2E9156EB" w14:textId="77777777" w:rsidR="00900F60" w:rsidRPr="003539CB" w:rsidRDefault="00900F60" w:rsidP="0091215A">
      <w:pPr>
        <w:spacing w:after="120" w:line="276" w:lineRule="auto"/>
        <w:ind w:firstLine="708"/>
        <w:jc w:val="both"/>
      </w:pPr>
      <w:bookmarkStart w:id="3" w:name="_GoBack"/>
      <w:bookmarkEnd w:id="3"/>
    </w:p>
    <w:sectPr w:rsidR="00900F60" w:rsidRPr="003539CB" w:rsidSect="004401BA">
      <w:footerReference w:type="default" r:id="rId8"/>
      <w:pgSz w:w="11906" w:h="16838"/>
      <w:pgMar w:top="1417" w:right="1417" w:bottom="1417" w:left="1417" w:header="0" w:footer="555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D66270" w16cex:dateUtc="2021-02-16T14:25:00Z"/>
  <w16cex:commentExtensible w16cex:durableId="243EEEA0" w16cex:dateUtc="2021-05-06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074059" w16cid:durableId="23D66270"/>
  <w16cid:commentId w16cid:paraId="4DD9F6FA" w16cid:durableId="243EEE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61094" w14:textId="77777777" w:rsidR="00366F8F" w:rsidRDefault="00366F8F" w:rsidP="004401BA">
      <w:r>
        <w:separator/>
      </w:r>
    </w:p>
  </w:endnote>
  <w:endnote w:type="continuationSeparator" w:id="0">
    <w:p w14:paraId="7F8E672E" w14:textId="77777777" w:rsidR="00366F8F" w:rsidRDefault="00366F8F" w:rsidP="0044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543468"/>
      <w:docPartObj>
        <w:docPartGallery w:val="Page Numbers (Bottom of Page)"/>
        <w:docPartUnique/>
      </w:docPartObj>
    </w:sdtPr>
    <w:sdtContent>
      <w:p w14:paraId="579A7942" w14:textId="47CE796A" w:rsidR="004401BA" w:rsidRDefault="004401B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966868" w14:textId="77777777" w:rsidR="004401BA" w:rsidRDefault="004401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2C209" w14:textId="77777777" w:rsidR="00366F8F" w:rsidRDefault="00366F8F" w:rsidP="004401BA">
      <w:r>
        <w:separator/>
      </w:r>
    </w:p>
  </w:footnote>
  <w:footnote w:type="continuationSeparator" w:id="0">
    <w:p w14:paraId="6F414DBA" w14:textId="77777777" w:rsidR="00366F8F" w:rsidRDefault="00366F8F" w:rsidP="0044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319"/>
    <w:multiLevelType w:val="hybridMultilevel"/>
    <w:tmpl w:val="1C985F48"/>
    <w:lvl w:ilvl="0" w:tplc="40B23E22">
      <w:start w:val="1"/>
      <w:numFmt w:val="lowerLetter"/>
      <w:lvlText w:val="%1)"/>
      <w:lvlJc w:val="left"/>
      <w:pPr>
        <w:ind w:left="1080" w:hanging="372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A01AB"/>
    <w:multiLevelType w:val="hybridMultilevel"/>
    <w:tmpl w:val="6CA0AD1A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B27D2"/>
    <w:multiLevelType w:val="hybridMultilevel"/>
    <w:tmpl w:val="B28AD02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976107"/>
    <w:multiLevelType w:val="hybridMultilevel"/>
    <w:tmpl w:val="3D204D6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1123757"/>
    <w:multiLevelType w:val="multilevel"/>
    <w:tmpl w:val="86E6B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C64943"/>
    <w:multiLevelType w:val="hybridMultilevel"/>
    <w:tmpl w:val="8E528C18"/>
    <w:lvl w:ilvl="0" w:tplc="1E0868DC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0F26003"/>
    <w:multiLevelType w:val="hybridMultilevel"/>
    <w:tmpl w:val="34E81D9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F8D3758"/>
    <w:multiLevelType w:val="multilevel"/>
    <w:tmpl w:val="B5B2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494949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7213"/>
    <w:multiLevelType w:val="hybridMultilevel"/>
    <w:tmpl w:val="5D3C2508"/>
    <w:lvl w:ilvl="0" w:tplc="D95882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49"/>
    <w:rsid w:val="000274A4"/>
    <w:rsid w:val="00046AE0"/>
    <w:rsid w:val="00087E78"/>
    <w:rsid w:val="00092F08"/>
    <w:rsid w:val="000E19A9"/>
    <w:rsid w:val="00140ECD"/>
    <w:rsid w:val="001569DC"/>
    <w:rsid w:val="00166C5B"/>
    <w:rsid w:val="001D4C59"/>
    <w:rsid w:val="002102DB"/>
    <w:rsid w:val="0021491B"/>
    <w:rsid w:val="00224F6E"/>
    <w:rsid w:val="0026490A"/>
    <w:rsid w:val="002968EA"/>
    <w:rsid w:val="002B689E"/>
    <w:rsid w:val="00317499"/>
    <w:rsid w:val="003237CD"/>
    <w:rsid w:val="003539CB"/>
    <w:rsid w:val="00361378"/>
    <w:rsid w:val="00366F8F"/>
    <w:rsid w:val="00374530"/>
    <w:rsid w:val="00377B93"/>
    <w:rsid w:val="00392167"/>
    <w:rsid w:val="003B359A"/>
    <w:rsid w:val="003D432C"/>
    <w:rsid w:val="00410285"/>
    <w:rsid w:val="004260CB"/>
    <w:rsid w:val="004401BA"/>
    <w:rsid w:val="0045501F"/>
    <w:rsid w:val="0046325F"/>
    <w:rsid w:val="00491955"/>
    <w:rsid w:val="004B311B"/>
    <w:rsid w:val="004C7749"/>
    <w:rsid w:val="004D7930"/>
    <w:rsid w:val="004E4338"/>
    <w:rsid w:val="0053066A"/>
    <w:rsid w:val="00561BA7"/>
    <w:rsid w:val="005818AE"/>
    <w:rsid w:val="00585E3B"/>
    <w:rsid w:val="00592C09"/>
    <w:rsid w:val="005A377C"/>
    <w:rsid w:val="005D447B"/>
    <w:rsid w:val="005E2D7E"/>
    <w:rsid w:val="0062425A"/>
    <w:rsid w:val="006627F8"/>
    <w:rsid w:val="006A4802"/>
    <w:rsid w:val="006C162D"/>
    <w:rsid w:val="006E30E7"/>
    <w:rsid w:val="006E319A"/>
    <w:rsid w:val="007056FD"/>
    <w:rsid w:val="00713118"/>
    <w:rsid w:val="00716BB6"/>
    <w:rsid w:val="0072279C"/>
    <w:rsid w:val="00737954"/>
    <w:rsid w:val="00783C38"/>
    <w:rsid w:val="007B1034"/>
    <w:rsid w:val="007B5BC6"/>
    <w:rsid w:val="007B5C7E"/>
    <w:rsid w:val="007D5633"/>
    <w:rsid w:val="007E5F26"/>
    <w:rsid w:val="007F386B"/>
    <w:rsid w:val="0082367E"/>
    <w:rsid w:val="00830080"/>
    <w:rsid w:val="00846991"/>
    <w:rsid w:val="00873BA0"/>
    <w:rsid w:val="008D5EAF"/>
    <w:rsid w:val="008E3759"/>
    <w:rsid w:val="008F7F0D"/>
    <w:rsid w:val="00900F60"/>
    <w:rsid w:val="0090479E"/>
    <w:rsid w:val="009057EF"/>
    <w:rsid w:val="0091215A"/>
    <w:rsid w:val="0094009B"/>
    <w:rsid w:val="009939DB"/>
    <w:rsid w:val="009F232E"/>
    <w:rsid w:val="009F5FA9"/>
    <w:rsid w:val="00A200DD"/>
    <w:rsid w:val="00A3473C"/>
    <w:rsid w:val="00A56AC1"/>
    <w:rsid w:val="00A84D0E"/>
    <w:rsid w:val="00A86014"/>
    <w:rsid w:val="00AD18FB"/>
    <w:rsid w:val="00B07F88"/>
    <w:rsid w:val="00B17897"/>
    <w:rsid w:val="00B31AAB"/>
    <w:rsid w:val="00B34256"/>
    <w:rsid w:val="00B43433"/>
    <w:rsid w:val="00B716D9"/>
    <w:rsid w:val="00BA7F59"/>
    <w:rsid w:val="00BE3E72"/>
    <w:rsid w:val="00C051F6"/>
    <w:rsid w:val="00C17252"/>
    <w:rsid w:val="00C565C5"/>
    <w:rsid w:val="00C77FE5"/>
    <w:rsid w:val="00CB5398"/>
    <w:rsid w:val="00CC2FC5"/>
    <w:rsid w:val="00CD707E"/>
    <w:rsid w:val="00D23444"/>
    <w:rsid w:val="00D372A1"/>
    <w:rsid w:val="00D4669D"/>
    <w:rsid w:val="00D6795E"/>
    <w:rsid w:val="00D7440E"/>
    <w:rsid w:val="00D9078E"/>
    <w:rsid w:val="00DD023F"/>
    <w:rsid w:val="00E445B0"/>
    <w:rsid w:val="00EB4866"/>
    <w:rsid w:val="00ED2D08"/>
    <w:rsid w:val="00EE25E1"/>
    <w:rsid w:val="00EE7D16"/>
    <w:rsid w:val="00F26E5F"/>
    <w:rsid w:val="00F30CD6"/>
    <w:rsid w:val="00F36ED9"/>
    <w:rsid w:val="00F558E0"/>
    <w:rsid w:val="00F9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6CEE9"/>
  <w15:docId w15:val="{8CDB4BFA-6737-47B5-BE2A-86B9481E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F2A6F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qFormat/>
    <w:rsid w:val="001F2A6F"/>
  </w:style>
  <w:style w:type="character" w:customStyle="1" w:styleId="ZkladntextChar1">
    <w:name w:val="Základný text Char1"/>
    <w:basedOn w:val="Predvolenpsmoodseku"/>
    <w:uiPriority w:val="99"/>
    <w:semiHidden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41AE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ListLabel1">
    <w:name w:val="ListLabel 1"/>
    <w:qFormat/>
    <w:rPr>
      <w:rFonts w:ascii="Times New Roman" w:hAnsi="Times New Roman"/>
      <w:b/>
      <w:color w:val="494949"/>
      <w:sz w:val="24"/>
    </w:rPr>
  </w:style>
  <w:style w:type="character" w:customStyle="1" w:styleId="ListLabel2">
    <w:name w:val="ListLabel 2"/>
    <w:qFormat/>
    <w:rPr>
      <w:b w:val="0"/>
      <w:color w:val="494949"/>
    </w:rPr>
  </w:style>
  <w:style w:type="character" w:customStyle="1" w:styleId="ListLabel3">
    <w:name w:val="ListLabel 3"/>
    <w:qFormat/>
    <w:rPr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customStyle="1" w:styleId="ListLabel4">
    <w:name w:val="ListLabel 4"/>
    <w:qFormat/>
    <w:rPr>
      <w:rFonts w:ascii="Times New Roman" w:hAnsi="Times New Roman"/>
      <w:b/>
      <w:color w:val="494949"/>
      <w:sz w:val="24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5F1675"/>
      <w:u w:val="single"/>
      <w:vertAlign w:val="superscript"/>
    </w:rPr>
  </w:style>
  <w:style w:type="character" w:customStyle="1" w:styleId="ListLabel8">
    <w:name w:val="ListLabel 8"/>
    <w:qFormat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C4661"/>
    <w:rPr>
      <w:rFonts w:ascii="Times New Roman" w:eastAsia="Times New Roman" w:hAnsi="Times New Roman" w:cs="Times New Roman"/>
      <w:b/>
      <w:bCs/>
      <w:szCs w:val="20"/>
      <w:lang w:eastAsia="sk-SK"/>
    </w:rPr>
  </w:style>
  <w:style w:type="character" w:customStyle="1" w:styleId="ListLabel9">
    <w:name w:val="ListLabel 9"/>
    <w:qFormat/>
    <w:rPr>
      <w:rFonts w:ascii="Times New Roman" w:hAnsi="Times New Roman"/>
      <w:b/>
      <w:color w:val="494949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ascii="Times New Roman" w:hAnsi="Times New Roman"/>
      <w:b/>
      <w:color w:val="494949"/>
      <w:sz w:val="24"/>
    </w:rPr>
  </w:style>
  <w:style w:type="character" w:customStyle="1" w:styleId="ListLabel14">
    <w:name w:val="ListLabel 14"/>
    <w:qFormat/>
    <w:rPr>
      <w:b/>
      <w:color w:val="494949"/>
      <w:sz w:val="24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17">
    <w:name w:val="ListLabel 17"/>
    <w:qFormat/>
    <w:rPr>
      <w:rFonts w:eastAsiaTheme="minorHAnsi"/>
      <w:kern w:val="2"/>
      <w:u w:val="single"/>
      <w:lang w:bidi="hi-IN"/>
    </w:rPr>
  </w:style>
  <w:style w:type="character" w:customStyle="1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4"/>
      <w:szCs w:val="24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21">
    <w:name w:val="ListLabel 21"/>
    <w:qFormat/>
    <w:rPr>
      <w:rFonts w:ascii="Times New Roman" w:eastAsiaTheme="minorHAnsi" w:hAnsi="Times New Roman"/>
      <w:kern w:val="2"/>
      <w:sz w:val="24"/>
      <w:szCs w:val="24"/>
      <w:u w:val="none"/>
      <w:lang w:bidi="hi-IN"/>
    </w:rPr>
  </w:style>
  <w:style w:type="character" w:customStyle="1" w:styleId="ListLabel22">
    <w:name w:val="ListLabel 22"/>
    <w:qFormat/>
    <w:rPr>
      <w:rFonts w:ascii="Times New Roman" w:eastAsiaTheme="minorHAnsi" w:hAnsi="Times New Roman" w:cs="Times New Roman"/>
      <w:kern w:val="2"/>
      <w:sz w:val="24"/>
      <w:szCs w:val="24"/>
      <w:u w:val="none"/>
      <w:lang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1F2A6F"/>
    <w:pPr>
      <w:jc w:val="both"/>
    </w:pPr>
    <w:rPr>
      <w:rFonts w:eastAsiaTheme="minorEastAsia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1F2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41AE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C466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E25E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401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1B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01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01B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8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3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1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93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70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33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2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0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5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5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0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0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22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8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153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96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70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85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8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10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27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8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004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82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99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3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07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7/55/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klub OĽANO</cp:lastModifiedBy>
  <cp:revision>5</cp:revision>
  <cp:lastPrinted>2020-08-19T13:36:00Z</cp:lastPrinted>
  <dcterms:created xsi:type="dcterms:W3CDTF">2021-05-07T15:22:00Z</dcterms:created>
  <dcterms:modified xsi:type="dcterms:W3CDTF">2021-05-28T09:20:00Z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