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3F01" w14:textId="77777777" w:rsidR="00267515" w:rsidRPr="00925BA1" w:rsidRDefault="00267515" w:rsidP="00267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D ô v o d o v á   s p r á v a</w:t>
      </w:r>
    </w:p>
    <w:p w14:paraId="0414FD22" w14:textId="77777777" w:rsidR="00267515" w:rsidRPr="00925BA1" w:rsidRDefault="00267515" w:rsidP="00267515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A. Všeobecná časť</w:t>
      </w:r>
    </w:p>
    <w:p w14:paraId="08EF72E0" w14:textId="5004F6D9" w:rsidR="00267515" w:rsidRPr="00925BA1" w:rsidRDefault="00267515" w:rsidP="00250C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Návrh</w:t>
      </w:r>
      <w:r w:rsidRPr="00925BA1">
        <w:rPr>
          <w:rFonts w:ascii="Times New Roman" w:eastAsia="Times New Roman" w:hAnsi="Times New Roman"/>
          <w:spacing w:val="9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zákona,</w:t>
      </w:r>
      <w:r w:rsidRPr="00925BA1">
        <w:rPr>
          <w:rFonts w:ascii="Times New Roman" w:eastAsia="Times New Roman" w:hAnsi="Times New Roman"/>
          <w:spacing w:val="92"/>
          <w:sz w:val="24"/>
          <w:szCs w:val="24"/>
          <w:lang w:eastAsia="sk-SK"/>
        </w:rPr>
        <w:t xml:space="preserve"> </w:t>
      </w:r>
      <w:bookmarkStart w:id="0" w:name="_Hlk52441355"/>
      <w:r w:rsidR="00250C33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ktorým sa mení zákon  </w:t>
      </w:r>
      <w:r w:rsidR="00250C33" w:rsidRPr="00925BA1">
        <w:rPr>
          <w:rFonts w:ascii="Times New Roman" w:hAnsi="Times New Roman"/>
          <w:sz w:val="24"/>
          <w:szCs w:val="24"/>
        </w:rPr>
        <w:t xml:space="preserve">č. 442/2002 Z. z. o verejných vodovodoch </w:t>
      </w:r>
      <w:r w:rsidR="00281933">
        <w:rPr>
          <w:rFonts w:ascii="Times New Roman" w:hAnsi="Times New Roman"/>
          <w:sz w:val="24"/>
          <w:szCs w:val="24"/>
        </w:rPr>
        <w:t xml:space="preserve">                   </w:t>
      </w:r>
      <w:r w:rsidR="00250C33" w:rsidRPr="00925BA1">
        <w:rPr>
          <w:rFonts w:ascii="Times New Roman" w:hAnsi="Times New Roman"/>
          <w:sz w:val="24"/>
          <w:szCs w:val="24"/>
        </w:rPr>
        <w:t xml:space="preserve">a verejných kanalizáciách a o zmene a doplnení zákona č. 276/2001 Z. z. o regulácii v sieťových odvetviach </w:t>
      </w:r>
      <w:r w:rsidR="00250C33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v znení neskorších predpisov a ktorým sa mení a dopĺňa zákon </w:t>
      </w:r>
      <w:r w:rsidR="00250C33" w:rsidRPr="00925BA1">
        <w:rPr>
          <w:rFonts w:ascii="Times New Roman" w:hAnsi="Times New Roman"/>
          <w:sz w:val="24"/>
          <w:szCs w:val="24"/>
          <w:shd w:val="clear" w:color="auto" w:fill="FFFFFF"/>
        </w:rPr>
        <w:t>č. 355/2007 Z. z. o ochrane, podpore a rozvoji verejného zdravia a o zmene  a doplnení niektorých zákonov v znení</w:t>
      </w:r>
      <w:r w:rsidR="00250C33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 neskorších predpisov</w:t>
      </w:r>
      <w:bookmarkEnd w:id="0"/>
      <w:r w:rsidR="00250C33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predkladajú na rokovanie Národnej rady Slovenskej republiky poslanci Národnej rady Slovenskej republiky</w:t>
      </w:r>
      <w:r w:rsidR="00364F73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 Anna Zemanová,</w:t>
      </w:r>
      <w:r w:rsidR="006633B4">
        <w:rPr>
          <w:rFonts w:ascii="Times New Roman" w:eastAsia="Times New Roman" w:hAnsi="Times New Roman"/>
          <w:sz w:val="24"/>
          <w:szCs w:val="24"/>
          <w:lang w:eastAsia="sk-SK"/>
        </w:rPr>
        <w:t xml:space="preserve"> Jaroslav Karahuta, Miriam Šuteková, Jaromír Šíbl</w:t>
      </w:r>
      <w:r w:rsidR="00281933">
        <w:rPr>
          <w:rFonts w:ascii="Times New Roman" w:eastAsia="Times New Roman" w:hAnsi="Times New Roman"/>
          <w:sz w:val="24"/>
          <w:szCs w:val="24"/>
          <w:lang w:eastAsia="sk-SK"/>
        </w:rPr>
        <w:t>, Jarmila Halgašová a Jana Bittó Cigániková</w:t>
      </w:r>
      <w:r w:rsidR="006633B4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6516B1C5" w14:textId="77777777" w:rsidR="00267515" w:rsidRPr="00925BA1" w:rsidRDefault="00267515" w:rsidP="00275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D21DAFD" w14:textId="6E65070A" w:rsidR="00B029D3" w:rsidRPr="00925BA1" w:rsidRDefault="00267515" w:rsidP="00275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Cieľom predloženého návrhu zákona </w:t>
      </w:r>
      <w:r w:rsidR="0027542A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je</w:t>
      </w:r>
      <w:r w:rsidR="00FC3B35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v</w:t>
      </w:r>
      <w:r w:rsidR="004C67B0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 súlade s Programovým vyhlásením vlády Slovenskej republiky </w:t>
      </w:r>
      <w:r w:rsidR="009A1098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zaviesť do nášho právneho poriadku pružné mechanizmy </w:t>
      </w:r>
      <w:r w:rsidR="001350A8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zverejňovania informácií </w:t>
      </w:r>
      <w:r w:rsidR="008F4E1F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zhromažďovaných od vlastníkov verejných vodovodov</w:t>
      </w:r>
      <w:r w:rsidR="001C0D9E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, sledovania týchto údajov Úradom verejného zdravotníctva Slovenskej republiky </w:t>
      </w:r>
      <w:r w:rsidR="008C767A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a v prípade zistenia nadlimitnej kontaminácie </w:t>
      </w:r>
      <w:r w:rsidR="00310786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vykonanie nevyhnutných opatrení. </w:t>
      </w:r>
    </w:p>
    <w:p w14:paraId="04472FA6" w14:textId="77777777" w:rsidR="00B029D3" w:rsidRPr="00925BA1" w:rsidRDefault="00B029D3" w:rsidP="00275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771AE9C5" w14:textId="31C6FC99" w:rsidR="00267515" w:rsidRPr="00925BA1" w:rsidRDefault="00B029D3" w:rsidP="0027542A">
      <w:pPr>
        <w:spacing w:after="0" w:line="240" w:lineRule="auto"/>
        <w:ind w:firstLine="708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Návrhom zákona sa </w:t>
      </w:r>
      <w:r w:rsidR="0027542A" w:rsidRPr="00925BA1">
        <w:rPr>
          <w:rFonts w:ascii="Times New Roman" w:hAnsi="Times New Roman"/>
          <w:sz w:val="24"/>
          <w:szCs w:val="24"/>
        </w:rPr>
        <w:t>ustanov</w:t>
      </w:r>
      <w:r w:rsidR="00E5048D" w:rsidRPr="00925BA1">
        <w:rPr>
          <w:rFonts w:ascii="Times New Roman" w:hAnsi="Times New Roman"/>
          <w:sz w:val="24"/>
          <w:szCs w:val="24"/>
        </w:rPr>
        <w:t xml:space="preserve">uje </w:t>
      </w:r>
      <w:r w:rsidR="00964B95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Ministerstvom životného prostredia </w:t>
      </w:r>
      <w:r w:rsidR="00862C04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Slovenskej republiky </w:t>
      </w:r>
      <w:r w:rsidR="00964B95" w:rsidRPr="00925BA1">
        <w:rPr>
          <w:rFonts w:ascii="Times New Roman" w:hAnsi="Times New Roman"/>
          <w:sz w:val="24"/>
          <w:szCs w:val="24"/>
          <w:shd w:val="clear" w:color="auto" w:fill="FFFFFF"/>
        </w:rPr>
        <w:t>poverenej právnickej osobe</w:t>
      </w:r>
      <w:r w:rsidR="002E7AE8" w:rsidRPr="00925BA1">
        <w:rPr>
          <w:rFonts w:ascii="Times New Roman" w:hAnsi="Times New Roman"/>
          <w:sz w:val="24"/>
          <w:szCs w:val="24"/>
          <w:shd w:val="clear" w:color="auto" w:fill="FFFFFF"/>
        </w:rPr>
        <w:t>, ktorou je v súčasnosti Výskumný ústav vodného hospodárstva</w:t>
      </w:r>
      <w:r w:rsidR="00004EDB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00F70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(VÚVH) </w:t>
      </w:r>
      <w:r w:rsidR="00004EDB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zverejňovať údaje o kvalite surovej vody </w:t>
      </w:r>
      <w:r w:rsidR="00FC3B35" w:rsidRPr="00925BA1">
        <w:rPr>
          <w:rFonts w:ascii="Times New Roman" w:hAnsi="Times New Roman"/>
          <w:sz w:val="24"/>
          <w:szCs w:val="24"/>
        </w:rPr>
        <w:t>na svojom webovom sídle.</w:t>
      </w:r>
      <w:r w:rsidR="00267515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00F70" w:rsidRPr="00925BA1">
        <w:rPr>
          <w:rFonts w:ascii="Times New Roman" w:eastAsia="Times New Roman" w:hAnsi="Times New Roman"/>
          <w:sz w:val="24"/>
          <w:szCs w:val="24"/>
          <w:lang w:eastAsia="sk-SK"/>
        </w:rPr>
        <w:t>V nadväznosti na t</w:t>
      </w:r>
      <w:r w:rsidR="00B439CA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úto zmenu sa navrhuje Úradu verejného zdravotníctva </w:t>
      </w:r>
      <w:r w:rsidR="00A96CF3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Slovenskej republiky </w:t>
      </w:r>
      <w:r w:rsidR="00B439CA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23259" w:rsidRPr="00925BA1">
        <w:rPr>
          <w:rFonts w:ascii="Times New Roman" w:eastAsia="Times New Roman" w:hAnsi="Times New Roman"/>
          <w:sz w:val="24"/>
          <w:szCs w:val="24"/>
          <w:lang w:eastAsia="sk-SK"/>
        </w:rPr>
        <w:t>tieto údaje sledovať a</w:t>
      </w:r>
      <w:r w:rsidR="000B5D86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 ak z nich vyplynie </w:t>
      </w:r>
      <w:r w:rsidR="000B5D86" w:rsidRPr="00925BA1">
        <w:rPr>
          <w:rFonts w:ascii="Times New Roman" w:hAnsi="Times New Roman"/>
          <w:sz w:val="24"/>
          <w:szCs w:val="24"/>
          <w:shd w:val="clear" w:color="auto" w:fill="FFFFFF"/>
        </w:rPr>
        <w:t>odôvodnené podozrenie, že existuje riziko ohrozenia zdravia ľudí, úrad verejného zdravotníctva</w:t>
      </w:r>
      <w:r w:rsidR="000253B1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to</w:t>
      </w:r>
      <w:r w:rsidR="000B5D86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oznámi príslušnému regionálnemu úradu verejného zdravotníctva; príslušn</w:t>
      </w:r>
      <w:r w:rsidR="00B707E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0B5D86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regionálny úrad verejného zdravotníctva bezodkladne vykoná opatrenia na predchádzanie ochoreniam</w:t>
      </w:r>
      <w:r w:rsidR="00E15464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viažuci</w:t>
      </w:r>
      <w:r w:rsidR="00B707E1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E15464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sa k pitnej vode, </w:t>
      </w:r>
      <w:r w:rsidR="00D1385A" w:rsidRPr="00925BA1">
        <w:rPr>
          <w:rFonts w:ascii="Times New Roman" w:hAnsi="Times New Roman"/>
          <w:sz w:val="24"/>
          <w:szCs w:val="24"/>
          <w:shd w:val="clear" w:color="auto" w:fill="FFFFFF"/>
        </w:rPr>
        <w:t>kam patrí zvý</w:t>
      </w:r>
      <w:r w:rsidR="004413C0" w:rsidRPr="00925BA1">
        <w:rPr>
          <w:rFonts w:ascii="Times New Roman" w:hAnsi="Times New Roman"/>
          <w:sz w:val="24"/>
          <w:szCs w:val="24"/>
          <w:shd w:val="clear" w:color="auto" w:fill="FFFFFF"/>
        </w:rPr>
        <w:t>šenie rozsahu monitorovania alebo početnosti monitorovania ukazovateľov kvality pitnej vody alebo doplnenie monitorovania ukazovateľov kvality pitnej vody.</w:t>
      </w:r>
    </w:p>
    <w:p w14:paraId="297E9588" w14:textId="77777777" w:rsidR="004413C0" w:rsidRPr="00925BA1" w:rsidRDefault="004413C0" w:rsidP="00275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FA29139" w14:textId="4EFE8D5C" w:rsidR="00267515" w:rsidRPr="00925BA1" w:rsidRDefault="00267515" w:rsidP="00275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Návrh</w:t>
      </w:r>
      <w:r w:rsidRPr="00925BA1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zákona</w:t>
      </w:r>
      <w:r w:rsidRPr="00925BA1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nebude</w:t>
      </w:r>
      <w:r w:rsidRPr="00925BA1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mať</w:t>
      </w:r>
      <w:r w:rsidRPr="00925BA1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negatívny</w:t>
      </w:r>
      <w:r w:rsidRPr="00925BA1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vplyv</w:t>
      </w:r>
      <w:r w:rsidRPr="00925BA1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na</w:t>
      </w:r>
      <w:r w:rsidRPr="00925BA1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rozpočet</w:t>
      </w:r>
      <w:r w:rsidRPr="00925BA1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verejnej</w:t>
      </w:r>
      <w:r w:rsidRPr="00925BA1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správy,</w:t>
      </w:r>
      <w:r w:rsidRPr="00925BA1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nebude</w:t>
      </w:r>
      <w:r w:rsidRPr="00925BA1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mať negatívny</w:t>
      </w:r>
      <w:r w:rsidRPr="00925BA1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vplyv</w:t>
      </w:r>
      <w:r w:rsidRPr="00925BA1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na</w:t>
      </w:r>
      <w:r w:rsidRPr="00925BA1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podnikateľské</w:t>
      </w:r>
      <w:r w:rsidRPr="00925BA1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prostredie,</w:t>
      </w:r>
      <w:r w:rsidRPr="00925BA1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nebude</w:t>
      </w:r>
      <w:r w:rsidRPr="00925BA1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mať</w:t>
      </w:r>
      <w:r w:rsidRPr="00925BA1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negatívny</w:t>
      </w:r>
      <w:r w:rsidRPr="00925BA1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vplyv</w:t>
      </w:r>
      <w:r w:rsidRPr="00925BA1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na</w:t>
      </w:r>
      <w:r w:rsidRPr="00925BA1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životné prostredie</w:t>
      </w:r>
      <w:r w:rsidRPr="00925BA1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ani</w:t>
      </w:r>
      <w:r w:rsidRPr="00925BA1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na</w:t>
      </w:r>
      <w:r w:rsidRPr="00925BA1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informatizáciu</w:t>
      </w:r>
      <w:r w:rsidRPr="00925BA1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spoločnosti.</w:t>
      </w:r>
      <w:r w:rsidRPr="00925BA1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Rovnako</w:t>
      </w:r>
      <w:r w:rsidRPr="00925BA1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nebude</w:t>
      </w:r>
      <w:r w:rsidRPr="00925BA1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mať</w:t>
      </w:r>
      <w:r w:rsidRPr="00925BA1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návrh</w:t>
      </w:r>
      <w:r w:rsidRPr="00925BA1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zákona  žiadne sociálne vplyvy</w:t>
      </w:r>
      <w:r w:rsidR="000B63FE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, žiadne vplyvy na služby verejnej správy pre občana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ani vplyvy na manželstvo, rodičovstvo a rodinu. </w:t>
      </w:r>
    </w:p>
    <w:p w14:paraId="6AA9E470" w14:textId="77777777" w:rsidR="00267515" w:rsidRPr="00925BA1" w:rsidRDefault="00267515" w:rsidP="00275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red"/>
          <w:lang w:eastAsia="sk-SK"/>
        </w:rPr>
      </w:pPr>
    </w:p>
    <w:p w14:paraId="12AD8763" w14:textId="77777777" w:rsidR="00267515" w:rsidRPr="00925BA1" w:rsidRDefault="00267515" w:rsidP="00275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Návrh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zákona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je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súlade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Ústavou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Slovenskej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republiky,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ústavnými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zákonmi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a ostatnými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všeobecne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záväznými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právnymi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predpismi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Slovenskej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republiky,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medzinárodnými zmluvami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inými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medzinárodnými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dokumentmi,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ktorými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je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Slovenská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republika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viazaná, ako aj s právom Európskej únie.</w:t>
      </w:r>
    </w:p>
    <w:p w14:paraId="5B5A418A" w14:textId="77777777" w:rsidR="0027542A" w:rsidRPr="00925BA1" w:rsidRDefault="0027542A" w:rsidP="00267515">
      <w:pPr>
        <w:spacing w:before="240" w:after="12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FB0C32D" w14:textId="77777777" w:rsidR="0027542A" w:rsidRPr="00925BA1" w:rsidRDefault="0027542A" w:rsidP="00267515">
      <w:pPr>
        <w:spacing w:before="240" w:after="12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6693EC5A" w14:textId="77777777" w:rsidR="0027542A" w:rsidRPr="00925BA1" w:rsidRDefault="0027542A" w:rsidP="00267515">
      <w:pPr>
        <w:spacing w:before="240" w:after="12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28304AA" w14:textId="77777777" w:rsidR="0027542A" w:rsidRPr="00925BA1" w:rsidRDefault="0027542A" w:rsidP="00267515">
      <w:pPr>
        <w:spacing w:before="240" w:after="12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3E1308A" w14:textId="1EB08528" w:rsidR="0027542A" w:rsidRPr="00925BA1" w:rsidRDefault="0027542A" w:rsidP="00267515">
      <w:pPr>
        <w:spacing w:before="240" w:after="12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74F100C2" w14:textId="5CB6F947" w:rsidR="00AB21C8" w:rsidRPr="00925BA1" w:rsidRDefault="00AB21C8" w:rsidP="00267515">
      <w:pPr>
        <w:spacing w:before="240" w:after="12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62FAD9E" w14:textId="6756B16A" w:rsidR="00267515" w:rsidRPr="00925BA1" w:rsidRDefault="00267515" w:rsidP="00267515">
      <w:pPr>
        <w:spacing w:before="24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 xml:space="preserve">B. Osobitná časť </w:t>
      </w:r>
    </w:p>
    <w:p w14:paraId="0E245946" w14:textId="1660F66C" w:rsidR="00267515" w:rsidRPr="00925BA1" w:rsidRDefault="00267515" w:rsidP="00F426E8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 čl. I</w:t>
      </w:r>
      <w:r w:rsidR="00250C33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71182A" w:rsidRPr="00925BA1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(zákon </w:t>
      </w:r>
      <w:r w:rsidR="0071182A" w:rsidRPr="00925BA1">
        <w:rPr>
          <w:rFonts w:ascii="Times New Roman" w:hAnsi="Times New Roman"/>
          <w:i/>
          <w:iCs/>
          <w:sz w:val="24"/>
          <w:szCs w:val="24"/>
        </w:rPr>
        <w:t>č. 442/2002 Z. z.)</w:t>
      </w:r>
    </w:p>
    <w:p w14:paraId="20DA4E20" w14:textId="77777777" w:rsidR="00AA4D6D" w:rsidRPr="00925BA1" w:rsidRDefault="00AA4D6D" w:rsidP="00F4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3A4F864" w14:textId="2F4199A7" w:rsidR="004B479A" w:rsidRPr="00925BA1" w:rsidRDefault="00C30D64" w:rsidP="00F426E8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</w:t>
      </w:r>
      <w:r w:rsidR="00862C04" w:rsidRPr="00925BA1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vrh</w:t>
      </w:r>
      <w:r w:rsidR="00862C04" w:rsidRPr="00925BA1">
        <w:rPr>
          <w:rFonts w:ascii="Times New Roman" w:eastAsia="Times New Roman" w:hAnsi="Times New Roman"/>
          <w:sz w:val="24"/>
          <w:szCs w:val="24"/>
          <w:lang w:eastAsia="sk-SK"/>
        </w:rPr>
        <w:t>n</w:t>
      </w:r>
      <w:r w:rsidR="00AA4D6D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utou zmenou ustanovenia </w:t>
      </w:r>
      <w:r w:rsidR="00862C04" w:rsidRPr="00925BA1">
        <w:rPr>
          <w:rFonts w:ascii="Times New Roman" w:eastAsia="Times New Roman" w:hAnsi="Times New Roman"/>
          <w:sz w:val="24"/>
          <w:szCs w:val="24"/>
          <w:lang w:eastAsia="sk-SK"/>
        </w:rPr>
        <w:t>§ 12 od</w:t>
      </w:r>
      <w:r w:rsidR="00A47C4B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862C04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. 4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sa </w:t>
      </w:r>
      <w:r w:rsidRPr="00925BA1">
        <w:rPr>
          <w:rFonts w:ascii="Times New Roman" w:hAnsi="Times New Roman"/>
          <w:sz w:val="24"/>
          <w:szCs w:val="24"/>
        </w:rPr>
        <w:t xml:space="preserve">ustanovuje </w:t>
      </w:r>
      <w:r w:rsidRPr="00925BA1">
        <w:rPr>
          <w:rFonts w:ascii="Times New Roman" w:hAnsi="Times New Roman"/>
          <w:sz w:val="24"/>
          <w:szCs w:val="24"/>
          <w:shd w:val="clear" w:color="auto" w:fill="FFFFFF"/>
        </w:rPr>
        <w:t>Ministerstvom životného prostredia S</w:t>
      </w:r>
      <w:r w:rsidR="00862C04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lovenskej republiky </w:t>
      </w:r>
      <w:r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poverenej právnickej osobe, ktorou je v súčasnosti Výskumný ústav vodného hospodárstva (VÚVH) zverejňovať </w:t>
      </w:r>
      <w:r w:rsidR="00421225" w:rsidRPr="00925BA1">
        <w:rPr>
          <w:rFonts w:ascii="Times New Roman" w:hAnsi="Times New Roman"/>
          <w:sz w:val="24"/>
          <w:szCs w:val="24"/>
        </w:rPr>
        <w:t>na svojom webovom sídle</w:t>
      </w:r>
      <w:r w:rsidR="00421225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25BA1">
        <w:rPr>
          <w:rFonts w:ascii="Times New Roman" w:hAnsi="Times New Roman"/>
          <w:sz w:val="24"/>
          <w:szCs w:val="24"/>
          <w:shd w:val="clear" w:color="auto" w:fill="FFFFFF"/>
        </w:rPr>
        <w:t>údaje o kvalite surovej vody</w:t>
      </w:r>
      <w:r w:rsidR="00CD7618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214D57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ktoré </w:t>
      </w:r>
      <w:r w:rsidR="006E55A0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je </w:t>
      </w:r>
      <w:r w:rsidR="00214D57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mu </w:t>
      </w:r>
      <w:r w:rsidR="006E55A0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každý vlastník </w:t>
      </w:r>
      <w:r w:rsidR="00CD7618" w:rsidRPr="00925BA1">
        <w:rPr>
          <w:rFonts w:ascii="Times New Roman" w:hAnsi="Times New Roman"/>
          <w:sz w:val="24"/>
          <w:szCs w:val="24"/>
          <w:shd w:val="clear" w:color="auto" w:fill="FFFFFF"/>
        </w:rPr>
        <w:t>verejn</w:t>
      </w:r>
      <w:r w:rsidR="006E55A0" w:rsidRPr="00925BA1">
        <w:rPr>
          <w:rFonts w:ascii="Times New Roman" w:hAnsi="Times New Roman"/>
          <w:sz w:val="24"/>
          <w:szCs w:val="24"/>
          <w:shd w:val="clear" w:color="auto" w:fill="FFFFFF"/>
        </w:rPr>
        <w:t>ého</w:t>
      </w:r>
      <w:r w:rsidR="00CD7618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vodovod</w:t>
      </w:r>
      <w:r w:rsidR="006E55A0" w:rsidRPr="00925BA1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CD7618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povinn</w:t>
      </w:r>
      <w:r w:rsidR="006E55A0" w:rsidRPr="00925BA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CD7618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poskytovať</w:t>
      </w:r>
      <w:r w:rsidRPr="00925BA1">
        <w:rPr>
          <w:rFonts w:ascii="Times New Roman" w:hAnsi="Times New Roman"/>
          <w:sz w:val="24"/>
          <w:szCs w:val="24"/>
        </w:rPr>
        <w:t xml:space="preserve">. </w:t>
      </w:r>
      <w:r w:rsidR="004A5E3C" w:rsidRPr="00925BA1">
        <w:rPr>
          <w:rFonts w:ascii="Times New Roman" w:hAnsi="Times New Roman"/>
          <w:sz w:val="24"/>
          <w:szCs w:val="24"/>
        </w:rPr>
        <w:t xml:space="preserve">Zároveň sa zakazuje označovať tieto </w:t>
      </w:r>
      <w:r w:rsidR="00F60282" w:rsidRPr="00925BA1">
        <w:rPr>
          <w:rFonts w:ascii="Times New Roman" w:hAnsi="Times New Roman"/>
          <w:sz w:val="24"/>
          <w:szCs w:val="24"/>
        </w:rPr>
        <w:t>údaje za dôverné alebo za predmet obchodného tajomstva.</w:t>
      </w:r>
    </w:p>
    <w:p w14:paraId="1666A613" w14:textId="7BFFBEEC" w:rsidR="00267515" w:rsidRPr="00925BA1" w:rsidRDefault="00267515" w:rsidP="0027542A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 čl. II</w:t>
      </w:r>
      <w:r w:rsidR="0071182A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71182A" w:rsidRPr="00925BA1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(zákon </w:t>
      </w:r>
      <w:r w:rsidR="0071182A" w:rsidRPr="00925BA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č. 355/2007 Z. z.)</w:t>
      </w:r>
    </w:p>
    <w:p w14:paraId="1643E448" w14:textId="63E622B1" w:rsidR="00EC2FCC" w:rsidRPr="00925BA1" w:rsidRDefault="00EC2FCC" w:rsidP="00EC2FCC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</w:t>
      </w:r>
      <w:r w:rsidR="00F05D61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  <w:r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bod</w:t>
      </w:r>
      <w:r w:rsidR="00F05D61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om 1 a 2</w:t>
      </w:r>
    </w:p>
    <w:p w14:paraId="45994DA9" w14:textId="3461ADC5" w:rsidR="00EC2FCC" w:rsidRPr="00925BA1" w:rsidRDefault="001B0400" w:rsidP="00EC2FC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V § 5 ods. 4, ktorý upravuje </w:t>
      </w:r>
      <w:r w:rsidR="00AE65F8" w:rsidRPr="00925BA1">
        <w:rPr>
          <w:rFonts w:ascii="Times New Roman" w:eastAsia="Times New Roman" w:hAnsi="Times New Roman"/>
          <w:sz w:val="24"/>
          <w:szCs w:val="24"/>
          <w:lang w:eastAsia="sk-SK"/>
        </w:rPr>
        <w:t>kompetencie Úradu verejného zdravotníctva Slovenskej republiky</w:t>
      </w:r>
      <w:r w:rsidR="00AD0BA6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, ako aj v § 6 ods. 3, ktorý upravuje kompetencie </w:t>
      </w:r>
      <w:r w:rsidR="00EA5D02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regionálneho úradu verejného zdravotníctva, </w:t>
      </w:r>
      <w:r w:rsidR="00D0123A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sa </w:t>
      </w:r>
      <w:r w:rsidR="002462D8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navrhuje doplniť text identického znenia, ktorým sa spresňuje, </w:t>
      </w:r>
      <w:r w:rsidR="000110AA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že </w:t>
      </w:r>
      <w:r w:rsidR="001D0469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aktuálne informácie o kvalite pitnej vody, ktoré sú už dnes </w:t>
      </w:r>
      <w:r w:rsidR="0095625A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tak </w:t>
      </w:r>
      <w:r w:rsidR="00C319A6" w:rsidRPr="00925BA1">
        <w:rPr>
          <w:rFonts w:ascii="Times New Roman" w:eastAsia="Times New Roman" w:hAnsi="Times New Roman"/>
          <w:sz w:val="24"/>
          <w:szCs w:val="24"/>
          <w:lang w:eastAsia="sk-SK"/>
        </w:rPr>
        <w:t>Úrad verejného zdravotníctva Slovenskej republiky</w:t>
      </w:r>
      <w:r w:rsidR="00726E71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5625A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ako aj </w:t>
      </w:r>
      <w:r w:rsidR="00726E71" w:rsidRPr="00925BA1">
        <w:rPr>
          <w:rFonts w:ascii="Times New Roman" w:eastAsia="Times New Roman" w:hAnsi="Times New Roman"/>
          <w:sz w:val="24"/>
          <w:szCs w:val="24"/>
          <w:lang w:eastAsia="sk-SK"/>
        </w:rPr>
        <w:t>regionálne úrady verejného zdravotníctva</w:t>
      </w:r>
      <w:r w:rsidR="00726E71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5625A" w:rsidRPr="00925BA1">
        <w:rPr>
          <w:rFonts w:ascii="Times New Roman" w:hAnsi="Times New Roman"/>
          <w:sz w:val="24"/>
          <w:szCs w:val="24"/>
          <w:shd w:val="clear" w:color="auto" w:fill="FFFFFF"/>
        </w:rPr>
        <w:t>povinní</w:t>
      </w:r>
      <w:r w:rsidR="005914F8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sprístupňovať,</w:t>
      </w:r>
      <w:r w:rsidR="0095625A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319A6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sa zverejňujú </w:t>
      </w:r>
      <w:r w:rsidR="001D0469" w:rsidRPr="00925BA1">
        <w:rPr>
          <w:rFonts w:ascii="Times New Roman" w:hAnsi="Times New Roman"/>
          <w:sz w:val="24"/>
          <w:szCs w:val="24"/>
          <w:shd w:val="clear" w:color="auto" w:fill="FFFFFF"/>
        </w:rPr>
        <w:t>v úplnom rozsahu vykonaných analýz vrátane jednotlivých ukazovateľov pitnej vody a ich limitov</w:t>
      </w:r>
      <w:r w:rsidR="00C319A6" w:rsidRPr="00925BA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26E71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Účelom navrhovanej zmeny je zabrániť </w:t>
      </w:r>
      <w:r w:rsidR="0030507C" w:rsidRPr="00925BA1">
        <w:rPr>
          <w:rFonts w:ascii="Times New Roman" w:hAnsi="Times New Roman"/>
          <w:sz w:val="24"/>
          <w:szCs w:val="24"/>
          <w:shd w:val="clear" w:color="auto" w:fill="FFFFFF"/>
        </w:rPr>
        <w:t>svojv</w:t>
      </w:r>
      <w:r w:rsidR="0065442C" w:rsidRPr="00925BA1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30507C" w:rsidRPr="00925BA1">
        <w:rPr>
          <w:rFonts w:ascii="Times New Roman" w:hAnsi="Times New Roman"/>
          <w:sz w:val="24"/>
          <w:szCs w:val="24"/>
          <w:shd w:val="clear" w:color="auto" w:fill="FFFFFF"/>
        </w:rPr>
        <w:t>ľnému výklad</w:t>
      </w:r>
      <w:r w:rsidR="000944E5" w:rsidRPr="00925BA1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30507C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doteraz </w:t>
      </w:r>
      <w:r w:rsidR="0065442C" w:rsidRPr="00925BA1">
        <w:rPr>
          <w:rFonts w:ascii="Times New Roman" w:hAnsi="Times New Roman"/>
          <w:sz w:val="24"/>
          <w:szCs w:val="24"/>
          <w:shd w:val="clear" w:color="auto" w:fill="FFFFFF"/>
        </w:rPr>
        <w:t>nepresne definovanej povinnosti.</w:t>
      </w:r>
    </w:p>
    <w:p w14:paraId="25452C61" w14:textId="32821C84" w:rsidR="00EC2FCC" w:rsidRPr="00925BA1" w:rsidRDefault="005D629E" w:rsidP="00EC2FCC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</w:t>
      </w:r>
      <w:r w:rsidR="00EC2FCC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 bodu </w:t>
      </w:r>
      <w:r w:rsidR="00091C88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3</w:t>
      </w:r>
      <w:r w:rsidR="00EC2FCC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5115657B" w14:textId="559D6670" w:rsidR="00B444E4" w:rsidRPr="00925BA1" w:rsidRDefault="001F6C37" w:rsidP="00B444E4">
      <w:pPr>
        <w:spacing w:after="0" w:line="240" w:lineRule="auto"/>
        <w:ind w:firstLine="708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V § 17, ktorý upravuje</w:t>
      </w:r>
      <w:r w:rsidR="009C580B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D3ACF" w:rsidRPr="00925BA1">
        <w:rPr>
          <w:rFonts w:ascii="Times New Roman" w:eastAsia="Times New Roman" w:hAnsi="Times New Roman"/>
          <w:sz w:val="24"/>
          <w:szCs w:val="24"/>
          <w:lang w:eastAsia="sk-SK"/>
        </w:rPr>
        <w:t>pitnú vodu</w:t>
      </w:r>
      <w:r w:rsidR="00F721C4" w:rsidRPr="00925BA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5D3ACF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sa navrhuje </w:t>
      </w:r>
      <w:r w:rsidR="00D621DF" w:rsidRPr="00925BA1">
        <w:rPr>
          <w:rFonts w:ascii="Times New Roman" w:eastAsia="Times New Roman" w:hAnsi="Times New Roman"/>
          <w:sz w:val="24"/>
          <w:szCs w:val="24"/>
          <w:lang w:eastAsia="sk-SK"/>
        </w:rPr>
        <w:t>vloženie nového odseku 6,</w:t>
      </w:r>
      <w:r w:rsidR="00EB0E68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C07FB9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podľa ktorého je </w:t>
      </w:r>
      <w:r w:rsidR="00EB0E68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Úrad verejného zdravotníctva </w:t>
      </w:r>
      <w:r w:rsidR="00C07FB9" w:rsidRPr="00925BA1">
        <w:rPr>
          <w:rFonts w:ascii="Times New Roman" w:eastAsia="Times New Roman" w:hAnsi="Times New Roman"/>
          <w:sz w:val="24"/>
          <w:szCs w:val="24"/>
          <w:lang w:eastAsia="sk-SK"/>
        </w:rPr>
        <w:t>Slovenskej republiky povinný sle</w:t>
      </w:r>
      <w:r w:rsidR="00B30D5D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dovať </w:t>
      </w:r>
      <w:r w:rsidR="00EB0E68" w:rsidRPr="00925BA1">
        <w:rPr>
          <w:rFonts w:ascii="Times New Roman" w:eastAsia="Times New Roman" w:hAnsi="Times New Roman"/>
          <w:sz w:val="24"/>
          <w:szCs w:val="24"/>
          <w:lang w:eastAsia="sk-SK"/>
        </w:rPr>
        <w:t>údaje</w:t>
      </w:r>
      <w:r w:rsidR="00A52220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, ktoré na svojom webovom sídle zverejňuje </w:t>
      </w:r>
      <w:r w:rsidR="00F318EF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Výskumný ústav vodného hospodárstva </w:t>
      </w:r>
      <w:r w:rsidR="00EB0E68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a ak z nich vyplynie </w:t>
      </w:r>
      <w:r w:rsidR="00EB0E68" w:rsidRPr="00925BA1">
        <w:rPr>
          <w:rFonts w:ascii="Times New Roman" w:hAnsi="Times New Roman"/>
          <w:sz w:val="24"/>
          <w:szCs w:val="24"/>
          <w:shd w:val="clear" w:color="auto" w:fill="FFFFFF"/>
        </w:rPr>
        <w:t>odôvodnené podozrenie, že existuje riziko ohrozenia zdravia ľudí, úrad verejného zdravotníctva to oznámi príslušnému regionálnemu úradu verejného zdravotníctva; príslušn</w:t>
      </w:r>
      <w:r w:rsidR="00101048" w:rsidRPr="00925BA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EB0E68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regionálny úrad verejného zdravotníctva bezodkladne vykoná opatrenia na predchádzanie ochoreniam viažuci</w:t>
      </w:r>
      <w:r w:rsidR="00CD4902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EB0E68" w:rsidRPr="00925BA1">
        <w:rPr>
          <w:rFonts w:ascii="Times New Roman" w:hAnsi="Times New Roman"/>
          <w:sz w:val="24"/>
          <w:szCs w:val="24"/>
          <w:shd w:val="clear" w:color="auto" w:fill="FFFFFF"/>
        </w:rPr>
        <w:t xml:space="preserve"> sa k pitnej vode, kam patrí zvýšenie rozsahu monitorovania alebo početnosti monitorovania ukazovateľov kvality pitnej vody alebo doplnenie monitorovania ukazovateľov kvality pitnej vody.</w:t>
      </w:r>
    </w:p>
    <w:p w14:paraId="696BE848" w14:textId="77777777" w:rsidR="00B444E4" w:rsidRPr="00925BA1" w:rsidRDefault="00B444E4" w:rsidP="00B444E4">
      <w:pPr>
        <w:spacing w:after="0" w:line="240" w:lineRule="auto"/>
        <w:ind w:firstLine="708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69C452DD" w14:textId="3CE2F208" w:rsidR="00EC2FCC" w:rsidRPr="00925BA1" w:rsidRDefault="00EC2FCC" w:rsidP="00B444E4">
      <w:pPr>
        <w:spacing w:after="0" w:line="240" w:lineRule="auto"/>
        <w:ind w:firstLine="708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K bodu </w:t>
      </w:r>
      <w:r w:rsidR="00091C88"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4</w:t>
      </w:r>
      <w:r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012F76F2" w14:textId="77777777" w:rsidR="00B444E4" w:rsidRPr="00925BA1" w:rsidRDefault="00B444E4" w:rsidP="00B444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6B29025" w14:textId="68391AF8" w:rsidR="00091C88" w:rsidRPr="00925BA1" w:rsidRDefault="00091C88" w:rsidP="00B444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Ide o legislatívno-technickú úpravu vyvolanú zmenou číslovania odsekov.</w:t>
      </w:r>
    </w:p>
    <w:p w14:paraId="71CC831E" w14:textId="77777777" w:rsidR="00B444E4" w:rsidRPr="00925BA1" w:rsidRDefault="00B444E4" w:rsidP="00B444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AB9AB0B" w14:textId="11C348DA" w:rsidR="0068576C" w:rsidRPr="00925BA1" w:rsidRDefault="0068576C" w:rsidP="00B444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 čl. III</w:t>
      </w:r>
    </w:p>
    <w:p w14:paraId="0B9CD590" w14:textId="77777777" w:rsidR="0068576C" w:rsidRPr="00925BA1" w:rsidRDefault="0068576C" w:rsidP="00B444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1C0E14C" w14:textId="113E131B" w:rsidR="00801701" w:rsidRPr="00925BA1" w:rsidRDefault="00267515" w:rsidP="00B444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Nadobudnutie účinnosti sa navrhuje na 1. január 202</w:t>
      </w:r>
      <w:r w:rsidR="00F45FC8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="00801701" w:rsidRPr="00925BA1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76B85807" w14:textId="77777777" w:rsidR="00267515" w:rsidRPr="00925BA1" w:rsidRDefault="00267515" w:rsidP="00B44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5EAA2" w14:textId="6C53CF3A" w:rsidR="00C9499B" w:rsidRPr="00925BA1" w:rsidRDefault="00C9499B" w:rsidP="00B444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9499B" w:rsidRPr="00925B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742F" w14:textId="77777777" w:rsidR="005A44E0" w:rsidRDefault="005A44E0" w:rsidP="009B5156">
      <w:pPr>
        <w:spacing w:after="0" w:line="240" w:lineRule="auto"/>
      </w:pPr>
      <w:r>
        <w:separator/>
      </w:r>
    </w:p>
  </w:endnote>
  <w:endnote w:type="continuationSeparator" w:id="0">
    <w:p w14:paraId="28FCF93D" w14:textId="77777777" w:rsidR="005A44E0" w:rsidRDefault="005A44E0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34006"/>
      <w:docPartObj>
        <w:docPartGallery w:val="Page Numbers (Bottom of Page)"/>
        <w:docPartUnique/>
      </w:docPartObj>
    </w:sdtPr>
    <w:sdtEndPr/>
    <w:sdtContent>
      <w:p w14:paraId="19160D71" w14:textId="77777777" w:rsidR="00ED5801" w:rsidRDefault="008601B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E5621" w14:textId="77777777" w:rsidR="00ED5801" w:rsidRDefault="005A44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3906" w14:textId="77777777" w:rsidR="005A44E0" w:rsidRDefault="005A44E0" w:rsidP="009B5156">
      <w:pPr>
        <w:spacing w:after="0" w:line="240" w:lineRule="auto"/>
      </w:pPr>
      <w:r>
        <w:separator/>
      </w:r>
    </w:p>
  </w:footnote>
  <w:footnote w:type="continuationSeparator" w:id="0">
    <w:p w14:paraId="3961E0A9" w14:textId="77777777" w:rsidR="005A44E0" w:rsidRDefault="005A44E0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31"/>
    <w:multiLevelType w:val="hybridMultilevel"/>
    <w:tmpl w:val="C4C43D30"/>
    <w:lvl w:ilvl="0" w:tplc="4E00C5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104EB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2409"/>
    <w:multiLevelType w:val="hybridMultilevel"/>
    <w:tmpl w:val="150020D8"/>
    <w:lvl w:ilvl="0" w:tplc="211ED8A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C5054C1"/>
    <w:multiLevelType w:val="hybridMultilevel"/>
    <w:tmpl w:val="4F7E1494"/>
    <w:lvl w:ilvl="0" w:tplc="CBA28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541A"/>
    <w:multiLevelType w:val="hybridMultilevel"/>
    <w:tmpl w:val="7B68CF46"/>
    <w:lvl w:ilvl="0" w:tplc="190E813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60E"/>
    <w:multiLevelType w:val="hybridMultilevel"/>
    <w:tmpl w:val="B824DCCA"/>
    <w:lvl w:ilvl="0" w:tplc="B0E4AD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7417"/>
    <w:multiLevelType w:val="hybridMultilevel"/>
    <w:tmpl w:val="7294242A"/>
    <w:lvl w:ilvl="0" w:tplc="12C6A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D640A"/>
    <w:multiLevelType w:val="hybridMultilevel"/>
    <w:tmpl w:val="02641C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131AF"/>
    <w:multiLevelType w:val="hybridMultilevel"/>
    <w:tmpl w:val="7ED8BC4A"/>
    <w:lvl w:ilvl="0" w:tplc="DB864E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83ADE"/>
    <w:multiLevelType w:val="hybridMultilevel"/>
    <w:tmpl w:val="BD10901E"/>
    <w:lvl w:ilvl="0" w:tplc="F3905FE8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8AE0BFC"/>
    <w:multiLevelType w:val="hybridMultilevel"/>
    <w:tmpl w:val="A0B23CDE"/>
    <w:lvl w:ilvl="0" w:tplc="97F86F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953E0"/>
    <w:multiLevelType w:val="hybridMultilevel"/>
    <w:tmpl w:val="7390DF5A"/>
    <w:lvl w:ilvl="0" w:tplc="FBEAE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E6AC5"/>
    <w:multiLevelType w:val="hybridMultilevel"/>
    <w:tmpl w:val="FAB463FC"/>
    <w:lvl w:ilvl="0" w:tplc="08CA7B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77F69C9"/>
    <w:multiLevelType w:val="hybridMultilevel"/>
    <w:tmpl w:val="3A5AE8C0"/>
    <w:lvl w:ilvl="0" w:tplc="486A61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A68E6"/>
    <w:multiLevelType w:val="hybridMultilevel"/>
    <w:tmpl w:val="B4DE4B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A1BA3"/>
    <w:multiLevelType w:val="hybridMultilevel"/>
    <w:tmpl w:val="0486F4A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84598"/>
    <w:multiLevelType w:val="hybridMultilevel"/>
    <w:tmpl w:val="65D879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4E77C3"/>
    <w:multiLevelType w:val="hybridMultilevel"/>
    <w:tmpl w:val="217CE016"/>
    <w:lvl w:ilvl="0" w:tplc="A3601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01D8E"/>
    <w:multiLevelType w:val="hybridMultilevel"/>
    <w:tmpl w:val="2AE28B82"/>
    <w:lvl w:ilvl="0" w:tplc="DD9C545E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7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8"/>
  </w:num>
  <w:num w:numId="16">
    <w:abstractNumId w:val="16"/>
  </w:num>
  <w:num w:numId="17">
    <w:abstractNumId w:val="14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4EDB"/>
    <w:rsid w:val="000110AA"/>
    <w:rsid w:val="00012F04"/>
    <w:rsid w:val="00013721"/>
    <w:rsid w:val="000221D9"/>
    <w:rsid w:val="00025202"/>
    <w:rsid w:val="000253B1"/>
    <w:rsid w:val="00031079"/>
    <w:rsid w:val="00061ACA"/>
    <w:rsid w:val="00062D48"/>
    <w:rsid w:val="00064E91"/>
    <w:rsid w:val="000676E0"/>
    <w:rsid w:val="00081585"/>
    <w:rsid w:val="00083C18"/>
    <w:rsid w:val="0009031E"/>
    <w:rsid w:val="00091C12"/>
    <w:rsid w:val="00091C88"/>
    <w:rsid w:val="000944E5"/>
    <w:rsid w:val="000B5D86"/>
    <w:rsid w:val="000B63FE"/>
    <w:rsid w:val="000C10CE"/>
    <w:rsid w:val="000C5B6A"/>
    <w:rsid w:val="000C7D86"/>
    <w:rsid w:val="000D0172"/>
    <w:rsid w:val="000E71E5"/>
    <w:rsid w:val="000F346F"/>
    <w:rsid w:val="000F5535"/>
    <w:rsid w:val="00101048"/>
    <w:rsid w:val="001161AE"/>
    <w:rsid w:val="00116B7E"/>
    <w:rsid w:val="00117910"/>
    <w:rsid w:val="001224D4"/>
    <w:rsid w:val="001350A8"/>
    <w:rsid w:val="0013733B"/>
    <w:rsid w:val="00142C37"/>
    <w:rsid w:val="00147297"/>
    <w:rsid w:val="001477F4"/>
    <w:rsid w:val="001518E6"/>
    <w:rsid w:val="0015638F"/>
    <w:rsid w:val="00167E88"/>
    <w:rsid w:val="0017381A"/>
    <w:rsid w:val="001763CF"/>
    <w:rsid w:val="00181F56"/>
    <w:rsid w:val="00184FCA"/>
    <w:rsid w:val="0018740A"/>
    <w:rsid w:val="00194639"/>
    <w:rsid w:val="001A05F2"/>
    <w:rsid w:val="001A650D"/>
    <w:rsid w:val="001B0400"/>
    <w:rsid w:val="001B06B5"/>
    <w:rsid w:val="001B3408"/>
    <w:rsid w:val="001B6607"/>
    <w:rsid w:val="001C0D9E"/>
    <w:rsid w:val="001C3744"/>
    <w:rsid w:val="001D0469"/>
    <w:rsid w:val="001D5215"/>
    <w:rsid w:val="001F68A2"/>
    <w:rsid w:val="001F6C37"/>
    <w:rsid w:val="002035CB"/>
    <w:rsid w:val="002120E9"/>
    <w:rsid w:val="00214D57"/>
    <w:rsid w:val="002164E8"/>
    <w:rsid w:val="0022500C"/>
    <w:rsid w:val="002302DF"/>
    <w:rsid w:val="00232F85"/>
    <w:rsid w:val="00240A08"/>
    <w:rsid w:val="002446BA"/>
    <w:rsid w:val="002462D8"/>
    <w:rsid w:val="002506FF"/>
    <w:rsid w:val="00250C33"/>
    <w:rsid w:val="0025665C"/>
    <w:rsid w:val="0025679C"/>
    <w:rsid w:val="002568E6"/>
    <w:rsid w:val="002579E5"/>
    <w:rsid w:val="00264A4F"/>
    <w:rsid w:val="00267515"/>
    <w:rsid w:val="0027413A"/>
    <w:rsid w:val="0027542A"/>
    <w:rsid w:val="00281933"/>
    <w:rsid w:val="0028328C"/>
    <w:rsid w:val="0029580B"/>
    <w:rsid w:val="00295C55"/>
    <w:rsid w:val="002974A0"/>
    <w:rsid w:val="002A36D9"/>
    <w:rsid w:val="002B0999"/>
    <w:rsid w:val="002B31A6"/>
    <w:rsid w:val="002B6189"/>
    <w:rsid w:val="002C7A4F"/>
    <w:rsid w:val="002D3B9B"/>
    <w:rsid w:val="002D58BD"/>
    <w:rsid w:val="002D72AE"/>
    <w:rsid w:val="002E6BE4"/>
    <w:rsid w:val="002E7AE8"/>
    <w:rsid w:val="002F1168"/>
    <w:rsid w:val="002F34B4"/>
    <w:rsid w:val="00300BB4"/>
    <w:rsid w:val="00302A8A"/>
    <w:rsid w:val="00302EF2"/>
    <w:rsid w:val="0030507C"/>
    <w:rsid w:val="00305C9F"/>
    <w:rsid w:val="00310786"/>
    <w:rsid w:val="00310AE3"/>
    <w:rsid w:val="00325F93"/>
    <w:rsid w:val="003268F7"/>
    <w:rsid w:val="0032740E"/>
    <w:rsid w:val="0034202C"/>
    <w:rsid w:val="003471F7"/>
    <w:rsid w:val="00347E15"/>
    <w:rsid w:val="00352057"/>
    <w:rsid w:val="00364F73"/>
    <w:rsid w:val="003661D9"/>
    <w:rsid w:val="00373B58"/>
    <w:rsid w:val="00375ECE"/>
    <w:rsid w:val="00376B71"/>
    <w:rsid w:val="00383144"/>
    <w:rsid w:val="00384E35"/>
    <w:rsid w:val="003A54A2"/>
    <w:rsid w:val="003B16FC"/>
    <w:rsid w:val="003C3087"/>
    <w:rsid w:val="003C3FDF"/>
    <w:rsid w:val="003D6D7F"/>
    <w:rsid w:val="003D6D93"/>
    <w:rsid w:val="003D71AD"/>
    <w:rsid w:val="003D7ED9"/>
    <w:rsid w:val="003E5A83"/>
    <w:rsid w:val="004008CA"/>
    <w:rsid w:val="00402806"/>
    <w:rsid w:val="00421225"/>
    <w:rsid w:val="00423C66"/>
    <w:rsid w:val="004413C0"/>
    <w:rsid w:val="00450685"/>
    <w:rsid w:val="004576ED"/>
    <w:rsid w:val="00462F78"/>
    <w:rsid w:val="00466739"/>
    <w:rsid w:val="004778DE"/>
    <w:rsid w:val="00482B84"/>
    <w:rsid w:val="004A1470"/>
    <w:rsid w:val="004A5E3C"/>
    <w:rsid w:val="004B479A"/>
    <w:rsid w:val="004C0102"/>
    <w:rsid w:val="004C579F"/>
    <w:rsid w:val="004C67B0"/>
    <w:rsid w:val="004C71F9"/>
    <w:rsid w:val="004D25DA"/>
    <w:rsid w:val="004D2A4F"/>
    <w:rsid w:val="004D7F9F"/>
    <w:rsid w:val="004F5E6A"/>
    <w:rsid w:val="004F7271"/>
    <w:rsid w:val="00500B14"/>
    <w:rsid w:val="00512C8C"/>
    <w:rsid w:val="00513C83"/>
    <w:rsid w:val="005348C1"/>
    <w:rsid w:val="005440CE"/>
    <w:rsid w:val="00550EB3"/>
    <w:rsid w:val="00552B5C"/>
    <w:rsid w:val="00556626"/>
    <w:rsid w:val="00556997"/>
    <w:rsid w:val="0056099F"/>
    <w:rsid w:val="005734A0"/>
    <w:rsid w:val="005914F8"/>
    <w:rsid w:val="005A06B0"/>
    <w:rsid w:val="005A44E0"/>
    <w:rsid w:val="005B07C8"/>
    <w:rsid w:val="005B3C3F"/>
    <w:rsid w:val="005B79B2"/>
    <w:rsid w:val="005C17C6"/>
    <w:rsid w:val="005C70E8"/>
    <w:rsid w:val="005D29DF"/>
    <w:rsid w:val="005D3ACF"/>
    <w:rsid w:val="005D629E"/>
    <w:rsid w:val="005F5914"/>
    <w:rsid w:val="005F6CFC"/>
    <w:rsid w:val="00602E03"/>
    <w:rsid w:val="00604245"/>
    <w:rsid w:val="00606610"/>
    <w:rsid w:val="00610993"/>
    <w:rsid w:val="00622F95"/>
    <w:rsid w:val="00626CE7"/>
    <w:rsid w:val="00630DDF"/>
    <w:rsid w:val="00635EF6"/>
    <w:rsid w:val="0065442C"/>
    <w:rsid w:val="0065741D"/>
    <w:rsid w:val="00661E8F"/>
    <w:rsid w:val="0066330B"/>
    <w:rsid w:val="006633B4"/>
    <w:rsid w:val="00663B38"/>
    <w:rsid w:val="006755A9"/>
    <w:rsid w:val="0068196D"/>
    <w:rsid w:val="0068576C"/>
    <w:rsid w:val="00686066"/>
    <w:rsid w:val="00693726"/>
    <w:rsid w:val="00695081"/>
    <w:rsid w:val="006A2557"/>
    <w:rsid w:val="006A664B"/>
    <w:rsid w:val="006C2093"/>
    <w:rsid w:val="006D3CC9"/>
    <w:rsid w:val="006D7A5C"/>
    <w:rsid w:val="006E25AA"/>
    <w:rsid w:val="006E55A0"/>
    <w:rsid w:val="006F40F0"/>
    <w:rsid w:val="00702B87"/>
    <w:rsid w:val="0071182A"/>
    <w:rsid w:val="0071717D"/>
    <w:rsid w:val="00723803"/>
    <w:rsid w:val="00726E71"/>
    <w:rsid w:val="007519BD"/>
    <w:rsid w:val="00772D23"/>
    <w:rsid w:val="00773C7A"/>
    <w:rsid w:val="00777FD1"/>
    <w:rsid w:val="007812F7"/>
    <w:rsid w:val="0079689D"/>
    <w:rsid w:val="007B20F6"/>
    <w:rsid w:val="007B73B8"/>
    <w:rsid w:val="007C1940"/>
    <w:rsid w:val="007C525A"/>
    <w:rsid w:val="007C71BF"/>
    <w:rsid w:val="007E101B"/>
    <w:rsid w:val="007E17AA"/>
    <w:rsid w:val="007F048E"/>
    <w:rsid w:val="00801701"/>
    <w:rsid w:val="008100CA"/>
    <w:rsid w:val="00810F55"/>
    <w:rsid w:val="00835E22"/>
    <w:rsid w:val="0084050F"/>
    <w:rsid w:val="00841840"/>
    <w:rsid w:val="008458AF"/>
    <w:rsid w:val="00855DDA"/>
    <w:rsid w:val="008601BA"/>
    <w:rsid w:val="00861578"/>
    <w:rsid w:val="00862C04"/>
    <w:rsid w:val="00877397"/>
    <w:rsid w:val="00882C76"/>
    <w:rsid w:val="00884209"/>
    <w:rsid w:val="00885E3B"/>
    <w:rsid w:val="008922FC"/>
    <w:rsid w:val="00896A13"/>
    <w:rsid w:val="00897B21"/>
    <w:rsid w:val="008A052B"/>
    <w:rsid w:val="008A1097"/>
    <w:rsid w:val="008A4B95"/>
    <w:rsid w:val="008B064C"/>
    <w:rsid w:val="008C5899"/>
    <w:rsid w:val="008C767A"/>
    <w:rsid w:val="008D106A"/>
    <w:rsid w:val="008D1AC8"/>
    <w:rsid w:val="008D3095"/>
    <w:rsid w:val="008D41B1"/>
    <w:rsid w:val="008D4B95"/>
    <w:rsid w:val="008E56CC"/>
    <w:rsid w:val="008F3B43"/>
    <w:rsid w:val="008F4E1F"/>
    <w:rsid w:val="009001CF"/>
    <w:rsid w:val="00905922"/>
    <w:rsid w:val="009148C6"/>
    <w:rsid w:val="009167A0"/>
    <w:rsid w:val="00924F7C"/>
    <w:rsid w:val="00925BA1"/>
    <w:rsid w:val="009347CF"/>
    <w:rsid w:val="00937A67"/>
    <w:rsid w:val="00944A52"/>
    <w:rsid w:val="00945D92"/>
    <w:rsid w:val="00946912"/>
    <w:rsid w:val="00954829"/>
    <w:rsid w:val="00954BC4"/>
    <w:rsid w:val="00954FF5"/>
    <w:rsid w:val="0095625A"/>
    <w:rsid w:val="00964B95"/>
    <w:rsid w:val="00971710"/>
    <w:rsid w:val="009723AE"/>
    <w:rsid w:val="009A1098"/>
    <w:rsid w:val="009B13D7"/>
    <w:rsid w:val="009B5156"/>
    <w:rsid w:val="009C580B"/>
    <w:rsid w:val="009C65FC"/>
    <w:rsid w:val="009C7D07"/>
    <w:rsid w:val="009D1803"/>
    <w:rsid w:val="009D25FA"/>
    <w:rsid w:val="009E6779"/>
    <w:rsid w:val="009F6AFD"/>
    <w:rsid w:val="009F7FD6"/>
    <w:rsid w:val="00A023AE"/>
    <w:rsid w:val="00A05D4F"/>
    <w:rsid w:val="00A11728"/>
    <w:rsid w:val="00A14D28"/>
    <w:rsid w:val="00A23059"/>
    <w:rsid w:val="00A3176A"/>
    <w:rsid w:val="00A374DD"/>
    <w:rsid w:val="00A422BE"/>
    <w:rsid w:val="00A46B75"/>
    <w:rsid w:val="00A47C4B"/>
    <w:rsid w:val="00A52220"/>
    <w:rsid w:val="00A556F1"/>
    <w:rsid w:val="00A56DD8"/>
    <w:rsid w:val="00A679A3"/>
    <w:rsid w:val="00A70BC0"/>
    <w:rsid w:val="00A718EF"/>
    <w:rsid w:val="00A71996"/>
    <w:rsid w:val="00A74CDD"/>
    <w:rsid w:val="00A76599"/>
    <w:rsid w:val="00A814D3"/>
    <w:rsid w:val="00A86C3E"/>
    <w:rsid w:val="00A93B97"/>
    <w:rsid w:val="00A96688"/>
    <w:rsid w:val="00A96CF3"/>
    <w:rsid w:val="00AA4D6D"/>
    <w:rsid w:val="00AB21C8"/>
    <w:rsid w:val="00AB466D"/>
    <w:rsid w:val="00AB5412"/>
    <w:rsid w:val="00AD0BA6"/>
    <w:rsid w:val="00AE47B3"/>
    <w:rsid w:val="00AE65F8"/>
    <w:rsid w:val="00AE71AF"/>
    <w:rsid w:val="00B00F70"/>
    <w:rsid w:val="00B029D3"/>
    <w:rsid w:val="00B05268"/>
    <w:rsid w:val="00B14F99"/>
    <w:rsid w:val="00B15A4C"/>
    <w:rsid w:val="00B1695D"/>
    <w:rsid w:val="00B208D0"/>
    <w:rsid w:val="00B23259"/>
    <w:rsid w:val="00B30D5D"/>
    <w:rsid w:val="00B439CA"/>
    <w:rsid w:val="00B444E4"/>
    <w:rsid w:val="00B50CCE"/>
    <w:rsid w:val="00B707E1"/>
    <w:rsid w:val="00B71DC8"/>
    <w:rsid w:val="00B753B5"/>
    <w:rsid w:val="00B76536"/>
    <w:rsid w:val="00B81A29"/>
    <w:rsid w:val="00B83DB6"/>
    <w:rsid w:val="00B87479"/>
    <w:rsid w:val="00B92BF5"/>
    <w:rsid w:val="00BA45EF"/>
    <w:rsid w:val="00BB3E0E"/>
    <w:rsid w:val="00BB7ABF"/>
    <w:rsid w:val="00BC4CDF"/>
    <w:rsid w:val="00BC4E6A"/>
    <w:rsid w:val="00BD112F"/>
    <w:rsid w:val="00BE71B3"/>
    <w:rsid w:val="00BF3ED2"/>
    <w:rsid w:val="00BF4948"/>
    <w:rsid w:val="00C038ED"/>
    <w:rsid w:val="00C07FB9"/>
    <w:rsid w:val="00C12A92"/>
    <w:rsid w:val="00C303EB"/>
    <w:rsid w:val="00C30D64"/>
    <w:rsid w:val="00C31601"/>
    <w:rsid w:val="00C319A6"/>
    <w:rsid w:val="00C321B4"/>
    <w:rsid w:val="00C3411B"/>
    <w:rsid w:val="00C45D9A"/>
    <w:rsid w:val="00C47123"/>
    <w:rsid w:val="00C522C1"/>
    <w:rsid w:val="00C65493"/>
    <w:rsid w:val="00C70283"/>
    <w:rsid w:val="00C748E3"/>
    <w:rsid w:val="00C755CF"/>
    <w:rsid w:val="00C9499B"/>
    <w:rsid w:val="00CB1032"/>
    <w:rsid w:val="00CB2293"/>
    <w:rsid w:val="00CB6E17"/>
    <w:rsid w:val="00CC4C24"/>
    <w:rsid w:val="00CC715F"/>
    <w:rsid w:val="00CD4902"/>
    <w:rsid w:val="00CD5951"/>
    <w:rsid w:val="00CD7618"/>
    <w:rsid w:val="00CE003A"/>
    <w:rsid w:val="00CE5F7F"/>
    <w:rsid w:val="00CE7236"/>
    <w:rsid w:val="00CF0F6C"/>
    <w:rsid w:val="00CF33D8"/>
    <w:rsid w:val="00CF3D24"/>
    <w:rsid w:val="00D0123A"/>
    <w:rsid w:val="00D06169"/>
    <w:rsid w:val="00D1385A"/>
    <w:rsid w:val="00D17744"/>
    <w:rsid w:val="00D30E92"/>
    <w:rsid w:val="00D36A21"/>
    <w:rsid w:val="00D37A2E"/>
    <w:rsid w:val="00D43369"/>
    <w:rsid w:val="00D43655"/>
    <w:rsid w:val="00D44BF9"/>
    <w:rsid w:val="00D50E7B"/>
    <w:rsid w:val="00D620C4"/>
    <w:rsid w:val="00D621DF"/>
    <w:rsid w:val="00D70ED0"/>
    <w:rsid w:val="00D77B1F"/>
    <w:rsid w:val="00D87368"/>
    <w:rsid w:val="00DA07F7"/>
    <w:rsid w:val="00DB271B"/>
    <w:rsid w:val="00DC3A2D"/>
    <w:rsid w:val="00DC3BB1"/>
    <w:rsid w:val="00DC66C0"/>
    <w:rsid w:val="00DD1B72"/>
    <w:rsid w:val="00DD79C3"/>
    <w:rsid w:val="00DF5FD9"/>
    <w:rsid w:val="00E07EE5"/>
    <w:rsid w:val="00E11BAF"/>
    <w:rsid w:val="00E15464"/>
    <w:rsid w:val="00E2196F"/>
    <w:rsid w:val="00E408B2"/>
    <w:rsid w:val="00E5048D"/>
    <w:rsid w:val="00E5134E"/>
    <w:rsid w:val="00E52BED"/>
    <w:rsid w:val="00E6164E"/>
    <w:rsid w:val="00E61D46"/>
    <w:rsid w:val="00E62EEE"/>
    <w:rsid w:val="00E672E5"/>
    <w:rsid w:val="00E75720"/>
    <w:rsid w:val="00EA5D02"/>
    <w:rsid w:val="00EB0E68"/>
    <w:rsid w:val="00EB5CF3"/>
    <w:rsid w:val="00EC2FCC"/>
    <w:rsid w:val="00ED54B1"/>
    <w:rsid w:val="00EE28C5"/>
    <w:rsid w:val="00EE3E53"/>
    <w:rsid w:val="00EE45DB"/>
    <w:rsid w:val="00F05D61"/>
    <w:rsid w:val="00F06B5E"/>
    <w:rsid w:val="00F15A12"/>
    <w:rsid w:val="00F161B8"/>
    <w:rsid w:val="00F310AC"/>
    <w:rsid w:val="00F318EF"/>
    <w:rsid w:val="00F406DA"/>
    <w:rsid w:val="00F426E8"/>
    <w:rsid w:val="00F45D81"/>
    <w:rsid w:val="00F45FC8"/>
    <w:rsid w:val="00F50D8A"/>
    <w:rsid w:val="00F51449"/>
    <w:rsid w:val="00F526C5"/>
    <w:rsid w:val="00F60282"/>
    <w:rsid w:val="00F60E59"/>
    <w:rsid w:val="00F64504"/>
    <w:rsid w:val="00F70421"/>
    <w:rsid w:val="00F721C4"/>
    <w:rsid w:val="00F75573"/>
    <w:rsid w:val="00F759A3"/>
    <w:rsid w:val="00F872C1"/>
    <w:rsid w:val="00FA387E"/>
    <w:rsid w:val="00FB26EA"/>
    <w:rsid w:val="00FC3B35"/>
    <w:rsid w:val="00FC7F2C"/>
    <w:rsid w:val="00FD1F08"/>
    <w:rsid w:val="00FE4D09"/>
    <w:rsid w:val="00FE4FBB"/>
    <w:rsid w:val="00FE5C9A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C1D1"/>
  <w15:chartTrackingRefBased/>
  <w15:docId w15:val="{2CE2C508-705E-42AE-AB51-BB49F21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Vraz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0A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Andrej Pitonak</cp:lastModifiedBy>
  <cp:revision>127</cp:revision>
  <cp:lastPrinted>2017-07-06T09:08:00Z</cp:lastPrinted>
  <dcterms:created xsi:type="dcterms:W3CDTF">2020-08-21T11:15:00Z</dcterms:created>
  <dcterms:modified xsi:type="dcterms:W3CDTF">2021-05-28T08:48:00Z</dcterms:modified>
</cp:coreProperties>
</file>