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A32EE" w14:textId="77777777" w:rsidR="00CD5E4F" w:rsidRPr="001E4B49" w:rsidRDefault="00CD5E4F" w:rsidP="00CD5E4F">
      <w:pPr>
        <w:widowControl/>
        <w:adjustRightInd/>
        <w:jc w:val="center"/>
        <w:rPr>
          <w:rFonts w:eastAsiaTheme="minorEastAsia"/>
          <w:b/>
          <w:caps/>
          <w:noProof/>
          <w:spacing w:val="30"/>
        </w:rPr>
      </w:pPr>
      <w:r w:rsidRPr="001E4B49">
        <w:rPr>
          <w:rFonts w:eastAsiaTheme="minorEastAsia"/>
          <w:b/>
          <w:caps/>
          <w:noProof/>
          <w:spacing w:val="30"/>
        </w:rPr>
        <w:t>Dôvodová správa</w:t>
      </w:r>
    </w:p>
    <w:p w14:paraId="107090A2" w14:textId="77777777" w:rsidR="00CD5E4F" w:rsidRPr="001E4B49" w:rsidRDefault="00CD5E4F" w:rsidP="00CD5E4F">
      <w:pPr>
        <w:widowControl/>
        <w:adjustRightInd/>
        <w:jc w:val="center"/>
        <w:rPr>
          <w:rFonts w:eastAsiaTheme="minorEastAsia"/>
          <w:b/>
          <w:caps/>
          <w:noProof/>
          <w:lang w:eastAsia="en-US"/>
        </w:rPr>
      </w:pPr>
    </w:p>
    <w:p w14:paraId="496944DB" w14:textId="77777777" w:rsidR="00CD5E4F" w:rsidRPr="001E4B49" w:rsidRDefault="00CD5E4F" w:rsidP="00CD5E4F">
      <w:pPr>
        <w:widowControl/>
        <w:adjustRightInd/>
        <w:jc w:val="center"/>
        <w:rPr>
          <w:rFonts w:eastAsiaTheme="minorEastAsia"/>
          <w:iCs/>
          <w:noProof/>
          <w:lang w:eastAsia="en-US"/>
        </w:rPr>
      </w:pPr>
    </w:p>
    <w:p w14:paraId="668373A0" w14:textId="77777777" w:rsidR="00CD5E4F" w:rsidRPr="001E4B49" w:rsidRDefault="00CD5E4F" w:rsidP="00CD5E4F">
      <w:pPr>
        <w:widowControl/>
        <w:adjustRightInd/>
        <w:rPr>
          <w:rFonts w:eastAsiaTheme="minorEastAsia"/>
          <w:noProof/>
          <w:lang w:eastAsia="en-US"/>
        </w:rPr>
      </w:pPr>
      <w:r w:rsidRPr="001E4B49">
        <w:rPr>
          <w:rFonts w:eastAsiaTheme="minorEastAsia"/>
          <w:b/>
          <w:noProof/>
        </w:rPr>
        <w:t>A. Všeobecná časť</w:t>
      </w:r>
    </w:p>
    <w:p w14:paraId="5BF7BACF" w14:textId="77777777" w:rsidR="00CD5E4F" w:rsidRPr="001E4B49" w:rsidRDefault="00CD5E4F" w:rsidP="00CD5E4F">
      <w:pPr>
        <w:widowControl/>
        <w:adjustRightInd/>
        <w:spacing w:after="200" w:line="276" w:lineRule="auto"/>
      </w:pPr>
    </w:p>
    <w:p w14:paraId="37C05B02" w14:textId="77777777" w:rsidR="007E1CA3" w:rsidRPr="001E4B49" w:rsidRDefault="007E1CA3" w:rsidP="007E1CA3">
      <w:pPr>
        <w:pStyle w:val="Default"/>
        <w:spacing w:line="276" w:lineRule="auto"/>
        <w:ind w:firstLine="708"/>
        <w:jc w:val="both"/>
      </w:pPr>
      <w:r w:rsidRPr="001E4B49">
        <w:t xml:space="preserve">Cieľom návrhu zákona je zefektívnenie poskytovania finančného príspevku na pomoc najmenej rozvinutým okresom, a to s ohľadom na jeho lepšiu adresnosť a transparentnosť. </w:t>
      </w:r>
    </w:p>
    <w:p w14:paraId="69703437" w14:textId="77777777" w:rsidR="007E1CA3" w:rsidRPr="001E4B49" w:rsidRDefault="007E1CA3" w:rsidP="007E1CA3">
      <w:pPr>
        <w:pStyle w:val="Default"/>
        <w:spacing w:line="276" w:lineRule="auto"/>
        <w:ind w:firstLine="708"/>
        <w:jc w:val="both"/>
      </w:pPr>
      <w:r w:rsidRPr="001E4B49">
        <w:t>Návrh zákona rovnako reaguje na transformáciu úloh a mieru zodpovednosti, ktoré s účinnosťou od 1. júla 2020 prešli na novovzniknuté Ministerstvo investícií, regionálneho rozvoja a informatizácie Slovenskej republiky, čo súvisí i s prechodom kompetencie rozhodovania o poskytnutí regionálneho príspevku.</w:t>
      </w:r>
    </w:p>
    <w:p w14:paraId="10900FAE" w14:textId="77777777" w:rsidR="007E1CA3" w:rsidRPr="001E4B49" w:rsidRDefault="007E1CA3" w:rsidP="007E1CA3">
      <w:pPr>
        <w:pStyle w:val="Default"/>
        <w:spacing w:line="276" w:lineRule="auto"/>
        <w:ind w:firstLine="708"/>
        <w:jc w:val="both"/>
      </w:pPr>
      <w:r w:rsidRPr="001E4B49">
        <w:t>Návrh zákona prinesie urýchlenie a zefektívnenie procesov pri poskytovaní regionálneho príspevku a zároveň zohľadňuje odporúčania Najvyššieho kontrolného úradu Slovenskej republiky, ktoré vyplynuli z výsledkov kontroly zameranej na čerpanie regionálneho príspevku, príčiny a dopady nečerpania na plnenie úloh akčného plánu. Nahrádza sa pôvodný model prípravy a vyhodnocovania výziev na poskytnutie regionálneho príspevku založeného na odporúčaniach okresných úradov novým transparentným modelom Riadiacich výborov zložených zo zástupcov Ministerstva investícií regionálneho rozvoja a informatizácie Slovenskej republiky, vyšších územných celkov, do ktorých najmenej rozvinuté okresy patria,  okresných úradov najmenej rozvinutých okresov, miest a obcí najmenej rozvinutých okresov a sociálno-ekonomických partnerov. Skúsenosti z minulosti totiž odhalili i prípady, kedy dochádzalo k zjavne neúčelnému nakladaniu s regionálnymi príspevkami bez priamej väzby na riešenie rozvojového problému v regióne.</w:t>
      </w:r>
    </w:p>
    <w:p w14:paraId="01B636B2" w14:textId="77777777" w:rsidR="007E1CA3" w:rsidRPr="001E4B49" w:rsidRDefault="007E1CA3" w:rsidP="007E1CA3">
      <w:pPr>
        <w:pStyle w:val="Default"/>
        <w:spacing w:line="276" w:lineRule="auto"/>
        <w:ind w:firstLine="708"/>
        <w:jc w:val="both"/>
      </w:pPr>
      <w:r w:rsidRPr="001E4B49">
        <w:t xml:space="preserve">Návrh zákona prinesie zjednodušenie procesu schvaľovania záväzných dokumentov týkajúcich sa poskytovania regionálneho príspevku. Nahrádzajú sa vládou schválené dva záväzné dokumenty, t. j. Akčný plán najmenej rozvinutého okresu a Ročné priority,  jedným záväzným dokumentom Plánom rozvoja, ktorý ako komplexný dokument pre poskytovanie podpory najmenej rozvinutému okresu bude obsahovať súbor konkrétnych aktivít na riešenie rozvojového problému v regióne. Návrh zákona zavádza i novú koncepciu najmenej rozvinutých území, ako území tvorených susediacimi najmenej rozvinutými okresmi s rovnakými či podobnými problémami, v rámci ktorých existuje potreba plánovania regionálneho rozvoja týchto území s ohľadom na širšie súvislosti prirodzeného regiónu.        </w:t>
      </w:r>
    </w:p>
    <w:p w14:paraId="465CEBC8" w14:textId="77777777" w:rsidR="007E1CA3" w:rsidRPr="001E4B49" w:rsidRDefault="007E1CA3" w:rsidP="007E1CA3">
      <w:pPr>
        <w:pStyle w:val="Default"/>
        <w:spacing w:line="276" w:lineRule="auto"/>
        <w:ind w:firstLine="708"/>
        <w:jc w:val="both"/>
      </w:pPr>
      <w:r w:rsidRPr="001E4B49">
        <w:t>Návrh zákona prihliada aj na potrebu aktualizácie kritérií na posudzovanie okresu ako najmenej rozvinutého okresu, a to o kritérium, ktoré medzi najmenej rozvinuté okresy radí i okresy kompletne obklopené najmenej rozvinutými okresmi. Z poznatkov z praxe totiž plynie, že pokiaľ sa takýto okres vyskytne, ide zväčša o okres, ktorý má spravidla rovnaké rozvojové problémy ako sú v okresoch spĺňajúcich podmienku najmenej rozvinutého okresu, ktoré ho obklopujú.</w:t>
      </w:r>
    </w:p>
    <w:p w14:paraId="47E812CA" w14:textId="0206B6C9" w:rsidR="005068B4" w:rsidRPr="001E4B49" w:rsidRDefault="005068B4" w:rsidP="005068B4">
      <w:pPr>
        <w:widowControl/>
        <w:jc w:val="both"/>
        <w:rPr>
          <w:b/>
        </w:rPr>
      </w:pPr>
    </w:p>
    <w:p w14:paraId="569EEEB2" w14:textId="275DC713" w:rsidR="00FF7CD1" w:rsidRPr="001E4B49" w:rsidRDefault="00FF7CD1" w:rsidP="005068B4">
      <w:pPr>
        <w:widowControl/>
        <w:jc w:val="both"/>
        <w:rPr>
          <w:b/>
        </w:rPr>
      </w:pPr>
    </w:p>
    <w:p w14:paraId="53AAF739" w14:textId="2F419B39" w:rsidR="00FF7CD1" w:rsidRPr="001E4B49" w:rsidRDefault="00FF7CD1" w:rsidP="005068B4">
      <w:pPr>
        <w:widowControl/>
        <w:jc w:val="both"/>
        <w:rPr>
          <w:b/>
        </w:rPr>
      </w:pPr>
    </w:p>
    <w:p w14:paraId="02ECA64A" w14:textId="6821C81B" w:rsidR="00FF7CD1" w:rsidRPr="001E4B49" w:rsidRDefault="00FF7CD1" w:rsidP="005068B4">
      <w:pPr>
        <w:widowControl/>
        <w:jc w:val="both"/>
        <w:rPr>
          <w:b/>
        </w:rPr>
      </w:pPr>
    </w:p>
    <w:p w14:paraId="73069849" w14:textId="24BF831B" w:rsidR="00FF7CD1" w:rsidRPr="001E4B49" w:rsidRDefault="00FF7CD1" w:rsidP="005068B4">
      <w:pPr>
        <w:widowControl/>
        <w:jc w:val="both"/>
        <w:rPr>
          <w:b/>
        </w:rPr>
      </w:pPr>
    </w:p>
    <w:p w14:paraId="62155B3A" w14:textId="295285B3" w:rsidR="00FF7CD1" w:rsidRPr="001E4B49" w:rsidRDefault="00FF7CD1" w:rsidP="005068B4">
      <w:pPr>
        <w:widowControl/>
        <w:jc w:val="both"/>
        <w:rPr>
          <w:b/>
        </w:rPr>
      </w:pPr>
    </w:p>
    <w:p w14:paraId="37BC00B6" w14:textId="77777777" w:rsidR="0016331A" w:rsidRDefault="0016331A" w:rsidP="007E1CA3">
      <w:pPr>
        <w:jc w:val="center"/>
        <w:rPr>
          <w:b/>
          <w:bCs/>
          <w:sz w:val="28"/>
          <w:szCs w:val="28"/>
        </w:rPr>
      </w:pPr>
    </w:p>
    <w:p w14:paraId="1A1D9D5B" w14:textId="77777777" w:rsidR="0016331A" w:rsidRDefault="0016331A" w:rsidP="007E1CA3">
      <w:pPr>
        <w:jc w:val="center"/>
        <w:rPr>
          <w:b/>
          <w:bCs/>
          <w:sz w:val="28"/>
          <w:szCs w:val="28"/>
        </w:rPr>
      </w:pPr>
    </w:p>
    <w:p w14:paraId="61C0198E" w14:textId="0608C942" w:rsidR="007E1CA3" w:rsidRPr="001E4B49" w:rsidRDefault="007E1CA3" w:rsidP="007E1CA3">
      <w:pPr>
        <w:jc w:val="center"/>
        <w:rPr>
          <w:b/>
          <w:bCs/>
          <w:sz w:val="28"/>
          <w:szCs w:val="28"/>
        </w:rPr>
      </w:pPr>
      <w:r w:rsidRPr="001E4B49">
        <w:rPr>
          <w:b/>
          <w:bCs/>
          <w:sz w:val="28"/>
          <w:szCs w:val="28"/>
        </w:rPr>
        <w:lastRenderedPageBreak/>
        <w:t>Doložka vybraných vplyvov</w:t>
      </w:r>
    </w:p>
    <w:p w14:paraId="21A13707" w14:textId="77777777" w:rsidR="007E1CA3" w:rsidRPr="001E4B49" w:rsidRDefault="007E1CA3" w:rsidP="007E1CA3">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7E1CA3" w:rsidRPr="001E4B49" w14:paraId="711D1094" w14:textId="77777777" w:rsidTr="001E4B49">
        <w:tc>
          <w:tcPr>
            <w:tcW w:w="9180" w:type="dxa"/>
            <w:gridSpan w:val="10"/>
            <w:tcBorders>
              <w:bottom w:val="single" w:sz="4" w:space="0" w:color="FFFFFF" w:themeColor="background1"/>
            </w:tcBorders>
            <w:shd w:val="clear" w:color="auto" w:fill="E2E2E2"/>
          </w:tcPr>
          <w:p w14:paraId="40C8C43C"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Základné údaje</w:t>
            </w:r>
          </w:p>
        </w:tc>
      </w:tr>
      <w:tr w:rsidR="007E1CA3" w:rsidRPr="001E4B49" w14:paraId="62FE53A3" w14:textId="77777777" w:rsidTr="001E4B49">
        <w:tc>
          <w:tcPr>
            <w:tcW w:w="9180" w:type="dxa"/>
            <w:gridSpan w:val="10"/>
            <w:tcBorders>
              <w:bottom w:val="single" w:sz="4" w:space="0" w:color="FFFFFF" w:themeColor="background1"/>
            </w:tcBorders>
            <w:shd w:val="clear" w:color="auto" w:fill="E2E2E2"/>
          </w:tcPr>
          <w:p w14:paraId="0311F55B" w14:textId="77777777" w:rsidR="007E1CA3" w:rsidRPr="001E4B49" w:rsidRDefault="007E1CA3" w:rsidP="001E4B49">
            <w:pPr>
              <w:pStyle w:val="Odsekzoznamu"/>
              <w:ind w:left="142"/>
              <w:rPr>
                <w:rFonts w:ascii="Times New Roman" w:hAnsi="Times New Roman" w:cs="Times New Roman"/>
                <w:b/>
              </w:rPr>
            </w:pPr>
            <w:r w:rsidRPr="001E4B49">
              <w:rPr>
                <w:rFonts w:ascii="Times New Roman" w:hAnsi="Times New Roman" w:cs="Times New Roman"/>
                <w:b/>
              </w:rPr>
              <w:t>Názov materiálu</w:t>
            </w:r>
          </w:p>
        </w:tc>
      </w:tr>
      <w:tr w:rsidR="007E1CA3" w:rsidRPr="001E4B49" w14:paraId="6C110120" w14:textId="77777777" w:rsidTr="001E4B49">
        <w:tc>
          <w:tcPr>
            <w:tcW w:w="9180" w:type="dxa"/>
            <w:gridSpan w:val="10"/>
            <w:tcBorders>
              <w:top w:val="single" w:sz="4" w:space="0" w:color="FFFFFF" w:themeColor="background1"/>
              <w:bottom w:val="single" w:sz="4" w:space="0" w:color="auto"/>
            </w:tcBorders>
          </w:tcPr>
          <w:p w14:paraId="51DB7B2B" w14:textId="77777777" w:rsidR="007E1CA3" w:rsidRPr="001E4B49" w:rsidRDefault="007E1CA3" w:rsidP="001E4B49">
            <w:pPr>
              <w:rPr>
                <w:rFonts w:ascii="Times New Roman" w:hAnsi="Times New Roman" w:cs="Times New Roman"/>
                <w:bCs/>
              </w:rPr>
            </w:pPr>
            <w:r w:rsidRPr="001E4B49">
              <w:rPr>
                <w:rFonts w:ascii="Times New Roman" w:hAnsi="Times New Roman" w:cs="Times New Roman"/>
                <w:bCs/>
              </w:rPr>
              <w:t>Návrh zákona, ktorým sa mení a dopĺňa zákon č. 336/2015 Z. z. o podpore najmenej rozvinutých okresov a o zmene a doplnení niektorých zákonov v znení neskorších predpisov</w:t>
            </w:r>
          </w:p>
        </w:tc>
      </w:tr>
      <w:tr w:rsidR="007E1CA3" w:rsidRPr="001E4B49" w14:paraId="3A9721DE" w14:textId="77777777" w:rsidTr="001E4B49">
        <w:tc>
          <w:tcPr>
            <w:tcW w:w="9180" w:type="dxa"/>
            <w:gridSpan w:val="10"/>
            <w:tcBorders>
              <w:top w:val="single" w:sz="4" w:space="0" w:color="auto"/>
              <w:left w:val="single" w:sz="4" w:space="0" w:color="auto"/>
              <w:bottom w:val="single" w:sz="4" w:space="0" w:color="FFFFFF" w:themeColor="background1"/>
            </w:tcBorders>
            <w:shd w:val="clear" w:color="auto" w:fill="E2E2E2"/>
          </w:tcPr>
          <w:p w14:paraId="63652707" w14:textId="77777777" w:rsidR="007E1CA3" w:rsidRPr="001E4B49" w:rsidRDefault="007E1CA3" w:rsidP="001E4B49">
            <w:pPr>
              <w:pStyle w:val="Odsekzoznamu"/>
              <w:ind w:left="142"/>
              <w:rPr>
                <w:rFonts w:ascii="Times New Roman" w:hAnsi="Times New Roman" w:cs="Times New Roman"/>
                <w:b/>
              </w:rPr>
            </w:pPr>
            <w:r w:rsidRPr="001E4B49">
              <w:rPr>
                <w:rFonts w:ascii="Times New Roman" w:hAnsi="Times New Roman" w:cs="Times New Roman"/>
                <w:b/>
              </w:rPr>
              <w:t>Predkladateľ (a spolupredkladateľ)</w:t>
            </w:r>
          </w:p>
        </w:tc>
      </w:tr>
      <w:tr w:rsidR="007E1CA3" w:rsidRPr="001E4B49" w14:paraId="04E78CC5" w14:textId="77777777" w:rsidTr="001E4B49">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52FB11D2" w14:textId="77777777" w:rsidR="007E1CA3" w:rsidRPr="001E4B49" w:rsidRDefault="007E1CA3" w:rsidP="001E4B49">
            <w:pPr>
              <w:jc w:val="both"/>
              <w:rPr>
                <w:rFonts w:ascii="Times New Roman" w:hAnsi="Times New Roman" w:cs="Times New Roman"/>
                <w:szCs w:val="22"/>
              </w:rPr>
            </w:pPr>
            <w:r w:rsidRPr="001E4B49">
              <w:rPr>
                <w:rFonts w:ascii="Times New Roman" w:hAnsi="Times New Roman" w:cs="Times New Roman"/>
                <w:szCs w:val="22"/>
              </w:rPr>
              <w:t xml:space="preserve">Ministerstvo investícií, regionálneho rozvoja a informatizácie Slovenskej republiky </w:t>
            </w:r>
          </w:p>
        </w:tc>
      </w:tr>
      <w:tr w:rsidR="007E1CA3" w:rsidRPr="001E4B49" w14:paraId="08727CF3" w14:textId="77777777" w:rsidTr="001E4B49">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42100F1F" w14:textId="77777777" w:rsidR="007E1CA3" w:rsidRPr="001E4B49" w:rsidRDefault="007E1CA3" w:rsidP="001E4B49">
            <w:pPr>
              <w:pStyle w:val="Odsekzoznamu"/>
              <w:ind w:left="142"/>
              <w:rPr>
                <w:rFonts w:ascii="Times New Roman" w:hAnsi="Times New Roman" w:cs="Times New Roman"/>
                <w:b/>
              </w:rPr>
            </w:pPr>
            <w:r w:rsidRPr="001E4B49">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7D2102E2" w14:textId="77777777" w:rsidR="007E1CA3" w:rsidRPr="001E4B49" w:rsidRDefault="007E1CA3" w:rsidP="001E4B49">
                <w:pPr>
                  <w:jc w:val="center"/>
                  <w:rPr>
                    <w:rFonts w:ascii="Times New Roman" w:hAnsi="Times New Roman" w:cs="Times New Roman"/>
                  </w:rPr>
                </w:pPr>
                <w:r w:rsidRPr="001E4B49">
                  <w:rPr>
                    <w:rFonts w:ascii="Segoe UI Symbol" w:eastAsia="MS Gothic" w:hAnsi="Segoe UI Symbol" w:cs="Segoe UI Symbol"/>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76788425"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Materiál nelegislatívnej povahy</w:t>
            </w:r>
          </w:p>
        </w:tc>
      </w:tr>
      <w:tr w:rsidR="007E1CA3" w:rsidRPr="001E4B49" w14:paraId="6AF7EE65" w14:textId="77777777" w:rsidTr="001E4B49">
        <w:tc>
          <w:tcPr>
            <w:tcW w:w="4212" w:type="dxa"/>
            <w:gridSpan w:val="2"/>
            <w:vMerge/>
            <w:tcBorders>
              <w:top w:val="nil"/>
              <w:left w:val="single" w:sz="4" w:space="0" w:color="auto"/>
              <w:bottom w:val="single" w:sz="4" w:space="0" w:color="FFFFFF" w:themeColor="background1"/>
            </w:tcBorders>
            <w:shd w:val="clear" w:color="auto" w:fill="E2E2E2"/>
          </w:tcPr>
          <w:p w14:paraId="2B303358" w14:textId="77777777" w:rsidR="007E1CA3" w:rsidRPr="001E4B49" w:rsidRDefault="007E1CA3" w:rsidP="001E4B49">
            <w:pPr>
              <w:rPr>
                <w:rFonts w:ascii="Times New Roman" w:hAnsi="Times New Roman" w:cs="Times New Roman"/>
              </w:rPr>
            </w:pPr>
          </w:p>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732E923B" w14:textId="77777777" w:rsidR="007E1CA3" w:rsidRPr="001E4B49" w:rsidRDefault="007E1CA3" w:rsidP="001E4B49">
                <w:pPr>
                  <w:jc w:val="center"/>
                  <w:rPr>
                    <w:rFonts w:ascii="Times New Roman" w:hAnsi="Times New Roman" w:cs="Times New Roman"/>
                  </w:rPr>
                </w:pPr>
                <w:r w:rsidRPr="001E4B49">
                  <w:rPr>
                    <w:rFonts w:ascii="Segoe UI Symbol" w:eastAsia="MS Gothic"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5CACC46A" w14:textId="77777777" w:rsidR="007E1CA3" w:rsidRPr="001E4B49" w:rsidRDefault="007E1CA3" w:rsidP="001E4B49">
            <w:pPr>
              <w:ind w:left="175" w:hanging="175"/>
              <w:rPr>
                <w:rFonts w:ascii="Times New Roman" w:hAnsi="Times New Roman" w:cs="Times New Roman"/>
              </w:rPr>
            </w:pPr>
            <w:r w:rsidRPr="001E4B49">
              <w:rPr>
                <w:rFonts w:ascii="Times New Roman" w:hAnsi="Times New Roman" w:cs="Times New Roman"/>
              </w:rPr>
              <w:t>Materiál legislatívnej povahy</w:t>
            </w:r>
          </w:p>
        </w:tc>
      </w:tr>
      <w:tr w:rsidR="007E1CA3" w:rsidRPr="001E4B49" w14:paraId="19BD76C4" w14:textId="77777777" w:rsidTr="001E4B49">
        <w:tc>
          <w:tcPr>
            <w:tcW w:w="4212" w:type="dxa"/>
            <w:gridSpan w:val="2"/>
            <w:vMerge/>
            <w:tcBorders>
              <w:top w:val="nil"/>
              <w:left w:val="single" w:sz="4" w:space="0" w:color="auto"/>
              <w:bottom w:val="single" w:sz="4" w:space="0" w:color="auto"/>
            </w:tcBorders>
            <w:shd w:val="clear" w:color="auto" w:fill="E2E2E2"/>
          </w:tcPr>
          <w:p w14:paraId="44819B5E" w14:textId="77777777" w:rsidR="007E1CA3" w:rsidRPr="001E4B49" w:rsidRDefault="007E1CA3" w:rsidP="001E4B49">
            <w:pPr>
              <w:rPr>
                <w:rFonts w:ascii="Times New Roman" w:hAnsi="Times New Roman" w:cs="Times New Roman"/>
              </w:rPr>
            </w:pPr>
          </w:p>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3B323699" w14:textId="77777777" w:rsidR="007E1CA3" w:rsidRPr="001E4B49" w:rsidRDefault="007E1CA3" w:rsidP="001E4B49">
                <w:pPr>
                  <w:jc w:val="center"/>
                  <w:rPr>
                    <w:rFonts w:ascii="Times New Roman" w:hAnsi="Times New Roman" w:cs="Times New Roman"/>
                  </w:rPr>
                </w:pPr>
                <w:r w:rsidRPr="001E4B49">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10655012"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Transpozícia práva EÚ</w:t>
            </w:r>
          </w:p>
        </w:tc>
      </w:tr>
      <w:tr w:rsidR="007E1CA3" w:rsidRPr="001E4B49" w14:paraId="4345ADA7" w14:textId="77777777" w:rsidTr="001E4B49">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14:paraId="148207D6" w14:textId="77777777" w:rsidR="007E1CA3" w:rsidRPr="001E4B49" w:rsidRDefault="007E1CA3" w:rsidP="001E4B49">
            <w:pPr>
              <w:rPr>
                <w:rFonts w:ascii="Times New Roman" w:hAnsi="Times New Roman" w:cs="Times New Roman"/>
                <w:i/>
              </w:rPr>
            </w:pPr>
          </w:p>
          <w:p w14:paraId="5B734CEB" w14:textId="77777777" w:rsidR="007E1CA3" w:rsidRPr="001E4B49" w:rsidRDefault="007E1CA3" w:rsidP="001E4B49">
            <w:pPr>
              <w:rPr>
                <w:rFonts w:ascii="Times New Roman" w:hAnsi="Times New Roman" w:cs="Times New Roman"/>
              </w:rPr>
            </w:pPr>
          </w:p>
          <w:p w14:paraId="715ACBB4" w14:textId="77777777" w:rsidR="007E1CA3" w:rsidRPr="001E4B49" w:rsidRDefault="007E1CA3" w:rsidP="001E4B49">
            <w:pPr>
              <w:rPr>
                <w:rFonts w:ascii="Times New Roman" w:hAnsi="Times New Roman" w:cs="Times New Roman"/>
              </w:rPr>
            </w:pPr>
          </w:p>
        </w:tc>
      </w:tr>
      <w:tr w:rsidR="007E1CA3" w:rsidRPr="001E4B49" w14:paraId="70C942DA" w14:textId="77777777" w:rsidTr="001E4B49">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6323C3D8" w14:textId="77777777" w:rsidR="007E1CA3" w:rsidRPr="001E4B49" w:rsidRDefault="007E1CA3" w:rsidP="001E4B49">
            <w:pPr>
              <w:pStyle w:val="Odsekzoznamu"/>
              <w:ind w:left="142"/>
              <w:rPr>
                <w:rFonts w:ascii="Times New Roman" w:hAnsi="Times New Roman" w:cs="Times New Roman"/>
                <w:b/>
              </w:rPr>
            </w:pPr>
            <w:r w:rsidRPr="001E4B49">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6E1D300D" w14:textId="77777777" w:rsidR="007E1CA3" w:rsidRPr="001E4B49" w:rsidRDefault="007E1CA3" w:rsidP="001E4B49">
            <w:pPr>
              <w:rPr>
                <w:rFonts w:ascii="Times New Roman" w:hAnsi="Times New Roman" w:cs="Times New Roman"/>
                <w:szCs w:val="22"/>
              </w:rPr>
            </w:pPr>
            <w:r w:rsidRPr="001E4B49">
              <w:rPr>
                <w:rFonts w:ascii="Times New Roman" w:hAnsi="Times New Roman" w:cs="Times New Roman"/>
                <w:szCs w:val="22"/>
              </w:rPr>
              <w:t>22.1.2021 - 5.2.2021</w:t>
            </w:r>
          </w:p>
        </w:tc>
      </w:tr>
      <w:tr w:rsidR="007E1CA3" w:rsidRPr="001E4B49" w14:paraId="6F6F8547" w14:textId="77777777" w:rsidTr="001E4B49">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7416A731" w14:textId="77777777" w:rsidR="007E1CA3" w:rsidRPr="001E4B49" w:rsidRDefault="007E1CA3" w:rsidP="001E4B49">
            <w:pPr>
              <w:pStyle w:val="Odsekzoznamu"/>
              <w:ind w:left="142"/>
              <w:rPr>
                <w:rFonts w:ascii="Times New Roman" w:hAnsi="Times New Roman" w:cs="Times New Roman"/>
                <w:b/>
              </w:rPr>
            </w:pPr>
            <w:r w:rsidRPr="001E4B49">
              <w:rPr>
                <w:rFonts w:ascii="Times New Roman" w:hAnsi="Times New Roman" w:cs="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241908B3" w14:textId="77777777" w:rsidR="007E1CA3" w:rsidRPr="001E4B49" w:rsidRDefault="007E1CA3" w:rsidP="001E4B49">
            <w:pPr>
              <w:rPr>
                <w:rFonts w:ascii="Times New Roman" w:hAnsi="Times New Roman" w:cs="Times New Roman"/>
                <w:szCs w:val="22"/>
              </w:rPr>
            </w:pPr>
            <w:r w:rsidRPr="001E4B49">
              <w:rPr>
                <w:rFonts w:ascii="Times New Roman" w:hAnsi="Times New Roman" w:cs="Times New Roman"/>
                <w:szCs w:val="22"/>
              </w:rPr>
              <w:t>4.3.2021-24.3.2021</w:t>
            </w:r>
          </w:p>
        </w:tc>
      </w:tr>
      <w:tr w:rsidR="007E1CA3" w:rsidRPr="001E4B49" w14:paraId="1CA72981" w14:textId="77777777" w:rsidTr="001E4B49">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2458F539" w14:textId="77777777" w:rsidR="007E1CA3" w:rsidRPr="001E4B49" w:rsidRDefault="007E1CA3" w:rsidP="001E4B49">
            <w:pPr>
              <w:pStyle w:val="Odsekzoznamu"/>
              <w:ind w:left="142"/>
              <w:rPr>
                <w:rFonts w:ascii="Times New Roman" w:hAnsi="Times New Roman" w:cs="Times New Roman"/>
                <w:b/>
              </w:rPr>
            </w:pPr>
            <w:r w:rsidRPr="001E4B49">
              <w:rPr>
                <w:rFonts w:ascii="Times New Roman" w:hAnsi="Times New Roman" w:cs="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14:paraId="03C44C13" w14:textId="77777777" w:rsidR="007E1CA3" w:rsidRPr="001E4B49" w:rsidRDefault="007E1CA3" w:rsidP="001E4B49">
            <w:pPr>
              <w:rPr>
                <w:rFonts w:ascii="Times New Roman" w:hAnsi="Times New Roman" w:cs="Times New Roman"/>
                <w:szCs w:val="22"/>
              </w:rPr>
            </w:pPr>
            <w:r w:rsidRPr="001E4B49">
              <w:rPr>
                <w:rFonts w:ascii="Times New Roman" w:hAnsi="Times New Roman" w:cs="Times New Roman"/>
                <w:szCs w:val="22"/>
              </w:rPr>
              <w:t>máj 2021</w:t>
            </w:r>
          </w:p>
        </w:tc>
      </w:tr>
      <w:tr w:rsidR="007E1CA3" w:rsidRPr="001E4B49" w14:paraId="39621265" w14:textId="77777777" w:rsidTr="001E4B49">
        <w:tc>
          <w:tcPr>
            <w:tcW w:w="9180" w:type="dxa"/>
            <w:gridSpan w:val="10"/>
            <w:tcBorders>
              <w:top w:val="single" w:sz="4" w:space="0" w:color="auto"/>
              <w:left w:val="nil"/>
              <w:bottom w:val="single" w:sz="4" w:space="0" w:color="auto"/>
              <w:right w:val="nil"/>
            </w:tcBorders>
            <w:shd w:val="clear" w:color="auto" w:fill="FFFFFF" w:themeFill="background1"/>
          </w:tcPr>
          <w:p w14:paraId="53F000F8" w14:textId="77777777" w:rsidR="007E1CA3" w:rsidRPr="001E4B49" w:rsidRDefault="007E1CA3" w:rsidP="001E4B49">
            <w:pPr>
              <w:rPr>
                <w:rFonts w:ascii="Times New Roman" w:hAnsi="Times New Roman" w:cs="Times New Roman"/>
              </w:rPr>
            </w:pPr>
          </w:p>
        </w:tc>
      </w:tr>
      <w:tr w:rsidR="007E1CA3" w:rsidRPr="001E4B49" w14:paraId="7E17EB6C" w14:textId="77777777" w:rsidTr="001E4B4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0268808A"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Definovanie problému</w:t>
            </w:r>
          </w:p>
        </w:tc>
      </w:tr>
      <w:tr w:rsidR="007E1CA3" w:rsidRPr="001E4B49" w14:paraId="4591230A" w14:textId="77777777" w:rsidTr="001E4B49">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6AF7E67" w14:textId="77777777" w:rsidR="007E1CA3" w:rsidRPr="001E4B49" w:rsidRDefault="007E1CA3" w:rsidP="001E4B49">
            <w:pPr>
              <w:spacing w:after="120"/>
              <w:jc w:val="both"/>
              <w:rPr>
                <w:rFonts w:ascii="Times New Roman" w:hAnsi="Times New Roman" w:cs="Times New Roman"/>
                <w:szCs w:val="22"/>
              </w:rPr>
            </w:pPr>
            <w:r w:rsidRPr="001E4B49">
              <w:rPr>
                <w:rFonts w:ascii="Times New Roman" w:hAnsi="Times New Roman" w:cs="Times New Roman"/>
                <w:szCs w:val="22"/>
              </w:rPr>
              <w:t>Administratívna náročnosť procesov pri poskytovaní regionálneho príspevku a potreba zrýchlenia čerpania finančných prostriedkov. Návrh zákona, ktorým sa dopĺňa zákon č. 336/2015 Z. z. o podpore najmenej rozvinutých okresov a o zmene a doplnení niektorých zákonov v znení neskorších predpisov, bol vypracovaný na základe úlohy C.1. z uznesenia vlády Slovenskej republiky č. 547 z 9. septembra 2020.</w:t>
            </w:r>
          </w:p>
        </w:tc>
      </w:tr>
      <w:tr w:rsidR="007E1CA3" w:rsidRPr="001E4B49" w14:paraId="71DB54B2" w14:textId="77777777" w:rsidTr="001E4B49">
        <w:tc>
          <w:tcPr>
            <w:tcW w:w="9180" w:type="dxa"/>
            <w:gridSpan w:val="10"/>
            <w:tcBorders>
              <w:top w:val="single" w:sz="4" w:space="0" w:color="auto"/>
              <w:left w:val="single" w:sz="4" w:space="0" w:color="auto"/>
              <w:bottom w:val="nil"/>
              <w:right w:val="single" w:sz="4" w:space="0" w:color="auto"/>
            </w:tcBorders>
            <w:shd w:val="clear" w:color="auto" w:fill="E2E2E2"/>
          </w:tcPr>
          <w:p w14:paraId="6BFA0694"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Ciele a výsledný stav</w:t>
            </w:r>
          </w:p>
        </w:tc>
      </w:tr>
      <w:tr w:rsidR="007E1CA3" w:rsidRPr="001E4B49" w14:paraId="5B557B03" w14:textId="77777777" w:rsidTr="001E4B49">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064D3777" w14:textId="77777777" w:rsidR="007E1CA3" w:rsidRPr="001E4B49" w:rsidRDefault="007E1CA3" w:rsidP="001E4B49">
            <w:pPr>
              <w:jc w:val="both"/>
              <w:rPr>
                <w:rFonts w:ascii="Times New Roman" w:hAnsi="Times New Roman" w:cs="Times New Roman"/>
                <w:szCs w:val="22"/>
              </w:rPr>
            </w:pPr>
            <w:r w:rsidRPr="001E4B49">
              <w:rPr>
                <w:rFonts w:ascii="Times New Roman" w:hAnsi="Times New Roman" w:cs="Times New Roman"/>
                <w:szCs w:val="22"/>
              </w:rPr>
              <w:t xml:space="preserve"> Cieľom návrhu zákona je zefektívnenie poskytovania regionálneho príspevku na pomoc najmenej rozvinutým okresom, a to s ohľadom na jeho lepšiu adresnosť a transparentnosť. Oproti predchádzajúcej právnej úprave sa zavádza ďaleko širší okruh subjektov, vrátane expertnej zložky, pre transparentnejšie a účelnejšie nakladanie s verejnými financiami pre pomoc zaostávajúcim regiónom Slovenskej republiky. Rovnako sa navrhuje ďaleko špecifickejšia forma plánovania aktivít pre pomoc najmenej rozvinutých okresov.</w:t>
            </w:r>
          </w:p>
        </w:tc>
      </w:tr>
      <w:tr w:rsidR="007E1CA3" w:rsidRPr="001E4B49" w14:paraId="03589BAD" w14:textId="77777777" w:rsidTr="001E4B49">
        <w:tc>
          <w:tcPr>
            <w:tcW w:w="9180" w:type="dxa"/>
            <w:gridSpan w:val="10"/>
            <w:tcBorders>
              <w:top w:val="single" w:sz="4" w:space="0" w:color="auto"/>
              <w:left w:val="single" w:sz="4" w:space="0" w:color="auto"/>
              <w:bottom w:val="nil"/>
              <w:right w:val="single" w:sz="4" w:space="0" w:color="auto"/>
            </w:tcBorders>
            <w:shd w:val="clear" w:color="auto" w:fill="E2E2E2"/>
          </w:tcPr>
          <w:p w14:paraId="795D176D"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Dotknuté subjekty</w:t>
            </w:r>
          </w:p>
        </w:tc>
      </w:tr>
      <w:tr w:rsidR="007E1CA3" w:rsidRPr="001E4B49" w14:paraId="6163F188" w14:textId="77777777" w:rsidTr="001E4B49">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7958DEB0" w14:textId="77777777" w:rsidR="007E1CA3" w:rsidRPr="001E4B49" w:rsidRDefault="007E1CA3" w:rsidP="001E4B49">
            <w:pPr>
              <w:jc w:val="both"/>
              <w:rPr>
                <w:rFonts w:ascii="Times New Roman" w:hAnsi="Times New Roman" w:cs="Times New Roman"/>
                <w:i/>
                <w:szCs w:val="22"/>
              </w:rPr>
            </w:pPr>
            <w:r w:rsidRPr="001E4B49">
              <w:rPr>
                <w:rFonts w:ascii="Times New Roman" w:hAnsi="Times New Roman" w:cs="Times New Roman"/>
                <w:szCs w:val="22"/>
              </w:rPr>
              <w:t xml:space="preserve">Štátne orgány, orgány územnej samosprávy, fyzické osoby </w:t>
            </w:r>
            <w:r w:rsidRPr="001E4B49">
              <w:rPr>
                <w:rFonts w:ascii="Times New Roman" w:hAnsi="Times New Roman" w:cs="Times New Roman"/>
                <w:sz w:val="24"/>
              </w:rPr>
              <w:t>–</w:t>
            </w:r>
            <w:r w:rsidRPr="001E4B49">
              <w:rPr>
                <w:rFonts w:ascii="Times New Roman" w:hAnsi="Times New Roman" w:cs="Times New Roman"/>
                <w:szCs w:val="22"/>
              </w:rPr>
              <w:t xml:space="preserve"> podnikatelia, právnické osoby, t. j. subjekty podľa zákona č. 336/2015 Z. z. o podpore najmenej rozvinutých okresov a o zmene a doplnení niektorých zákonov v znení neskorších predpisov. </w:t>
            </w:r>
          </w:p>
        </w:tc>
      </w:tr>
      <w:tr w:rsidR="007E1CA3" w:rsidRPr="001E4B49" w14:paraId="791E3334" w14:textId="77777777" w:rsidTr="001E4B49">
        <w:tc>
          <w:tcPr>
            <w:tcW w:w="9180" w:type="dxa"/>
            <w:gridSpan w:val="10"/>
            <w:tcBorders>
              <w:top w:val="single" w:sz="4" w:space="0" w:color="auto"/>
              <w:left w:val="single" w:sz="4" w:space="0" w:color="auto"/>
              <w:bottom w:val="nil"/>
              <w:right w:val="single" w:sz="4" w:space="0" w:color="auto"/>
            </w:tcBorders>
            <w:shd w:val="clear" w:color="auto" w:fill="E2E2E2"/>
          </w:tcPr>
          <w:p w14:paraId="5235E850"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Alternatívne riešenia</w:t>
            </w:r>
          </w:p>
        </w:tc>
      </w:tr>
      <w:tr w:rsidR="007E1CA3" w:rsidRPr="001E4B49" w14:paraId="061914F0" w14:textId="77777777" w:rsidTr="001E4B49">
        <w:trPr>
          <w:trHeight w:val="554"/>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169F528C" w14:textId="77777777" w:rsidR="007E1CA3" w:rsidRPr="001E4B49" w:rsidRDefault="007E1CA3" w:rsidP="001E4B49">
            <w:pPr>
              <w:rPr>
                <w:rFonts w:ascii="Times New Roman" w:hAnsi="Times New Roman" w:cs="Times New Roman"/>
                <w:i/>
                <w:szCs w:val="22"/>
              </w:rPr>
            </w:pPr>
            <w:r w:rsidRPr="001E4B49">
              <w:rPr>
                <w:rFonts w:ascii="Times New Roman" w:hAnsi="Times New Roman" w:cs="Times New Roman"/>
                <w:i/>
                <w:szCs w:val="22"/>
              </w:rPr>
              <w:t>Nulový variant</w:t>
            </w:r>
          </w:p>
          <w:p w14:paraId="792E73B0" w14:textId="77777777" w:rsidR="007E1CA3" w:rsidRPr="001E4B49" w:rsidRDefault="007E1CA3" w:rsidP="001E4B49">
            <w:pPr>
              <w:jc w:val="both"/>
              <w:rPr>
                <w:rFonts w:ascii="Times New Roman" w:hAnsi="Times New Roman" w:cs="Times New Roman"/>
                <w:szCs w:val="22"/>
              </w:rPr>
            </w:pPr>
            <w:r w:rsidRPr="001E4B49">
              <w:rPr>
                <w:rFonts w:ascii="Times New Roman" w:hAnsi="Times New Roman" w:cs="Times New Roman"/>
                <w:szCs w:val="22"/>
              </w:rPr>
              <w:t xml:space="preserve">Administratívna náročnosť procesov a pomalé čerpanie finančných prostriedkov zabraňuje rozvojovému potenciálu  najmenej rozvinutých okresov. </w:t>
            </w:r>
          </w:p>
        </w:tc>
      </w:tr>
      <w:tr w:rsidR="007E1CA3" w:rsidRPr="001E4B49" w14:paraId="6C7F58B5" w14:textId="77777777" w:rsidTr="001E4B4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0B44E12E"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Vykonávacie predpisy</w:t>
            </w:r>
          </w:p>
        </w:tc>
      </w:tr>
      <w:tr w:rsidR="007E1CA3" w:rsidRPr="001E4B49" w14:paraId="535FFEFD" w14:textId="77777777" w:rsidTr="001E4B49">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6C7AFE07"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4570507F" w14:textId="77777777" w:rsidR="007E1CA3" w:rsidRPr="001E4B49" w:rsidRDefault="007E2EDF" w:rsidP="001E4B49">
            <w:pPr>
              <w:jc w:val="center"/>
              <w:rPr>
                <w:rFonts w:ascii="Times New Roman" w:hAnsi="Times New Roman" w:cs="Times New Roman"/>
              </w:rPr>
            </w:pPr>
            <w:sdt>
              <w:sdtPr>
                <w:id w:val="-1407611648"/>
                <w14:checkbox>
                  <w14:checked w14:val="0"/>
                  <w14:checkedState w14:val="2612" w14:font="MS Gothic"/>
                  <w14:uncheckedState w14:val="2610" w14:font="MS Gothic"/>
                </w14:checkbox>
              </w:sdtPr>
              <w:sdtEndPr/>
              <w:sdtContent>
                <w:r w:rsidR="007E1CA3" w:rsidRPr="001E4B49">
                  <w:rPr>
                    <w:rFonts w:ascii="Segoe UI Symbol" w:eastAsia="MS Gothic" w:hAnsi="Segoe UI Symbol" w:cs="Segoe UI Symbol"/>
                  </w:rPr>
                  <w:t>☐</w:t>
                </w:r>
              </w:sdtContent>
            </w:sdt>
            <w:r w:rsidR="007E1CA3" w:rsidRPr="001E4B49">
              <w:rPr>
                <w:rFonts w:ascii="Times New Roman" w:hAnsi="Times New Roman" w:cs="Times New Roman"/>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00CCFF04" w14:textId="77777777" w:rsidR="007E1CA3" w:rsidRPr="001E4B49" w:rsidRDefault="007E2EDF" w:rsidP="001E4B49">
            <w:pPr>
              <w:jc w:val="center"/>
              <w:rPr>
                <w:rFonts w:ascii="Times New Roman" w:hAnsi="Times New Roman" w:cs="Times New Roman"/>
              </w:rPr>
            </w:pPr>
            <w:sdt>
              <w:sdtPr>
                <w:id w:val="-1625842802"/>
                <w14:checkbox>
                  <w14:checked w14:val="1"/>
                  <w14:checkedState w14:val="2612" w14:font="MS Gothic"/>
                  <w14:uncheckedState w14:val="2610" w14:font="MS Gothic"/>
                </w14:checkbox>
              </w:sdtPr>
              <w:sdtEndPr/>
              <w:sdtContent>
                <w:r w:rsidR="007E1CA3" w:rsidRPr="001E4B49">
                  <w:rPr>
                    <w:rFonts w:ascii="Segoe UI Symbol" w:eastAsia="MS Gothic" w:hAnsi="Segoe UI Symbol" w:cs="Segoe UI Symbol"/>
                  </w:rPr>
                  <w:t>☒</w:t>
                </w:r>
              </w:sdtContent>
            </w:sdt>
            <w:r w:rsidR="007E1CA3" w:rsidRPr="001E4B49">
              <w:rPr>
                <w:rFonts w:ascii="Times New Roman" w:hAnsi="Times New Roman" w:cs="Times New Roman"/>
              </w:rPr>
              <w:t xml:space="preserve">  Nie</w:t>
            </w:r>
          </w:p>
        </w:tc>
      </w:tr>
      <w:tr w:rsidR="007E1CA3" w:rsidRPr="001E4B49" w14:paraId="5E25D43A" w14:textId="77777777" w:rsidTr="001E4B49">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24C61524" w14:textId="77777777" w:rsidR="007E1CA3" w:rsidRPr="001E4B49" w:rsidRDefault="007E1CA3" w:rsidP="001E4B49">
            <w:pPr>
              <w:rPr>
                <w:rFonts w:ascii="Times New Roman" w:hAnsi="Times New Roman" w:cs="Times New Roman"/>
              </w:rPr>
            </w:pPr>
          </w:p>
        </w:tc>
      </w:tr>
      <w:tr w:rsidR="007E1CA3" w:rsidRPr="001E4B49" w14:paraId="2C4E5472" w14:textId="77777777" w:rsidTr="001E4B4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6C4BA037"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 xml:space="preserve">Transpozícia práva EÚ </w:t>
            </w:r>
          </w:p>
        </w:tc>
      </w:tr>
      <w:tr w:rsidR="007E1CA3" w:rsidRPr="001E4B49" w14:paraId="2B374CDD" w14:textId="77777777" w:rsidTr="001E4B49">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14:paraId="540A53A2"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N/A</w:t>
            </w:r>
          </w:p>
        </w:tc>
      </w:tr>
      <w:tr w:rsidR="007E1CA3" w:rsidRPr="001E4B49" w14:paraId="3F330E4D" w14:textId="77777777" w:rsidTr="001E4B49">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038C7A0E" w14:textId="77777777" w:rsidR="007E1CA3" w:rsidRPr="001E4B49" w:rsidRDefault="007E1CA3" w:rsidP="001E4B49">
            <w:pPr>
              <w:rPr>
                <w:rFonts w:ascii="Times New Roman" w:hAnsi="Times New Roman" w:cs="Times New Roman"/>
              </w:rPr>
            </w:pPr>
          </w:p>
        </w:tc>
      </w:tr>
      <w:tr w:rsidR="007E1CA3" w:rsidRPr="001E4B49" w14:paraId="564819A9" w14:textId="77777777" w:rsidTr="001E4B4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24B8880D"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Preskúmanie účelnosti**</w:t>
            </w:r>
          </w:p>
        </w:tc>
      </w:tr>
      <w:tr w:rsidR="007E1CA3" w:rsidRPr="001E4B49" w14:paraId="6152499E" w14:textId="77777777" w:rsidTr="001E4B49">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70D586A"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N/A</w:t>
            </w:r>
          </w:p>
          <w:p w14:paraId="4605A330" w14:textId="77777777" w:rsidR="007E1CA3" w:rsidRPr="001E4B49" w:rsidRDefault="007E1CA3" w:rsidP="001E4B49">
            <w:pPr>
              <w:rPr>
                <w:rFonts w:ascii="Times New Roman" w:hAnsi="Times New Roman" w:cs="Times New Roman"/>
              </w:rPr>
            </w:pPr>
          </w:p>
        </w:tc>
      </w:tr>
      <w:tr w:rsidR="007E1CA3" w:rsidRPr="001E4B49" w14:paraId="384BB2DC" w14:textId="77777777" w:rsidTr="001E4B49">
        <w:trPr>
          <w:trHeight w:val="715"/>
        </w:trPr>
        <w:tc>
          <w:tcPr>
            <w:tcW w:w="9180" w:type="dxa"/>
            <w:gridSpan w:val="10"/>
            <w:tcBorders>
              <w:top w:val="single" w:sz="4" w:space="0" w:color="auto"/>
              <w:left w:val="nil"/>
              <w:bottom w:val="nil"/>
              <w:right w:val="nil"/>
            </w:tcBorders>
            <w:shd w:val="clear" w:color="auto" w:fill="FFFFFF" w:themeFill="background1"/>
          </w:tcPr>
          <w:p w14:paraId="2CDF22CB" w14:textId="77777777" w:rsidR="007E1CA3" w:rsidRPr="001E4B49" w:rsidRDefault="007E1CA3" w:rsidP="001E4B49">
            <w:pPr>
              <w:ind w:left="142" w:hanging="142"/>
              <w:rPr>
                <w:rFonts w:ascii="Times New Roman" w:hAnsi="Times New Roman" w:cs="Times New Roman"/>
              </w:rPr>
            </w:pPr>
            <w:r w:rsidRPr="001E4B49">
              <w:rPr>
                <w:rFonts w:ascii="Times New Roman" w:hAnsi="Times New Roman" w:cs="Times New Roman"/>
              </w:rPr>
              <w:t xml:space="preserve">* vyplniť iba v prípade, ak materiál nie je zahrnutý do Plánu práce vlády Slovenskej republiky alebo Plánu        legislatívnych úloh vlády Slovenskej republiky. </w:t>
            </w:r>
          </w:p>
          <w:p w14:paraId="07468AE9"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 nepovinné</w:t>
            </w:r>
          </w:p>
        </w:tc>
      </w:tr>
      <w:tr w:rsidR="007E1CA3" w:rsidRPr="001E4B49" w14:paraId="29971191" w14:textId="77777777" w:rsidTr="001E4B49">
        <w:tc>
          <w:tcPr>
            <w:tcW w:w="9180" w:type="dxa"/>
            <w:gridSpan w:val="10"/>
            <w:tcBorders>
              <w:top w:val="nil"/>
              <w:left w:val="nil"/>
              <w:bottom w:val="single" w:sz="4" w:space="0" w:color="auto"/>
              <w:right w:val="nil"/>
            </w:tcBorders>
            <w:shd w:val="clear" w:color="auto" w:fill="FFFFFF" w:themeFill="background1"/>
          </w:tcPr>
          <w:p w14:paraId="4B196DD3" w14:textId="77777777" w:rsidR="007E1CA3" w:rsidRPr="001E4B49" w:rsidRDefault="007E1CA3" w:rsidP="001E4B49">
            <w:pPr>
              <w:rPr>
                <w:rFonts w:ascii="Times New Roman" w:hAnsi="Times New Roman" w:cs="Times New Roman"/>
                <w:b/>
              </w:rPr>
            </w:pPr>
          </w:p>
        </w:tc>
      </w:tr>
      <w:tr w:rsidR="007E1CA3" w:rsidRPr="001E4B49" w14:paraId="76A3B8B1" w14:textId="77777777" w:rsidTr="001E4B49">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2389C051"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Vplyvy navrhovaného materiálu</w:t>
            </w:r>
          </w:p>
        </w:tc>
      </w:tr>
      <w:tr w:rsidR="007E1CA3" w:rsidRPr="001E4B49" w14:paraId="61C7115D" w14:textId="77777777" w:rsidTr="001E4B49">
        <w:tc>
          <w:tcPr>
            <w:tcW w:w="3812" w:type="dxa"/>
            <w:tcBorders>
              <w:top w:val="single" w:sz="4" w:space="0" w:color="auto"/>
              <w:left w:val="single" w:sz="4" w:space="0" w:color="auto"/>
              <w:bottom w:val="nil"/>
              <w:right w:val="single" w:sz="4" w:space="0" w:color="auto"/>
            </w:tcBorders>
            <w:shd w:val="clear" w:color="auto" w:fill="E2E2E2"/>
          </w:tcPr>
          <w:p w14:paraId="01F15345"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Vplyvy na rozpočet verejnej správy</w:t>
            </w:r>
          </w:p>
        </w:tc>
        <w:sdt>
          <w:sdtPr>
            <w:rPr>
              <w:b/>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2142003"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791CD16E"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619B5E99"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2088F451"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1118E02" w14:textId="77777777" w:rsidR="007E1CA3" w:rsidRPr="001E4B49" w:rsidRDefault="007E1CA3" w:rsidP="001E4B49">
                <w:pPr>
                  <w:ind w:left="-107" w:right="-108"/>
                  <w:jc w:val="center"/>
                  <w:rPr>
                    <w:rFonts w:ascii="Times New Roman" w:hAnsi="Times New Roman" w:cs="Times New Roman"/>
                    <w:b/>
                  </w:rPr>
                </w:pPr>
                <w:r w:rsidRPr="001E4B49">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5981C09C" w14:textId="77777777" w:rsidR="007E1CA3" w:rsidRPr="001E4B49" w:rsidRDefault="007E1CA3" w:rsidP="001E4B49">
            <w:pPr>
              <w:ind w:left="34"/>
              <w:rPr>
                <w:rFonts w:ascii="Times New Roman" w:hAnsi="Times New Roman" w:cs="Times New Roman"/>
                <w:b/>
              </w:rPr>
            </w:pPr>
            <w:r w:rsidRPr="001E4B49">
              <w:rPr>
                <w:rFonts w:ascii="Times New Roman" w:hAnsi="Times New Roman" w:cs="Times New Roman"/>
                <w:b/>
              </w:rPr>
              <w:t>Negatívne</w:t>
            </w:r>
          </w:p>
        </w:tc>
      </w:tr>
      <w:tr w:rsidR="007E1CA3" w:rsidRPr="001E4B49" w14:paraId="4AC5A126" w14:textId="77777777" w:rsidTr="001E4B49">
        <w:tc>
          <w:tcPr>
            <w:tcW w:w="3812" w:type="dxa"/>
            <w:tcBorders>
              <w:top w:val="nil"/>
              <w:left w:val="single" w:sz="4" w:space="0" w:color="auto"/>
              <w:bottom w:val="single" w:sz="4" w:space="0" w:color="000000" w:themeColor="text1"/>
              <w:right w:val="single" w:sz="4" w:space="0" w:color="auto"/>
            </w:tcBorders>
            <w:shd w:val="clear" w:color="auto" w:fill="E2E2E2"/>
          </w:tcPr>
          <w:p w14:paraId="2CF1FDD2"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AA31D61" w14:textId="77777777" w:rsidR="007E1CA3" w:rsidRPr="001E4B49" w:rsidRDefault="007E1CA3" w:rsidP="001E4B49">
                <w:pPr>
                  <w:jc w:val="center"/>
                  <w:rPr>
                    <w:rFonts w:ascii="Times New Roman" w:hAnsi="Times New Roman" w:cs="Times New Roman"/>
                  </w:rPr>
                </w:pPr>
                <w:r w:rsidRPr="001E4B49">
                  <w:rPr>
                    <w:rFonts w:ascii="Segoe UI Symbol" w:eastAsia="MS Gothic" w:hAnsi="Segoe UI Symbol" w:cs="Segoe UI Symbol"/>
                  </w:rPr>
                  <w:t>☐</w:t>
                </w:r>
              </w:p>
            </w:tc>
          </w:sdtContent>
        </w:sdt>
        <w:tc>
          <w:tcPr>
            <w:tcW w:w="1281" w:type="dxa"/>
            <w:gridSpan w:val="2"/>
            <w:tcBorders>
              <w:top w:val="single" w:sz="4" w:space="0" w:color="auto"/>
              <w:left w:val="nil"/>
              <w:bottom w:val="single" w:sz="4" w:space="0" w:color="auto"/>
              <w:right w:val="nil"/>
            </w:tcBorders>
          </w:tcPr>
          <w:p w14:paraId="3EAB0601"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2122031" w14:textId="77777777" w:rsidR="007E1CA3" w:rsidRPr="001E4B49" w:rsidRDefault="007E1CA3" w:rsidP="001E4B49">
                <w:pPr>
                  <w:jc w:val="center"/>
                  <w:rPr>
                    <w:rFonts w:ascii="Times New Roman" w:hAnsi="Times New Roman" w:cs="Times New Roman"/>
                  </w:rPr>
                </w:pPr>
                <w:r w:rsidRPr="001E4B49">
                  <w:rPr>
                    <w:rFonts w:ascii="Segoe UI Symbol" w:eastAsia="MS Gothic" w:hAnsi="Segoe UI Symbol" w:cs="Segoe UI Symbol"/>
                  </w:rPr>
                  <w:t>☐</w:t>
                </w:r>
              </w:p>
            </w:tc>
          </w:sdtContent>
        </w:sdt>
        <w:tc>
          <w:tcPr>
            <w:tcW w:w="1133" w:type="dxa"/>
            <w:tcBorders>
              <w:top w:val="single" w:sz="4" w:space="0" w:color="auto"/>
              <w:left w:val="nil"/>
              <w:bottom w:val="single" w:sz="4" w:space="0" w:color="auto"/>
              <w:right w:val="nil"/>
            </w:tcBorders>
          </w:tcPr>
          <w:p w14:paraId="4C69CABF"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Nie</w:t>
            </w:r>
          </w:p>
        </w:tc>
        <w:sdt>
          <w:sdtPr>
            <w:id w:val="361940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193DE27" w14:textId="77777777" w:rsidR="007E1CA3" w:rsidRPr="001E4B49" w:rsidRDefault="007E1CA3" w:rsidP="001E4B49">
                <w:pPr>
                  <w:ind w:left="-107" w:right="-108"/>
                  <w:jc w:val="center"/>
                  <w:rPr>
                    <w:rFonts w:ascii="Times New Roman" w:hAnsi="Times New Roman" w:cs="Times New Roman"/>
                  </w:rPr>
                </w:pPr>
                <w:r w:rsidRPr="001E4B49">
                  <w:rPr>
                    <w:rFonts w:ascii="Segoe UI Symbol" w:eastAsia="MS Gothic"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14:paraId="70BE2CB2" w14:textId="77777777" w:rsidR="007E1CA3" w:rsidRPr="001E4B49" w:rsidRDefault="007E1CA3" w:rsidP="001E4B49">
            <w:pPr>
              <w:ind w:left="34"/>
              <w:rPr>
                <w:rFonts w:ascii="Times New Roman" w:hAnsi="Times New Roman" w:cs="Times New Roman"/>
              </w:rPr>
            </w:pPr>
            <w:r w:rsidRPr="001E4B49">
              <w:rPr>
                <w:rFonts w:ascii="Times New Roman" w:hAnsi="Times New Roman" w:cs="Times New Roman"/>
              </w:rPr>
              <w:t>Čiastočne</w:t>
            </w:r>
          </w:p>
        </w:tc>
      </w:tr>
      <w:tr w:rsidR="007E1CA3" w:rsidRPr="001E4B49" w14:paraId="0E8FFA71" w14:textId="77777777" w:rsidTr="001E4B49">
        <w:tc>
          <w:tcPr>
            <w:tcW w:w="3812" w:type="dxa"/>
            <w:tcBorders>
              <w:top w:val="single" w:sz="4" w:space="0" w:color="000000" w:themeColor="text1"/>
              <w:left w:val="single" w:sz="4" w:space="0" w:color="auto"/>
              <w:bottom w:val="nil"/>
              <w:right w:val="single" w:sz="4" w:space="0" w:color="auto"/>
            </w:tcBorders>
            <w:shd w:val="clear" w:color="auto" w:fill="E2E2E2"/>
          </w:tcPr>
          <w:p w14:paraId="1AC40BA5"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Vplyvy na podnikateľské prostredie</w:t>
            </w:r>
          </w:p>
        </w:tc>
        <w:sdt>
          <w:sdtPr>
            <w:rPr>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DFF6E70"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7B3CB30C" w14:textId="77777777" w:rsidR="007E1CA3" w:rsidRPr="001E4B49" w:rsidRDefault="007E1CA3" w:rsidP="001E4B49">
            <w:pPr>
              <w:ind w:right="-108"/>
              <w:rPr>
                <w:rFonts w:ascii="Times New Roman" w:hAnsi="Times New Roman" w:cs="Times New Roman"/>
                <w:b/>
              </w:rPr>
            </w:pPr>
            <w:r w:rsidRPr="001E4B49">
              <w:rPr>
                <w:rFonts w:ascii="Times New Roman" w:hAnsi="Times New Roman" w:cs="Times New Roman"/>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62ADD702"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421E471C"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E9ADFC8" w14:textId="77777777" w:rsidR="007E1CA3" w:rsidRPr="001E4B49" w:rsidRDefault="007E1CA3" w:rsidP="001E4B49">
                <w:pPr>
                  <w:jc w:val="center"/>
                  <w:rPr>
                    <w:rFonts w:ascii="Times New Roman" w:hAnsi="Times New Roman" w:cs="Times New Roman"/>
                    <w:b/>
                  </w:rPr>
                </w:pPr>
                <w:r w:rsidRPr="001E4B49">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3687B0A2" w14:textId="77777777" w:rsidR="007E1CA3" w:rsidRPr="001E4B49" w:rsidRDefault="007E1CA3" w:rsidP="001E4B49">
            <w:pPr>
              <w:ind w:left="54"/>
              <w:rPr>
                <w:rFonts w:ascii="Times New Roman" w:hAnsi="Times New Roman" w:cs="Times New Roman"/>
                <w:b/>
              </w:rPr>
            </w:pPr>
            <w:r w:rsidRPr="001E4B49">
              <w:rPr>
                <w:rFonts w:ascii="Times New Roman" w:hAnsi="Times New Roman" w:cs="Times New Roman"/>
                <w:b/>
              </w:rPr>
              <w:t>Negatívne</w:t>
            </w:r>
          </w:p>
        </w:tc>
      </w:tr>
      <w:tr w:rsidR="007E1CA3" w:rsidRPr="001E4B49" w14:paraId="1D7D01CA" w14:textId="77777777" w:rsidTr="001E4B49">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44876E62"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 xml:space="preserve">    z toho vplyvy na MSP</w:t>
            </w:r>
          </w:p>
        </w:tc>
        <w:sdt>
          <w:sdt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14:paraId="1AA27B52" w14:textId="77777777" w:rsidR="007E1CA3" w:rsidRPr="001E4B49" w:rsidRDefault="007E1CA3" w:rsidP="001E4B49">
                <w:pPr>
                  <w:jc w:val="center"/>
                  <w:rPr>
                    <w:rFonts w:ascii="Times New Roman" w:hAnsi="Times New Roman" w:cs="Times New Roman"/>
                  </w:rPr>
                </w:pPr>
                <w:r w:rsidRPr="001E4B49">
                  <w:rPr>
                    <w:rFonts w:ascii="Segoe UI Symbol" w:eastAsia="MS Gothic" w:hAnsi="Segoe UI Symbol" w:cs="Segoe UI Symbol"/>
                  </w:rPr>
                  <w:t>☒</w:t>
                </w:r>
              </w:p>
            </w:tc>
          </w:sdtContent>
        </w:sdt>
        <w:tc>
          <w:tcPr>
            <w:tcW w:w="1281" w:type="dxa"/>
            <w:gridSpan w:val="2"/>
            <w:tcBorders>
              <w:top w:val="single" w:sz="4" w:space="0" w:color="auto"/>
              <w:left w:val="nil"/>
              <w:bottom w:val="single" w:sz="4" w:space="0" w:color="auto"/>
              <w:right w:val="nil"/>
            </w:tcBorders>
          </w:tcPr>
          <w:p w14:paraId="6661CAD5" w14:textId="77777777" w:rsidR="007E1CA3" w:rsidRPr="001E4B49" w:rsidRDefault="007E1CA3" w:rsidP="001E4B49">
            <w:pPr>
              <w:ind w:right="-108"/>
              <w:rPr>
                <w:rFonts w:ascii="Times New Roman" w:hAnsi="Times New Roman" w:cs="Times New Roman"/>
              </w:rPr>
            </w:pPr>
            <w:r w:rsidRPr="001E4B49">
              <w:rPr>
                <w:rFonts w:ascii="Times New Roman" w:hAnsi="Times New Roman" w:cs="Times New Roman"/>
              </w:rPr>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50AF499C" w14:textId="77777777" w:rsidR="007E1CA3" w:rsidRPr="001E4B49" w:rsidRDefault="007E1CA3" w:rsidP="001E4B49">
                <w:pPr>
                  <w:jc w:val="center"/>
                  <w:rPr>
                    <w:rFonts w:ascii="Times New Roman" w:hAnsi="Times New Roman" w:cs="Times New Roman"/>
                  </w:rPr>
                </w:pPr>
                <w:r w:rsidRPr="001E4B49">
                  <w:rPr>
                    <w:rFonts w:ascii="Segoe UI Symbol" w:eastAsia="MS Gothic" w:hAnsi="Segoe UI Symbol" w:cs="Segoe UI Symbol"/>
                  </w:rPr>
                  <w:t>☐</w:t>
                </w:r>
              </w:p>
            </w:tc>
          </w:sdtContent>
        </w:sdt>
        <w:tc>
          <w:tcPr>
            <w:tcW w:w="1133" w:type="dxa"/>
            <w:tcBorders>
              <w:top w:val="single" w:sz="4" w:space="0" w:color="auto"/>
              <w:left w:val="nil"/>
              <w:bottom w:val="single" w:sz="4" w:space="0" w:color="auto"/>
              <w:right w:val="nil"/>
            </w:tcBorders>
          </w:tcPr>
          <w:p w14:paraId="6FA7C5A7"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2568BA9" w14:textId="77777777" w:rsidR="007E1CA3" w:rsidRPr="001E4B49" w:rsidRDefault="007E1CA3" w:rsidP="001E4B49">
                <w:pPr>
                  <w:jc w:val="center"/>
                  <w:rPr>
                    <w:rFonts w:ascii="Times New Roman" w:hAnsi="Times New Roman" w:cs="Times New Roman"/>
                  </w:rPr>
                </w:pPr>
                <w:r w:rsidRPr="001E4B49">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14:paraId="1D388CC4" w14:textId="77777777" w:rsidR="007E1CA3" w:rsidRPr="001E4B49" w:rsidRDefault="007E1CA3" w:rsidP="001E4B49">
            <w:pPr>
              <w:ind w:left="54"/>
              <w:rPr>
                <w:rFonts w:ascii="Times New Roman" w:hAnsi="Times New Roman" w:cs="Times New Roman"/>
              </w:rPr>
            </w:pPr>
            <w:r w:rsidRPr="001E4B49">
              <w:rPr>
                <w:rFonts w:ascii="Times New Roman" w:hAnsi="Times New Roman" w:cs="Times New Roman"/>
              </w:rPr>
              <w:t>Negatívne</w:t>
            </w:r>
          </w:p>
        </w:tc>
      </w:tr>
      <w:tr w:rsidR="007E1CA3" w:rsidRPr="001E4B49" w14:paraId="3406964D" w14:textId="77777777" w:rsidTr="001E4B49">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5FBA59E7"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Sociálne vplyvy</w:t>
            </w:r>
          </w:p>
        </w:tc>
        <w:sdt>
          <w:sdtPr>
            <w:rPr>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B17E39D"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2E83B8B5" w14:textId="77777777" w:rsidR="007E1CA3" w:rsidRPr="001E4B49" w:rsidRDefault="007E1CA3" w:rsidP="001E4B49">
            <w:pPr>
              <w:ind w:right="-108"/>
              <w:rPr>
                <w:rFonts w:ascii="Times New Roman" w:hAnsi="Times New Roman" w:cs="Times New Roman"/>
                <w:b/>
              </w:rPr>
            </w:pPr>
            <w:r w:rsidRPr="001E4B49">
              <w:rPr>
                <w:rFonts w:ascii="Times New Roman" w:hAnsi="Times New Roman" w:cs="Times New Roman"/>
                <w:b/>
              </w:rPr>
              <w:t>Pozitívne</w:t>
            </w:r>
          </w:p>
        </w:tc>
        <w:sdt>
          <w:sdtPr>
            <w:rPr>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0E51B3DA"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6F6D593B"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1051EA0" w14:textId="77777777" w:rsidR="007E1CA3" w:rsidRPr="001E4B49" w:rsidRDefault="007E1CA3" w:rsidP="001E4B49">
                <w:pPr>
                  <w:jc w:val="center"/>
                  <w:rPr>
                    <w:rFonts w:ascii="Times New Roman" w:hAnsi="Times New Roman" w:cs="Times New Roman"/>
                    <w:b/>
                  </w:rPr>
                </w:pPr>
                <w:r w:rsidRPr="001E4B49">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4C74B312" w14:textId="77777777" w:rsidR="007E1CA3" w:rsidRPr="001E4B49" w:rsidRDefault="007E1CA3" w:rsidP="001E4B49">
            <w:pPr>
              <w:ind w:left="54"/>
              <w:rPr>
                <w:rFonts w:ascii="Times New Roman" w:hAnsi="Times New Roman" w:cs="Times New Roman"/>
                <w:b/>
              </w:rPr>
            </w:pPr>
            <w:r w:rsidRPr="001E4B49">
              <w:rPr>
                <w:rFonts w:ascii="Times New Roman" w:hAnsi="Times New Roman" w:cs="Times New Roman"/>
                <w:b/>
              </w:rPr>
              <w:t>Negatívne</w:t>
            </w:r>
          </w:p>
        </w:tc>
      </w:tr>
      <w:tr w:rsidR="007E1CA3" w:rsidRPr="001E4B49" w14:paraId="22D84AFB" w14:textId="77777777" w:rsidTr="001E4B49">
        <w:tc>
          <w:tcPr>
            <w:tcW w:w="3812" w:type="dxa"/>
            <w:tcBorders>
              <w:top w:val="single" w:sz="4" w:space="0" w:color="auto"/>
              <w:left w:val="single" w:sz="4" w:space="0" w:color="auto"/>
              <w:bottom w:val="single" w:sz="4" w:space="0" w:color="auto"/>
              <w:right w:val="single" w:sz="4" w:space="0" w:color="auto"/>
            </w:tcBorders>
            <w:shd w:val="clear" w:color="auto" w:fill="E2E2E2"/>
          </w:tcPr>
          <w:p w14:paraId="7BC0DCDD"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0E602C5"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03051C68" w14:textId="77777777" w:rsidR="007E1CA3" w:rsidRPr="001E4B49" w:rsidRDefault="007E1CA3" w:rsidP="001E4B49">
            <w:pPr>
              <w:ind w:right="-108"/>
              <w:rPr>
                <w:rFonts w:ascii="Times New Roman" w:hAnsi="Times New Roman" w:cs="Times New Roman"/>
                <w:b/>
              </w:rPr>
            </w:pPr>
            <w:r w:rsidRPr="001E4B49">
              <w:rPr>
                <w:rFonts w:ascii="Times New Roman" w:hAnsi="Times New Roman" w:cs="Times New Roman"/>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761F7747"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302FD329"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5C499BF"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524B03A9" w14:textId="77777777" w:rsidR="007E1CA3" w:rsidRPr="001E4B49" w:rsidRDefault="007E1CA3" w:rsidP="001E4B49">
            <w:pPr>
              <w:ind w:left="54"/>
              <w:rPr>
                <w:rFonts w:ascii="Times New Roman" w:hAnsi="Times New Roman" w:cs="Times New Roman"/>
                <w:b/>
              </w:rPr>
            </w:pPr>
            <w:r w:rsidRPr="001E4B49">
              <w:rPr>
                <w:rFonts w:ascii="Times New Roman" w:hAnsi="Times New Roman" w:cs="Times New Roman"/>
                <w:b/>
              </w:rPr>
              <w:t>Negatívne</w:t>
            </w:r>
          </w:p>
        </w:tc>
      </w:tr>
      <w:tr w:rsidR="007E1CA3" w:rsidRPr="001E4B49" w14:paraId="5F252EF7" w14:textId="77777777" w:rsidTr="001E4B49">
        <w:tc>
          <w:tcPr>
            <w:tcW w:w="3812" w:type="dxa"/>
            <w:tcBorders>
              <w:top w:val="single" w:sz="4" w:space="0" w:color="auto"/>
              <w:left w:val="single" w:sz="4" w:space="0" w:color="auto"/>
              <w:bottom w:val="single" w:sz="4" w:space="0" w:color="auto"/>
              <w:right w:val="single" w:sz="4" w:space="0" w:color="auto"/>
            </w:tcBorders>
            <w:shd w:val="clear" w:color="auto" w:fill="E2E2E2"/>
          </w:tcPr>
          <w:p w14:paraId="5EC137D4"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587A625"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2FFDA306" w14:textId="77777777" w:rsidR="007E1CA3" w:rsidRPr="001E4B49" w:rsidRDefault="007E1CA3" w:rsidP="001E4B49">
            <w:pPr>
              <w:ind w:right="-108"/>
              <w:rPr>
                <w:rFonts w:ascii="Times New Roman" w:hAnsi="Times New Roman" w:cs="Times New Roman"/>
                <w:b/>
              </w:rPr>
            </w:pPr>
            <w:r w:rsidRPr="001E4B49">
              <w:rPr>
                <w:rFonts w:ascii="Times New Roman" w:hAnsi="Times New Roman" w:cs="Times New Roman"/>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063DEE5" w14:textId="77777777" w:rsidR="007E1CA3" w:rsidRPr="001E4B49" w:rsidRDefault="007E1CA3" w:rsidP="001E4B49">
                <w:pPr>
                  <w:jc w:val="center"/>
                  <w:rPr>
                    <w:rFonts w:ascii="Times New Roman" w:hAnsi="Times New Roman" w:cs="Times New Roman"/>
                    <w:b/>
                  </w:rPr>
                </w:pPr>
                <w:r w:rsidRPr="001E4B49">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026AB623" w14:textId="77777777" w:rsidR="007E1CA3" w:rsidRPr="001E4B49" w:rsidRDefault="007E1CA3" w:rsidP="001E4B49">
            <w:pPr>
              <w:rPr>
                <w:rFonts w:ascii="Times New Roman" w:hAnsi="Times New Roman" w:cs="Times New Roman"/>
                <w:b/>
              </w:rPr>
            </w:pPr>
            <w:r w:rsidRPr="001E4B49">
              <w:rPr>
                <w:rFonts w:ascii="Times New Roman" w:hAnsi="Times New Roman" w:cs="Times New Roman"/>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2DA0001" w14:textId="77777777" w:rsidR="007E1CA3" w:rsidRPr="001E4B49" w:rsidRDefault="007E1CA3" w:rsidP="001E4B49">
                <w:pPr>
                  <w:jc w:val="center"/>
                  <w:rPr>
                    <w:rFonts w:ascii="Times New Roman" w:hAnsi="Times New Roman" w:cs="Times New Roman"/>
                    <w:b/>
                  </w:rPr>
                </w:pPr>
                <w:r w:rsidRPr="001E4B49">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103F156A" w14:textId="77777777" w:rsidR="007E1CA3" w:rsidRPr="001E4B49" w:rsidRDefault="007E1CA3" w:rsidP="001E4B49">
            <w:pPr>
              <w:ind w:left="54"/>
              <w:rPr>
                <w:rFonts w:ascii="Times New Roman" w:hAnsi="Times New Roman" w:cs="Times New Roman"/>
                <w:b/>
              </w:rPr>
            </w:pPr>
            <w:r w:rsidRPr="001E4B49">
              <w:rPr>
                <w:rFonts w:ascii="Times New Roman" w:hAnsi="Times New Roman" w:cs="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7E1CA3" w:rsidRPr="001E4B49" w14:paraId="0BE5566F" w14:textId="77777777" w:rsidTr="001E4B49">
        <w:tc>
          <w:tcPr>
            <w:tcW w:w="3812" w:type="dxa"/>
            <w:tcBorders>
              <w:top w:val="single" w:sz="4" w:space="0" w:color="auto"/>
              <w:left w:val="single" w:sz="4" w:space="0" w:color="auto"/>
              <w:bottom w:val="nil"/>
              <w:right w:val="single" w:sz="4" w:space="0" w:color="auto"/>
            </w:tcBorders>
            <w:shd w:val="clear" w:color="auto" w:fill="E2E2E2"/>
          </w:tcPr>
          <w:p w14:paraId="3087A10F" w14:textId="77777777" w:rsidR="007E1CA3" w:rsidRPr="001E4B49" w:rsidRDefault="007E1CA3" w:rsidP="001E4B49">
            <w:pPr>
              <w:rPr>
                <w:b/>
              </w:rPr>
            </w:pPr>
            <w:r w:rsidRPr="001E4B49">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5E3A826E" w14:textId="77777777" w:rsidR="007E1CA3" w:rsidRPr="001E4B49" w:rsidRDefault="007E1CA3" w:rsidP="001E4B49">
            <w:pPr>
              <w:jc w:val="center"/>
              <w:rPr>
                <w:rFonts w:eastAsia="MS Mincho"/>
                <w:b/>
              </w:rPr>
            </w:pPr>
          </w:p>
        </w:tc>
        <w:tc>
          <w:tcPr>
            <w:tcW w:w="1281" w:type="dxa"/>
            <w:tcBorders>
              <w:top w:val="single" w:sz="4" w:space="0" w:color="auto"/>
              <w:left w:val="nil"/>
              <w:bottom w:val="nil"/>
              <w:right w:val="nil"/>
            </w:tcBorders>
            <w:shd w:val="clear" w:color="auto" w:fill="auto"/>
          </w:tcPr>
          <w:p w14:paraId="05AAA8D4" w14:textId="77777777" w:rsidR="007E1CA3" w:rsidRPr="001E4B49" w:rsidRDefault="007E1CA3" w:rsidP="001E4B49">
            <w:pPr>
              <w:ind w:right="-108"/>
              <w:rPr>
                <w:b/>
              </w:rPr>
            </w:pPr>
          </w:p>
        </w:tc>
        <w:tc>
          <w:tcPr>
            <w:tcW w:w="569" w:type="dxa"/>
            <w:tcBorders>
              <w:top w:val="single" w:sz="4" w:space="0" w:color="auto"/>
              <w:left w:val="nil"/>
              <w:bottom w:val="nil"/>
              <w:right w:val="nil"/>
            </w:tcBorders>
            <w:shd w:val="clear" w:color="auto" w:fill="auto"/>
          </w:tcPr>
          <w:p w14:paraId="7F1B91F2" w14:textId="77777777" w:rsidR="007E1CA3" w:rsidRPr="001E4B49" w:rsidRDefault="007E1CA3" w:rsidP="001E4B49">
            <w:pPr>
              <w:jc w:val="center"/>
              <w:rPr>
                <w:rFonts w:eastAsia="MS Mincho"/>
                <w:b/>
              </w:rPr>
            </w:pPr>
          </w:p>
        </w:tc>
        <w:tc>
          <w:tcPr>
            <w:tcW w:w="1133" w:type="dxa"/>
            <w:tcBorders>
              <w:top w:val="single" w:sz="4" w:space="0" w:color="auto"/>
              <w:left w:val="nil"/>
              <w:bottom w:val="nil"/>
              <w:right w:val="nil"/>
            </w:tcBorders>
            <w:shd w:val="clear" w:color="auto" w:fill="auto"/>
          </w:tcPr>
          <w:p w14:paraId="5FBAF550" w14:textId="77777777" w:rsidR="007E1CA3" w:rsidRPr="001E4B49" w:rsidRDefault="007E1CA3" w:rsidP="001E4B49">
            <w:pPr>
              <w:rPr>
                <w:b/>
              </w:rPr>
            </w:pPr>
          </w:p>
        </w:tc>
        <w:tc>
          <w:tcPr>
            <w:tcW w:w="547" w:type="dxa"/>
            <w:tcBorders>
              <w:top w:val="single" w:sz="4" w:space="0" w:color="auto"/>
              <w:left w:val="nil"/>
              <w:bottom w:val="nil"/>
              <w:right w:val="nil"/>
            </w:tcBorders>
            <w:shd w:val="clear" w:color="auto" w:fill="auto"/>
          </w:tcPr>
          <w:p w14:paraId="2261D668" w14:textId="77777777" w:rsidR="007E1CA3" w:rsidRPr="001E4B49" w:rsidRDefault="007E1CA3" w:rsidP="001E4B49">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1E6B0D2E" w14:textId="77777777" w:rsidR="007E1CA3" w:rsidRPr="001E4B49" w:rsidRDefault="007E1CA3" w:rsidP="001E4B49">
            <w:pPr>
              <w:ind w:left="54"/>
              <w:rPr>
                <w:b/>
              </w:rPr>
            </w:pPr>
          </w:p>
        </w:tc>
      </w:tr>
      <w:tr w:rsidR="007E1CA3" w:rsidRPr="001E4B49" w14:paraId="61406C5D" w14:textId="77777777" w:rsidTr="001E4B49">
        <w:tc>
          <w:tcPr>
            <w:tcW w:w="3812" w:type="dxa"/>
            <w:tcBorders>
              <w:top w:val="nil"/>
              <w:left w:val="single" w:sz="4" w:space="0" w:color="auto"/>
              <w:bottom w:val="nil"/>
              <w:right w:val="single" w:sz="4" w:space="0" w:color="auto"/>
            </w:tcBorders>
            <w:shd w:val="clear" w:color="auto" w:fill="E2E2E2"/>
          </w:tcPr>
          <w:p w14:paraId="7831A70E" w14:textId="77777777" w:rsidR="007E1CA3" w:rsidRPr="001E4B49" w:rsidRDefault="007E1CA3" w:rsidP="001E4B49">
            <w:pPr>
              <w:ind w:left="196" w:hanging="196"/>
              <w:rPr>
                <w:rFonts w:eastAsia="Calibri"/>
                <w:b/>
                <w:lang w:eastAsia="en-US"/>
              </w:rPr>
            </w:pPr>
            <w:r w:rsidRPr="001E4B49">
              <w:rPr>
                <w:rFonts w:eastAsia="Calibri"/>
                <w:b/>
                <w:lang w:eastAsia="en-US"/>
              </w:rPr>
              <w:t xml:space="preserve">    vplyvy služieb verejnej správy na občana</w:t>
            </w:r>
          </w:p>
        </w:tc>
        <w:sdt>
          <w:sdtPr>
            <w:rPr>
              <w:b/>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14:paraId="23E2AFE9" w14:textId="77777777" w:rsidR="007E1CA3" w:rsidRPr="001E4B49" w:rsidRDefault="007E1CA3" w:rsidP="001E4B49">
                <w:pPr>
                  <w:jc w:val="center"/>
                  <w:rPr>
                    <w:b/>
                  </w:rPr>
                </w:pPr>
                <w:r w:rsidRPr="001E4B49">
                  <w:rPr>
                    <w:rFonts w:ascii="Segoe UI Symbol" w:eastAsia="MS Gothic" w:hAnsi="Segoe UI Symbol" w:cs="Segoe UI Symbol"/>
                    <w:b/>
                  </w:rPr>
                  <w:t>☐</w:t>
                </w:r>
              </w:p>
            </w:tc>
          </w:sdtContent>
        </w:sdt>
        <w:tc>
          <w:tcPr>
            <w:tcW w:w="1281" w:type="dxa"/>
            <w:tcBorders>
              <w:top w:val="nil"/>
              <w:left w:val="nil"/>
              <w:bottom w:val="nil"/>
              <w:right w:val="nil"/>
            </w:tcBorders>
            <w:shd w:val="clear" w:color="auto" w:fill="auto"/>
          </w:tcPr>
          <w:p w14:paraId="4A833FCE" w14:textId="77777777" w:rsidR="007E1CA3" w:rsidRPr="001E4B49" w:rsidRDefault="007E1CA3" w:rsidP="001E4B49">
            <w:pPr>
              <w:ind w:right="-108"/>
              <w:rPr>
                <w:b/>
              </w:rPr>
            </w:pPr>
            <w:r w:rsidRPr="001E4B49">
              <w:rPr>
                <w:b/>
              </w:rPr>
              <w:t>Pozitívne</w:t>
            </w:r>
          </w:p>
        </w:tc>
        <w:sdt>
          <w:sdtPr>
            <w:rPr>
              <w:b/>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14:paraId="2833AA96" w14:textId="77777777" w:rsidR="007E1CA3" w:rsidRPr="001E4B49" w:rsidRDefault="007E1CA3" w:rsidP="001E4B49">
                <w:pPr>
                  <w:jc w:val="center"/>
                  <w:rPr>
                    <w:b/>
                  </w:rPr>
                </w:pPr>
                <w:r w:rsidRPr="001E4B49">
                  <w:rPr>
                    <w:rFonts w:ascii="Segoe UI Symbol" w:eastAsia="MS Gothic" w:hAnsi="Segoe UI Symbol" w:cs="Segoe UI Symbol"/>
                    <w:b/>
                  </w:rPr>
                  <w:t>☒</w:t>
                </w:r>
              </w:p>
            </w:tc>
          </w:sdtContent>
        </w:sdt>
        <w:tc>
          <w:tcPr>
            <w:tcW w:w="1133" w:type="dxa"/>
            <w:tcBorders>
              <w:top w:val="nil"/>
              <w:left w:val="nil"/>
              <w:bottom w:val="nil"/>
              <w:right w:val="nil"/>
            </w:tcBorders>
            <w:shd w:val="clear" w:color="auto" w:fill="auto"/>
          </w:tcPr>
          <w:p w14:paraId="612413C8" w14:textId="77777777" w:rsidR="007E1CA3" w:rsidRPr="001E4B49" w:rsidRDefault="007E1CA3" w:rsidP="001E4B49">
            <w:pPr>
              <w:rPr>
                <w:b/>
              </w:rPr>
            </w:pPr>
            <w:r w:rsidRPr="001E4B49">
              <w:rPr>
                <w:b/>
              </w:rPr>
              <w:t>Žiadne</w:t>
            </w:r>
          </w:p>
        </w:tc>
        <w:sdt>
          <w:sdtPr>
            <w:rPr>
              <w:b/>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14:paraId="4017D0F3" w14:textId="77777777" w:rsidR="007E1CA3" w:rsidRPr="001E4B49" w:rsidRDefault="007E1CA3" w:rsidP="001E4B49">
                <w:pPr>
                  <w:jc w:val="center"/>
                  <w:rPr>
                    <w:b/>
                  </w:rPr>
                </w:pPr>
                <w:r w:rsidRPr="001E4B49">
                  <w:rPr>
                    <w:rFonts w:ascii="Segoe UI Symbol" w:eastAsia="MS Gothic" w:hAnsi="Segoe UI Symbol" w:cs="Segoe UI Symbol"/>
                    <w:b/>
                  </w:rPr>
                  <w:t>☐</w:t>
                </w:r>
              </w:p>
            </w:tc>
          </w:sdtContent>
        </w:sdt>
        <w:tc>
          <w:tcPr>
            <w:tcW w:w="1297" w:type="dxa"/>
            <w:tcBorders>
              <w:top w:val="nil"/>
              <w:left w:val="nil"/>
              <w:bottom w:val="nil"/>
              <w:right w:val="single" w:sz="4" w:space="0" w:color="auto"/>
            </w:tcBorders>
            <w:shd w:val="clear" w:color="auto" w:fill="auto"/>
          </w:tcPr>
          <w:p w14:paraId="6CB7C654" w14:textId="77777777" w:rsidR="007E1CA3" w:rsidRPr="001E4B49" w:rsidRDefault="007E1CA3" w:rsidP="001E4B49">
            <w:pPr>
              <w:ind w:left="54"/>
              <w:rPr>
                <w:b/>
              </w:rPr>
            </w:pPr>
            <w:r w:rsidRPr="001E4B49">
              <w:rPr>
                <w:b/>
              </w:rPr>
              <w:t>Negatívne</w:t>
            </w:r>
          </w:p>
        </w:tc>
      </w:tr>
      <w:tr w:rsidR="007E1CA3" w:rsidRPr="001E4B49" w14:paraId="332E76E1" w14:textId="77777777" w:rsidTr="001E4B49">
        <w:tc>
          <w:tcPr>
            <w:tcW w:w="3812" w:type="dxa"/>
            <w:tcBorders>
              <w:top w:val="nil"/>
              <w:left w:val="single" w:sz="4" w:space="0" w:color="auto"/>
              <w:bottom w:val="nil"/>
              <w:right w:val="single" w:sz="4" w:space="0" w:color="auto"/>
            </w:tcBorders>
            <w:shd w:val="clear" w:color="auto" w:fill="E2E2E2"/>
          </w:tcPr>
          <w:p w14:paraId="7F8A22B1" w14:textId="77777777" w:rsidR="007E1CA3" w:rsidRPr="001E4B49" w:rsidRDefault="007E1CA3" w:rsidP="001E4B49">
            <w:pPr>
              <w:ind w:left="168" w:hanging="168"/>
              <w:rPr>
                <w:rFonts w:eastAsia="Calibri"/>
                <w:b/>
                <w:lang w:eastAsia="en-US"/>
              </w:rPr>
            </w:pPr>
            <w:r w:rsidRPr="001E4B49">
              <w:rPr>
                <w:rFonts w:eastAsia="Calibri"/>
                <w:b/>
                <w:lang w:eastAsia="en-US"/>
              </w:rPr>
              <w:t xml:space="preserve">    vplyvy na procesy služieb vo verejnej správe</w:t>
            </w:r>
          </w:p>
        </w:tc>
        <w:sdt>
          <w:sdtPr>
            <w:rPr>
              <w:b/>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14:paraId="7161EA9E" w14:textId="77777777" w:rsidR="007E1CA3" w:rsidRPr="001E4B49" w:rsidRDefault="007E1CA3" w:rsidP="001E4B49">
                <w:pPr>
                  <w:jc w:val="center"/>
                  <w:rPr>
                    <w:b/>
                  </w:rPr>
                </w:pPr>
                <w:r w:rsidRPr="001E4B49">
                  <w:rPr>
                    <w:rFonts w:ascii="Segoe UI Symbol" w:eastAsia="MS Gothic" w:hAnsi="Segoe UI Symbol" w:cs="Segoe UI Symbol"/>
                    <w:b/>
                  </w:rPr>
                  <w:t>☐</w:t>
                </w:r>
              </w:p>
            </w:tc>
          </w:sdtContent>
        </w:sdt>
        <w:tc>
          <w:tcPr>
            <w:tcW w:w="1281" w:type="dxa"/>
            <w:tcBorders>
              <w:top w:val="nil"/>
              <w:left w:val="nil"/>
              <w:bottom w:val="nil"/>
              <w:right w:val="nil"/>
            </w:tcBorders>
            <w:shd w:val="clear" w:color="auto" w:fill="auto"/>
          </w:tcPr>
          <w:p w14:paraId="5472953A" w14:textId="77777777" w:rsidR="007E1CA3" w:rsidRPr="001E4B49" w:rsidRDefault="007E1CA3" w:rsidP="001E4B49">
            <w:pPr>
              <w:ind w:right="-108"/>
              <w:rPr>
                <w:b/>
              </w:rPr>
            </w:pPr>
            <w:r w:rsidRPr="001E4B49">
              <w:rPr>
                <w:b/>
              </w:rPr>
              <w:t>Pozitívne</w:t>
            </w:r>
          </w:p>
        </w:tc>
        <w:sdt>
          <w:sdtPr>
            <w:rPr>
              <w:b/>
            </w:rPr>
            <w:id w:val="-1325040833"/>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14:paraId="4AD3A637" w14:textId="77777777" w:rsidR="007E1CA3" w:rsidRPr="001E4B49" w:rsidRDefault="007E1CA3" w:rsidP="001E4B49">
                <w:pPr>
                  <w:jc w:val="center"/>
                  <w:rPr>
                    <w:b/>
                  </w:rPr>
                </w:pPr>
                <w:r w:rsidRPr="001E4B49">
                  <w:rPr>
                    <w:rFonts w:ascii="Segoe UI Symbol" w:eastAsia="MS Gothic" w:hAnsi="Segoe UI Symbol" w:cs="Segoe UI Symbol"/>
                    <w:b/>
                  </w:rPr>
                  <w:t>☒</w:t>
                </w:r>
              </w:p>
            </w:tc>
          </w:sdtContent>
        </w:sdt>
        <w:tc>
          <w:tcPr>
            <w:tcW w:w="1133" w:type="dxa"/>
            <w:tcBorders>
              <w:top w:val="nil"/>
              <w:left w:val="nil"/>
              <w:bottom w:val="nil"/>
              <w:right w:val="nil"/>
            </w:tcBorders>
            <w:shd w:val="clear" w:color="auto" w:fill="auto"/>
          </w:tcPr>
          <w:p w14:paraId="349C6525" w14:textId="77777777" w:rsidR="007E1CA3" w:rsidRPr="001E4B49" w:rsidRDefault="007E1CA3" w:rsidP="001E4B49">
            <w:pPr>
              <w:rPr>
                <w:b/>
              </w:rPr>
            </w:pPr>
            <w:r w:rsidRPr="001E4B49">
              <w:rPr>
                <w:b/>
              </w:rPr>
              <w:t>Žiadne</w:t>
            </w:r>
          </w:p>
        </w:tc>
        <w:sdt>
          <w:sdtPr>
            <w:rPr>
              <w:b/>
            </w:rPr>
            <w:id w:val="2018029189"/>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14:paraId="6EE11C1F" w14:textId="77777777" w:rsidR="007E1CA3" w:rsidRPr="001E4B49" w:rsidRDefault="007E1CA3" w:rsidP="001E4B49">
                <w:pPr>
                  <w:jc w:val="center"/>
                  <w:rPr>
                    <w:b/>
                  </w:rPr>
                </w:pPr>
                <w:r w:rsidRPr="001E4B49">
                  <w:rPr>
                    <w:rFonts w:ascii="Segoe UI Symbol" w:eastAsia="MS Gothic" w:hAnsi="Segoe UI Symbol" w:cs="Segoe UI Symbol"/>
                    <w:b/>
                  </w:rPr>
                  <w:t>☐</w:t>
                </w:r>
              </w:p>
            </w:tc>
          </w:sdtContent>
        </w:sdt>
        <w:tc>
          <w:tcPr>
            <w:tcW w:w="1297" w:type="dxa"/>
            <w:tcBorders>
              <w:top w:val="nil"/>
              <w:left w:val="nil"/>
              <w:bottom w:val="nil"/>
              <w:right w:val="single" w:sz="4" w:space="0" w:color="auto"/>
            </w:tcBorders>
            <w:shd w:val="clear" w:color="auto" w:fill="auto"/>
          </w:tcPr>
          <w:p w14:paraId="4D00CFBD" w14:textId="77777777" w:rsidR="007E1CA3" w:rsidRPr="001E4B49" w:rsidRDefault="007E1CA3" w:rsidP="001E4B49">
            <w:pPr>
              <w:ind w:left="54"/>
              <w:rPr>
                <w:b/>
              </w:rPr>
            </w:pPr>
            <w:r w:rsidRPr="001E4B49">
              <w:rPr>
                <w:b/>
              </w:rPr>
              <w:t>Negatívne</w:t>
            </w:r>
          </w:p>
        </w:tc>
      </w:tr>
      <w:tr w:rsidR="007E1CA3" w:rsidRPr="001E4B49" w14:paraId="2383C4CB" w14:textId="77777777" w:rsidTr="001E4B49">
        <w:tc>
          <w:tcPr>
            <w:tcW w:w="3812" w:type="dxa"/>
            <w:tcBorders>
              <w:top w:val="single" w:sz="4" w:space="0" w:color="auto"/>
              <w:left w:val="single" w:sz="4" w:space="0" w:color="auto"/>
              <w:bottom w:val="single" w:sz="4" w:space="0" w:color="auto"/>
              <w:right w:val="single" w:sz="4" w:space="0" w:color="auto"/>
            </w:tcBorders>
            <w:shd w:val="clear" w:color="auto" w:fill="E2E2E2"/>
          </w:tcPr>
          <w:p w14:paraId="18935AD3" w14:textId="77777777" w:rsidR="007E1CA3" w:rsidRPr="001E4B49" w:rsidRDefault="007E1CA3" w:rsidP="001E4B49">
            <w:pPr>
              <w:ind w:left="168" w:hanging="168"/>
              <w:rPr>
                <w:rFonts w:eastAsia="Calibri"/>
                <w:b/>
                <w:lang w:eastAsia="en-US"/>
              </w:rPr>
            </w:pPr>
            <w:r w:rsidRPr="001E4B49">
              <w:rPr>
                <w:b/>
                <w:bCs/>
              </w:rPr>
              <w:t>  Vplyvy na manželstvo, rodičovstvo a rodinu</w:t>
            </w:r>
          </w:p>
        </w:tc>
        <w:sdt>
          <w:sdtPr>
            <w:rPr>
              <w:b/>
            </w:rPr>
            <w:id w:val="-199210001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14:paraId="68101642" w14:textId="77777777" w:rsidR="007E1CA3" w:rsidRPr="001E4B49" w:rsidRDefault="007E1CA3" w:rsidP="001E4B49">
                <w:pPr>
                  <w:jc w:val="center"/>
                  <w:rPr>
                    <w:b/>
                  </w:rPr>
                </w:pPr>
                <w:r w:rsidRPr="001E4B49">
                  <w:rPr>
                    <w:rFonts w:ascii="Segoe UI Symbol" w:eastAsia="MS Gothic" w:hAnsi="Segoe UI Symbol" w:cs="Segoe UI Symbol"/>
                    <w:b/>
                  </w:rPr>
                  <w:t>☐</w:t>
                </w:r>
              </w:p>
            </w:tc>
          </w:sdtContent>
        </w:sdt>
        <w:tc>
          <w:tcPr>
            <w:tcW w:w="1281" w:type="dxa"/>
            <w:tcBorders>
              <w:top w:val="single" w:sz="4" w:space="0" w:color="auto"/>
              <w:left w:val="nil"/>
              <w:bottom w:val="single" w:sz="4" w:space="0" w:color="auto"/>
              <w:right w:val="nil"/>
            </w:tcBorders>
            <w:shd w:val="clear" w:color="auto" w:fill="auto"/>
          </w:tcPr>
          <w:p w14:paraId="4C32D85D" w14:textId="77777777" w:rsidR="007E1CA3" w:rsidRPr="001E4B49" w:rsidRDefault="007E1CA3" w:rsidP="001E4B49">
            <w:pPr>
              <w:ind w:right="-108"/>
              <w:rPr>
                <w:b/>
              </w:rPr>
            </w:pPr>
            <w:r w:rsidRPr="001E4B49">
              <w:rPr>
                <w:b/>
              </w:rPr>
              <w:t>Pozitívne</w:t>
            </w:r>
          </w:p>
        </w:tc>
        <w:sdt>
          <w:sdtPr>
            <w:rPr>
              <w:b/>
            </w:rPr>
            <w:id w:val="-491492361"/>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14:paraId="55A34153" w14:textId="77777777" w:rsidR="007E1CA3" w:rsidRPr="001E4B49" w:rsidRDefault="007E1CA3" w:rsidP="001E4B49">
                <w:pPr>
                  <w:jc w:val="center"/>
                  <w:rPr>
                    <w:b/>
                  </w:rPr>
                </w:pPr>
                <w:r w:rsidRPr="001E4B49">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shd w:val="clear" w:color="auto" w:fill="auto"/>
          </w:tcPr>
          <w:p w14:paraId="730DE950" w14:textId="77777777" w:rsidR="007E1CA3" w:rsidRPr="001E4B49" w:rsidRDefault="007E1CA3" w:rsidP="001E4B49">
            <w:pPr>
              <w:rPr>
                <w:b/>
              </w:rPr>
            </w:pPr>
            <w:r w:rsidRPr="001E4B49">
              <w:rPr>
                <w:b/>
              </w:rPr>
              <w:t>Žiadne</w:t>
            </w:r>
          </w:p>
        </w:tc>
        <w:sdt>
          <w:sdtPr>
            <w:rPr>
              <w:b/>
            </w:rPr>
            <w:id w:val="100648018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14:paraId="77BC8BEF" w14:textId="77777777" w:rsidR="007E1CA3" w:rsidRPr="001E4B49" w:rsidRDefault="007E1CA3" w:rsidP="001E4B49">
                <w:pPr>
                  <w:jc w:val="center"/>
                  <w:rPr>
                    <w:b/>
                  </w:rPr>
                </w:pPr>
                <w:r w:rsidRPr="001E4B49">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shd w:val="clear" w:color="auto" w:fill="auto"/>
          </w:tcPr>
          <w:p w14:paraId="175142FE" w14:textId="77777777" w:rsidR="007E1CA3" w:rsidRPr="001E4B49" w:rsidRDefault="007E1CA3" w:rsidP="001E4B49">
            <w:pPr>
              <w:ind w:left="54"/>
              <w:rPr>
                <w:b/>
              </w:rPr>
            </w:pPr>
            <w:r w:rsidRPr="001E4B49">
              <w:rPr>
                <w:b/>
              </w:rPr>
              <w:t>Negatívne</w:t>
            </w:r>
          </w:p>
        </w:tc>
      </w:tr>
    </w:tbl>
    <w:p w14:paraId="11217445" w14:textId="77777777" w:rsidR="007E1CA3" w:rsidRPr="001E4B49" w:rsidRDefault="007E1CA3" w:rsidP="007E1CA3">
      <w:pPr>
        <w:ind w:right="141"/>
        <w:rPr>
          <w:b/>
        </w:rPr>
      </w:pPr>
    </w:p>
    <w:tbl>
      <w:tblPr>
        <w:tblStyle w:val="Mriekatabuky"/>
        <w:tblW w:w="9209" w:type="dxa"/>
        <w:tblLayout w:type="fixed"/>
        <w:tblLook w:val="04A0" w:firstRow="1" w:lastRow="0" w:firstColumn="1" w:lastColumn="0" w:noHBand="0" w:noVBand="1"/>
      </w:tblPr>
      <w:tblGrid>
        <w:gridCol w:w="9209"/>
      </w:tblGrid>
      <w:tr w:rsidR="007E1CA3" w:rsidRPr="001E4B49" w14:paraId="0F43636A" w14:textId="77777777" w:rsidTr="001E4B49">
        <w:tc>
          <w:tcPr>
            <w:tcW w:w="9209" w:type="dxa"/>
            <w:tcBorders>
              <w:top w:val="single" w:sz="4" w:space="0" w:color="auto"/>
              <w:left w:val="single" w:sz="4" w:space="0" w:color="auto"/>
              <w:bottom w:val="nil"/>
              <w:right w:val="single" w:sz="4" w:space="0" w:color="auto"/>
            </w:tcBorders>
            <w:shd w:val="clear" w:color="auto" w:fill="E2E2E2"/>
          </w:tcPr>
          <w:p w14:paraId="4B762A59"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Poznámky</w:t>
            </w:r>
          </w:p>
        </w:tc>
      </w:tr>
      <w:tr w:rsidR="007E1CA3" w:rsidRPr="001E4B49" w14:paraId="4BB830F6" w14:textId="77777777" w:rsidTr="001E4B49">
        <w:trPr>
          <w:trHeight w:val="713"/>
        </w:trPr>
        <w:tc>
          <w:tcPr>
            <w:tcW w:w="9209" w:type="dxa"/>
            <w:tcBorders>
              <w:top w:val="nil"/>
              <w:left w:val="single" w:sz="4" w:space="0" w:color="auto"/>
              <w:bottom w:val="single" w:sz="4" w:space="0" w:color="FFFFFF" w:themeColor="background1"/>
              <w:right w:val="single" w:sz="4" w:space="0" w:color="auto"/>
            </w:tcBorders>
            <w:shd w:val="clear" w:color="auto" w:fill="auto"/>
          </w:tcPr>
          <w:p w14:paraId="27498D23" w14:textId="77777777" w:rsidR="007E1CA3" w:rsidRPr="001E4B49" w:rsidRDefault="007E1CA3" w:rsidP="001E4B49">
            <w:pPr>
              <w:pStyle w:val="Default"/>
              <w:jc w:val="both"/>
              <w:rPr>
                <w:rFonts w:ascii="Times New Roman" w:hAnsi="Times New Roman" w:cs="Times New Roman"/>
                <w:i/>
                <w:szCs w:val="22"/>
              </w:rPr>
            </w:pPr>
            <w:r w:rsidRPr="001E4B49">
              <w:rPr>
                <w:rStyle w:val="Zstupntext"/>
                <w:rFonts w:cs="Times New Roman"/>
                <w:color w:val="auto"/>
              </w:rPr>
              <w:t>Prijatie navrhovaného zákona bude mať pozitívny prevládajúci charakter. Očakávajú sa pozitívne sociálne vplyvy, </w:t>
            </w:r>
            <w:r w:rsidRPr="001E4B49">
              <w:rPr>
                <w:rFonts w:ascii="Times New Roman" w:hAnsi="Times New Roman" w:cs="Times New Roman"/>
              </w:rPr>
              <w:t>pozitívne aj negatívne vplyvy na rozpočet verejnej správy a pozitívne vplyvy na podnikateľské prostredie. Pozitívne vplyvy na rozpočet verejnej správy sa predpokladajú najmä na strane príjmov štátneho rozpočtu plynúcich z tvorby nových pracovných miest. Pôjde predovšetkým o príjmy z priamych a nepriamych daní. Negatívne vplyvy na rozpočet verejnej správy budú predstavovať výdavky štátneho rozpočtu súvisiace s poskytnutím regionálneho príspevku, tie sa však vzhľadom na počet najmenej rozvinutých okresov, ktorých sa novela dotkne nijako nezmenia voči ostatnému stavu za minulé roky.</w:t>
            </w:r>
            <w:r w:rsidRPr="001E4B49">
              <w:rPr>
                <w:rStyle w:val="Zstupntext"/>
                <w:rFonts w:cs="Times New Roman"/>
                <w:color w:val="auto"/>
              </w:rPr>
              <w:t xml:space="preserve"> </w:t>
            </w:r>
          </w:p>
        </w:tc>
      </w:tr>
      <w:tr w:rsidR="007E1CA3" w:rsidRPr="001E4B49" w14:paraId="1B0E7CEE" w14:textId="77777777" w:rsidTr="001E4B49">
        <w:tc>
          <w:tcPr>
            <w:tcW w:w="9209" w:type="dxa"/>
            <w:tcBorders>
              <w:top w:val="single" w:sz="4" w:space="0" w:color="auto"/>
              <w:left w:val="single" w:sz="4" w:space="0" w:color="auto"/>
              <w:bottom w:val="single" w:sz="4" w:space="0" w:color="FFFFFF" w:themeColor="background1"/>
              <w:right w:val="single" w:sz="4" w:space="0" w:color="auto"/>
            </w:tcBorders>
            <w:shd w:val="clear" w:color="auto" w:fill="E2E2E2"/>
          </w:tcPr>
          <w:p w14:paraId="743B1E83"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Kontakt na spracovateľa</w:t>
            </w:r>
          </w:p>
        </w:tc>
      </w:tr>
      <w:tr w:rsidR="007E1CA3" w:rsidRPr="001E4B49" w14:paraId="2630E0F2" w14:textId="77777777" w:rsidTr="001E4B49">
        <w:trPr>
          <w:trHeight w:val="586"/>
        </w:trPr>
        <w:tc>
          <w:tcPr>
            <w:tcW w:w="9209"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5DB7B53" w14:textId="77777777" w:rsidR="007E1CA3" w:rsidRPr="001E4B49" w:rsidRDefault="007E1CA3" w:rsidP="001E4B49">
            <w:pPr>
              <w:rPr>
                <w:rFonts w:ascii="Times New Roman" w:hAnsi="Times New Roman" w:cs="Times New Roman"/>
              </w:rPr>
            </w:pPr>
            <w:r w:rsidRPr="001E4B49">
              <w:rPr>
                <w:rFonts w:ascii="Times New Roman" w:hAnsi="Times New Roman" w:cs="Times New Roman"/>
              </w:rPr>
              <w:t xml:space="preserve">Mgr. Silvia Čuklovičová, odbor podpory regionálneho rozvoja, </w:t>
            </w:r>
          </w:p>
          <w:p w14:paraId="2016CFDC" w14:textId="77777777" w:rsidR="007E1CA3" w:rsidRPr="001E4B49" w:rsidRDefault="007E1CA3" w:rsidP="001E4B49">
            <w:pPr>
              <w:rPr>
                <w:rFonts w:ascii="Times New Roman" w:hAnsi="Times New Roman" w:cs="Times New Roman"/>
                <w:i/>
              </w:rPr>
            </w:pPr>
            <w:r w:rsidRPr="001E4B49">
              <w:rPr>
                <w:rFonts w:ascii="Times New Roman" w:hAnsi="Times New Roman" w:cs="Times New Roman"/>
              </w:rPr>
              <w:t>e-mail: silvia.cuklovicova@vicepremier.gov.sk</w:t>
            </w:r>
          </w:p>
        </w:tc>
      </w:tr>
      <w:tr w:rsidR="007E1CA3" w:rsidRPr="001E4B49" w14:paraId="77D8893D" w14:textId="77777777" w:rsidTr="001E4B49">
        <w:tc>
          <w:tcPr>
            <w:tcW w:w="9209" w:type="dxa"/>
            <w:tcBorders>
              <w:top w:val="single" w:sz="4" w:space="0" w:color="auto"/>
              <w:left w:val="single" w:sz="4" w:space="0" w:color="auto"/>
              <w:bottom w:val="single" w:sz="4" w:space="0" w:color="FFFFFF" w:themeColor="background1"/>
              <w:right w:val="single" w:sz="4" w:space="0" w:color="auto"/>
            </w:tcBorders>
            <w:shd w:val="clear" w:color="auto" w:fill="E2E2E2"/>
          </w:tcPr>
          <w:p w14:paraId="3C327C54"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Zdroje</w:t>
            </w:r>
          </w:p>
        </w:tc>
      </w:tr>
      <w:tr w:rsidR="007E1CA3" w:rsidRPr="001E4B49" w14:paraId="68D184AA" w14:textId="77777777" w:rsidTr="001E4B49">
        <w:trPr>
          <w:trHeight w:val="401"/>
        </w:trPr>
        <w:tc>
          <w:tcPr>
            <w:tcW w:w="9209"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4915EA7C" w14:textId="77777777" w:rsidR="007E1CA3" w:rsidRPr="001E4B49" w:rsidRDefault="007E1CA3" w:rsidP="001E4B49">
            <w:pPr>
              <w:rPr>
                <w:rFonts w:ascii="Times New Roman" w:hAnsi="Times New Roman" w:cs="Times New Roman"/>
              </w:rPr>
            </w:pPr>
          </w:p>
        </w:tc>
      </w:tr>
      <w:tr w:rsidR="007E1CA3" w:rsidRPr="001E4B49" w14:paraId="2397F93E" w14:textId="77777777" w:rsidTr="001E4B49">
        <w:tc>
          <w:tcPr>
            <w:tcW w:w="9209"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8DB63FF" w14:textId="77777777" w:rsidR="007E1CA3" w:rsidRPr="001E4B49" w:rsidRDefault="007E1CA3" w:rsidP="007E1CA3">
            <w:pPr>
              <w:pStyle w:val="Odsekzoznamu"/>
              <w:widowControl/>
              <w:numPr>
                <w:ilvl w:val="0"/>
                <w:numId w:val="23"/>
              </w:numPr>
              <w:adjustRightInd/>
              <w:ind w:left="426"/>
              <w:rPr>
                <w:rFonts w:ascii="Times New Roman" w:hAnsi="Times New Roman" w:cs="Times New Roman"/>
                <w:b/>
              </w:rPr>
            </w:pPr>
            <w:r w:rsidRPr="001E4B49">
              <w:rPr>
                <w:rFonts w:ascii="Times New Roman" w:hAnsi="Times New Roman" w:cs="Times New Roman"/>
                <w:b/>
              </w:rPr>
              <w:t>Stanovisko Komisie pre posudzovanie vybraných vplyvov z PPK</w:t>
            </w:r>
          </w:p>
        </w:tc>
      </w:tr>
      <w:tr w:rsidR="007E1CA3" w:rsidRPr="001E4B49" w14:paraId="4EEF8812" w14:textId="77777777" w:rsidTr="001E4B49">
        <w:tc>
          <w:tcPr>
            <w:tcW w:w="9209"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8417D91" w14:textId="77777777" w:rsidR="007E1CA3" w:rsidRPr="001E4B49" w:rsidRDefault="007E1CA3" w:rsidP="001E4B49">
            <w:pPr>
              <w:jc w:val="both"/>
              <w:rPr>
                <w:rFonts w:ascii="Times New Roman" w:hAnsi="Times New Roman" w:cs="Times New Roman"/>
              </w:rPr>
            </w:pPr>
            <w:r w:rsidRPr="001E4B49">
              <w:rPr>
                <w:rFonts w:ascii="Times New Roman" w:hAnsi="Times New Roman" w:cs="Times New Roman"/>
              </w:rPr>
              <w:t xml:space="preserve">Stála pracovná komisia na posudzovanie vybraných vplyvov vyjadruje nesúhlasné stanovisko s materiálom predloženým na záverečné pripomienkovanie s odporúčaním na jeho dopracovanie podľa vznesených pripomienok, ktoré boli zapracované nasledovne: </w:t>
            </w:r>
          </w:p>
          <w:p w14:paraId="237AE670" w14:textId="77777777" w:rsidR="007E1CA3" w:rsidRPr="001E4B49" w:rsidRDefault="007E1CA3" w:rsidP="001E4B49">
            <w:pPr>
              <w:rPr>
                <w:rFonts w:ascii="Times New Roman" w:hAnsi="Times New Roman" w:cs="Times New Roman"/>
                <w:szCs w:val="22"/>
              </w:rPr>
            </w:pPr>
          </w:p>
          <w:p w14:paraId="3CE72A75" w14:textId="77777777" w:rsidR="007E1CA3" w:rsidRPr="001E4B49" w:rsidRDefault="007E1CA3" w:rsidP="001E4B49">
            <w:pPr>
              <w:rPr>
                <w:rFonts w:ascii="Times New Roman" w:hAnsi="Times New Roman" w:cs="Times New Roman"/>
                <w:b/>
                <w:szCs w:val="22"/>
              </w:rPr>
            </w:pPr>
            <w:r w:rsidRPr="001E4B49">
              <w:rPr>
                <w:rFonts w:ascii="Times New Roman" w:hAnsi="Times New Roman" w:cs="Times New Roman"/>
                <w:b/>
                <w:szCs w:val="22"/>
              </w:rPr>
              <w:t>K doložke vybraných vplyvov</w:t>
            </w:r>
          </w:p>
          <w:p w14:paraId="0B54A732" w14:textId="77777777" w:rsidR="007E1CA3" w:rsidRPr="001E4B49" w:rsidRDefault="007E1CA3" w:rsidP="001E4B49">
            <w:pPr>
              <w:rPr>
                <w:rFonts w:ascii="Times New Roman" w:hAnsi="Times New Roman" w:cs="Times New Roman"/>
                <w:szCs w:val="22"/>
              </w:rPr>
            </w:pPr>
            <w:r w:rsidRPr="001E4B49">
              <w:rPr>
                <w:rFonts w:ascii="Times New Roman" w:hAnsi="Times New Roman" w:cs="Times New Roman"/>
                <w:szCs w:val="22"/>
              </w:rPr>
              <w:t>V časti 10. „Poznámky“ Doložky vybraných  vplyvov Komisia žiada zhrnúť vplyvy a uviesť prevládajúci charakter vplyvov.</w:t>
            </w:r>
          </w:p>
          <w:p w14:paraId="499ED0BA" w14:textId="77777777" w:rsidR="007E1CA3" w:rsidRPr="001E4B49" w:rsidRDefault="007E1CA3" w:rsidP="001E4B49">
            <w:pPr>
              <w:rPr>
                <w:rFonts w:ascii="Times New Roman" w:hAnsi="Times New Roman" w:cs="Times New Roman"/>
                <w:szCs w:val="22"/>
              </w:rPr>
            </w:pPr>
          </w:p>
          <w:p w14:paraId="6CBA45CF" w14:textId="77777777" w:rsidR="007E1CA3" w:rsidRPr="001E4B49" w:rsidRDefault="007E1CA3" w:rsidP="007E1CA3">
            <w:pPr>
              <w:pStyle w:val="Odsekzoznamu"/>
              <w:widowControl/>
              <w:numPr>
                <w:ilvl w:val="0"/>
                <w:numId w:val="24"/>
              </w:numPr>
              <w:adjustRightInd/>
              <w:spacing w:after="200" w:line="276" w:lineRule="auto"/>
              <w:rPr>
                <w:rFonts w:ascii="Times New Roman" w:hAnsi="Times New Roman" w:cs="Times New Roman"/>
              </w:rPr>
            </w:pPr>
            <w:r w:rsidRPr="001E4B49">
              <w:rPr>
                <w:rFonts w:ascii="Times New Roman" w:hAnsi="Times New Roman" w:cs="Times New Roman"/>
              </w:rPr>
              <w:t>Pripomienka bola zapracovaná.</w:t>
            </w:r>
          </w:p>
          <w:p w14:paraId="41151906" w14:textId="77777777" w:rsidR="007E1CA3" w:rsidRPr="001E4B49" w:rsidRDefault="007E1CA3" w:rsidP="001E4B49">
            <w:pPr>
              <w:rPr>
                <w:rFonts w:ascii="Times New Roman" w:hAnsi="Times New Roman" w:cs="Times New Roman"/>
                <w:b/>
                <w:szCs w:val="22"/>
              </w:rPr>
            </w:pPr>
            <w:r w:rsidRPr="001E4B49">
              <w:rPr>
                <w:rFonts w:ascii="Times New Roman" w:hAnsi="Times New Roman" w:cs="Times New Roman"/>
                <w:b/>
                <w:szCs w:val="22"/>
              </w:rPr>
              <w:t>K vplyvom na podnikateľské prostredie</w:t>
            </w:r>
          </w:p>
          <w:p w14:paraId="616DDAB6" w14:textId="77777777" w:rsidR="007E1CA3" w:rsidRPr="001E4B49" w:rsidRDefault="007E1CA3" w:rsidP="001E4B49">
            <w:pPr>
              <w:jc w:val="both"/>
              <w:rPr>
                <w:rFonts w:ascii="Times New Roman" w:hAnsi="Times New Roman" w:cs="Times New Roman"/>
                <w:szCs w:val="22"/>
              </w:rPr>
            </w:pPr>
            <w:r w:rsidRPr="001E4B49">
              <w:rPr>
                <w:rFonts w:ascii="Times New Roman" w:hAnsi="Times New Roman" w:cs="Times New Roman"/>
                <w:szCs w:val="22"/>
              </w:rPr>
              <w:t>V bode 3.3. Analýzy vplyvov na podnikateľské prostredie Komisia žiada jednoznačne popísať pozitívne vplyvy na podnikateľské prostredie. V bode 3.4. Komisia žiada popísať a vyčísliť náklady regulácie. V prípade, že uvedené náklady regulácie nie je možné vyčísliť Komisia žiada v tabuľke uviesť „ N/A“.</w:t>
            </w:r>
          </w:p>
          <w:p w14:paraId="4E6C68A9" w14:textId="77777777" w:rsidR="007E1CA3" w:rsidRPr="001E4B49" w:rsidRDefault="007E1CA3" w:rsidP="001E4B49">
            <w:pPr>
              <w:jc w:val="both"/>
              <w:rPr>
                <w:rFonts w:ascii="Times New Roman" w:hAnsi="Times New Roman" w:cs="Times New Roman"/>
                <w:szCs w:val="22"/>
              </w:rPr>
            </w:pPr>
            <w:r w:rsidRPr="001E4B49">
              <w:rPr>
                <w:rFonts w:ascii="Times New Roman" w:hAnsi="Times New Roman" w:cs="Times New Roman"/>
                <w:szCs w:val="22"/>
              </w:rPr>
              <w:t>Komisia v nadväznosti na avizovaný a vyznačený pozitívny vplyv predloženého materiálu na podnikateľské prostredie žiada predkladateľa o kvantifikáciu odhadovaných úspor regulácie na celé podnikateľské prostredie, v Analýze vplyvov na podnikateľské prostredie, a to v každom prípade, v ktorom je takáto kvantifikácia možná, pričom odporúčaným riešením je využitie modelového výpočtu na jeden dotknutý podnikateľský subjekt.</w:t>
            </w:r>
          </w:p>
          <w:p w14:paraId="2FF7EE7E" w14:textId="77777777" w:rsidR="007E1CA3" w:rsidRPr="001E4B49" w:rsidRDefault="007E1CA3" w:rsidP="001E4B49">
            <w:pPr>
              <w:jc w:val="both"/>
              <w:rPr>
                <w:rFonts w:ascii="Times New Roman" w:hAnsi="Times New Roman" w:cs="Times New Roman"/>
                <w:szCs w:val="22"/>
              </w:rPr>
            </w:pPr>
            <w:r w:rsidRPr="001E4B49">
              <w:rPr>
                <w:rFonts w:ascii="Times New Roman" w:hAnsi="Times New Roman" w:cs="Times New Roman"/>
                <w:szCs w:val="22"/>
              </w:rPr>
              <w:t>V časti 3.2 Vyhodnotenie konzultácii – z toho MSP Analýzy vplyvov na podnikateľské prostredie neuviedol predkladateľ žiadne informácie o procese, forme a výsledkoch konzultácií s podnikateľskými subjektmi. Komisia preto žiada predkladateľa o doplnenie vyššie uvedenej časti Analýzy vplyvov na podnikateľské prostredie.</w:t>
            </w:r>
          </w:p>
          <w:p w14:paraId="55851C1B" w14:textId="77777777" w:rsidR="007E1CA3" w:rsidRPr="001E4B49" w:rsidRDefault="007E1CA3" w:rsidP="001E4B49">
            <w:pPr>
              <w:jc w:val="both"/>
              <w:rPr>
                <w:rFonts w:ascii="Times New Roman" w:hAnsi="Times New Roman" w:cs="Times New Roman"/>
                <w:b/>
              </w:rPr>
            </w:pPr>
          </w:p>
          <w:p w14:paraId="6E942AD2" w14:textId="77777777" w:rsidR="007E1CA3" w:rsidRPr="001E4B49" w:rsidRDefault="007E1CA3" w:rsidP="007E1CA3">
            <w:pPr>
              <w:pStyle w:val="Odsekzoznamu"/>
              <w:widowControl/>
              <w:numPr>
                <w:ilvl w:val="0"/>
                <w:numId w:val="24"/>
              </w:numPr>
              <w:adjustRightInd/>
              <w:spacing w:after="200" w:line="276" w:lineRule="auto"/>
              <w:jc w:val="both"/>
              <w:rPr>
                <w:rFonts w:ascii="Times New Roman" w:hAnsi="Times New Roman" w:cs="Times New Roman"/>
              </w:rPr>
            </w:pPr>
            <w:r w:rsidRPr="001E4B49">
              <w:rPr>
                <w:rFonts w:ascii="Times New Roman" w:hAnsi="Times New Roman" w:cs="Times New Roman"/>
              </w:rPr>
              <w:t xml:space="preserve">Ministerstvo investícii, regionálneho rozvoja a informatizácie prehodnotilo pozitívny vplyv na podnikateľské prostredie v predkladanej novele. Vplyv na podnikateľské prostredie bol zaradený pri predkladaní návrhu zákona, ktorým sa mení a dopĺňal zákon č. 336/2015 Z. z. o podpore najmenej rozvinutých okresov a o zmene a doplnení niektorých zákonov v znení zákona č. 378/2016 Z. z. a ktorým sa mení zákon č. 539/2008 Z. z. o podpore regionálneho rozvoja v znení neskorších predpisov z dôvodu  doplnenia podnikateľských subjektov medzi oprávnených prijímateľov regionálneho príspevku. </w:t>
            </w:r>
          </w:p>
          <w:p w14:paraId="453BB386" w14:textId="77777777" w:rsidR="007E1CA3" w:rsidRPr="001E4B49" w:rsidRDefault="007E1CA3" w:rsidP="001E4B49">
            <w:pPr>
              <w:jc w:val="both"/>
              <w:rPr>
                <w:rFonts w:ascii="Times New Roman" w:hAnsi="Times New Roman" w:cs="Times New Roman"/>
                <w:b/>
              </w:rPr>
            </w:pPr>
          </w:p>
          <w:p w14:paraId="1E62F1A0" w14:textId="77777777" w:rsidR="007E1CA3" w:rsidRPr="001E4B49" w:rsidRDefault="007E1CA3" w:rsidP="001E4B49">
            <w:pPr>
              <w:jc w:val="both"/>
              <w:rPr>
                <w:rFonts w:ascii="Times New Roman" w:hAnsi="Times New Roman" w:cs="Times New Roman"/>
                <w:b/>
              </w:rPr>
            </w:pPr>
            <w:r w:rsidRPr="001E4B49">
              <w:rPr>
                <w:rFonts w:ascii="Times New Roman" w:hAnsi="Times New Roman" w:cs="Times New Roman"/>
                <w:b/>
              </w:rPr>
              <w:t>K vplyvom na rozpočet verejnej správy</w:t>
            </w:r>
          </w:p>
          <w:p w14:paraId="54DC47B6" w14:textId="77777777" w:rsidR="007E1CA3" w:rsidRPr="001E4B49" w:rsidRDefault="007E1CA3" w:rsidP="001E4B49">
            <w:pPr>
              <w:jc w:val="both"/>
              <w:rPr>
                <w:rFonts w:ascii="Times New Roman" w:hAnsi="Times New Roman" w:cs="Times New Roman"/>
              </w:rPr>
            </w:pPr>
            <w:r w:rsidRPr="001E4B49">
              <w:rPr>
                <w:rFonts w:ascii="Times New Roman" w:hAnsi="Times New Roman" w:cs="Times New Roman"/>
              </w:rPr>
              <w:t>V doložke vybraných vplyvov sú uvedené pozitívne a negatívne vplyvy na rozpočet verejnej správy, ktoré sú označené ako rozpočtovo zabezpečené. V analýze vplyvov na rozpočet verejnej správy sú kvantifikované výdavky  v súvislosti s poskytovaním regionálneho príspevku na rok 2022 v sume 13 552 080 eur, na rok 2023 v sume 13 951 610 eur a na obdobie rokov 2024 - 2026 spolu v sume 42 000 600 eur, avšak vplyv je uvedený ako rozpočtovo nekrytý. V návrhu uznesenia vlády je úloha pre ministra financií „C.1. zabezpečiť v rozpočte verejnej správy na rok 2021 a nasledujúce roky finančné prostriedky pre kapitolu Ministerstva investícií, regionálneho rozvoja a informatizácie Slovenskej republiky“.</w:t>
            </w:r>
          </w:p>
          <w:p w14:paraId="21B800FD" w14:textId="77777777" w:rsidR="007E1CA3" w:rsidRPr="001E4B49" w:rsidRDefault="007E1CA3" w:rsidP="001E4B49">
            <w:pPr>
              <w:jc w:val="both"/>
              <w:rPr>
                <w:rFonts w:ascii="Times New Roman" w:hAnsi="Times New Roman" w:cs="Times New Roman"/>
              </w:rPr>
            </w:pPr>
          </w:p>
          <w:p w14:paraId="2B0AA4A8" w14:textId="77777777" w:rsidR="007E1CA3" w:rsidRPr="001E4B49" w:rsidRDefault="007E1CA3" w:rsidP="001E4B49">
            <w:pPr>
              <w:jc w:val="both"/>
              <w:rPr>
                <w:rFonts w:ascii="Times New Roman" w:hAnsi="Times New Roman" w:cs="Times New Roman"/>
              </w:rPr>
            </w:pPr>
            <w:r w:rsidRPr="001E4B49">
              <w:rPr>
                <w:rFonts w:ascii="Times New Roman" w:hAnsi="Times New Roman" w:cs="Times New Roman"/>
              </w:rPr>
              <w:t>Návrh predpokladá výdavky v hodnote 13 - 14 mil. eur ročne. Z analýzy vplyvov na rozpočet nie je jasné, či ide o dodatočné náklady oproti súčasnému stavu alebo náklady celej výdavkovej obálky na podporu najmenej rozvinutých okresov. V analýze tiež nie je vysvetlená metodika, ktorá viedla k týmto odhadom rozpočtových vplyvov. Uvedené Komisia žiada detailnejšie vysvetliť a doplniť tiež metodiku výpočtu vplyvov vrátane predpokladov ohľadom nárastu počtu podporených subjektov.</w:t>
            </w:r>
          </w:p>
          <w:p w14:paraId="525B8417" w14:textId="77777777" w:rsidR="007E1CA3" w:rsidRPr="001E4B49" w:rsidRDefault="007E1CA3" w:rsidP="001E4B49">
            <w:pPr>
              <w:jc w:val="both"/>
              <w:rPr>
                <w:rFonts w:ascii="Times New Roman" w:hAnsi="Times New Roman" w:cs="Times New Roman"/>
              </w:rPr>
            </w:pPr>
          </w:p>
          <w:p w14:paraId="1BE75600" w14:textId="77777777" w:rsidR="007E1CA3" w:rsidRPr="001E4B49" w:rsidRDefault="007E1CA3" w:rsidP="001E4B49">
            <w:pPr>
              <w:jc w:val="both"/>
              <w:rPr>
                <w:rFonts w:ascii="Times New Roman" w:hAnsi="Times New Roman" w:cs="Times New Roman"/>
              </w:rPr>
            </w:pPr>
            <w:r w:rsidRPr="001E4B49">
              <w:rPr>
                <w:rFonts w:ascii="Times New Roman" w:hAnsi="Times New Roman" w:cs="Times New Roman"/>
              </w:rPr>
              <w:t>V rozpočte verejnej správy na roky 2021 až 2023 sú pre kapitolu MIRRI SR schválené prostriedky na príspevok pre najmenej rozvinuté okresy na programe 0ET06 na rok 2021 v sume 13 185 150 eur, na rok 2022 v sume 10 339 900 eur a na rok 2023 v sume 8 895 650 eur. Komisia žiada zosúladiť doložku vybraných vplyvov a analýzu vplyvov na rozpočet tak, aby bolo jednoznačne uvedené rozpočtové zabezpečenie prostriedkov. Zároveň Komisia žiada zosúladiť sumy požadovaných výdavkov so schválenými výdavkami na príspevok pre najmenej rozvinuté okresy v rozpočte MIRRI SR. V tab. č. 1 analýzy vplyvov je potrebné uviesť vplyv na aktuálny rok a na nasledujúce 3 roky zvlášť. Vzhľadom na to, že prostriedky na príspevok pre najmenej rozvinuté okresy na roky 2021 až 2023 sú v rozpočte MIRRI SR zabezpečené, MF SR žiada vypustiť z návrhu uznesenia vlády úlohu pre ministra financií.</w:t>
            </w:r>
          </w:p>
          <w:p w14:paraId="14DB0A34" w14:textId="77777777" w:rsidR="007E1CA3" w:rsidRPr="001E4B49" w:rsidRDefault="007E1CA3" w:rsidP="001E4B49">
            <w:pPr>
              <w:jc w:val="both"/>
              <w:rPr>
                <w:rFonts w:ascii="Times New Roman" w:hAnsi="Times New Roman" w:cs="Times New Roman"/>
              </w:rPr>
            </w:pPr>
          </w:p>
          <w:p w14:paraId="32233C51" w14:textId="77777777" w:rsidR="007E1CA3" w:rsidRPr="001E4B49" w:rsidRDefault="007E1CA3" w:rsidP="001E4B49">
            <w:pPr>
              <w:jc w:val="both"/>
              <w:rPr>
                <w:rFonts w:ascii="Times New Roman" w:hAnsi="Times New Roman" w:cs="Times New Roman"/>
              </w:rPr>
            </w:pPr>
            <w:r w:rsidRPr="001E4B49">
              <w:rPr>
                <w:rFonts w:ascii="Times New Roman" w:hAnsi="Times New Roman" w:cs="Times New Roman"/>
              </w:rPr>
              <w:t xml:space="preserve">S predloženým materiálom je možné súhlasiť iba za podmienky, že všetky požiadavky vyplývajúce z návrhu novely zákona budú zabezpečené v rámci limitu výdavkov kapitoly MIRRI SR na príslušný rozpočtový rok, bez dodatočných nárokov na rozpočet verejnej správy.V doložke vybraných vplyvov by malo byť uvedené aj posúdenie možnosti financovania výdavkov vo vzťahu k plánu obnovy. </w:t>
            </w:r>
          </w:p>
          <w:p w14:paraId="0CCDB796" w14:textId="77777777" w:rsidR="007E1CA3" w:rsidRPr="001E4B49" w:rsidRDefault="007E1CA3" w:rsidP="001E4B49">
            <w:pPr>
              <w:jc w:val="both"/>
              <w:rPr>
                <w:rFonts w:ascii="Times New Roman" w:hAnsi="Times New Roman" w:cs="Times New Roman"/>
              </w:rPr>
            </w:pPr>
          </w:p>
          <w:p w14:paraId="4B08A5E5" w14:textId="77777777" w:rsidR="007E1CA3" w:rsidRPr="001E4B49" w:rsidRDefault="007E1CA3" w:rsidP="001E4B49">
            <w:pPr>
              <w:jc w:val="both"/>
              <w:rPr>
                <w:rFonts w:ascii="Times New Roman" w:hAnsi="Times New Roman" w:cs="Times New Roman"/>
              </w:rPr>
            </w:pPr>
            <w:r w:rsidRPr="001E4B49">
              <w:rPr>
                <w:rFonts w:ascii="Times New Roman" w:hAnsi="Times New Roman" w:cs="Times New Roman"/>
              </w:rPr>
              <w:t>V doložke je označený aj pozitívny vplyv na rozpočet verejnej správy, chýba však jeho kvantifikácia v analýze. V bode 2.2.4. analýzy je uvedené, že pozitívne efekty sa predpokladajú na strane príjmov štátneho rozpočtu plynúcich z tvorby nových pracovných miest a podpory realizácie investícií, pričom ide o príjmy z priamych a nepriamych daní, avšak výšku príjmov nie je možné vyčísliť.  Komisia súhlasí, že presne sa to určiť nedá, ale spodnú hranicu je možné určiť na základe ex post hodnotenia účinnosti aktuálneho nastavenia systému. Komisia navrhuje preto použiť údaje z minulosti na hrubý odhad pozitívnych vplyvov na zamestnanosť, príjmy domácností a rozpočet za predpokladu podobnej účinnosti za minuté euro ako v minulosti. Tento odhad možno uviesť ako dolnú hranicu vzhľadom na očakávanie, že nový systém bude efektívnejší a adresnejší.</w:t>
            </w:r>
          </w:p>
          <w:p w14:paraId="25D12912" w14:textId="77777777" w:rsidR="007E1CA3" w:rsidRPr="001E4B49" w:rsidRDefault="007E1CA3" w:rsidP="001E4B49">
            <w:pPr>
              <w:jc w:val="both"/>
              <w:rPr>
                <w:rFonts w:ascii="Times New Roman" w:hAnsi="Times New Roman" w:cs="Times New Roman"/>
              </w:rPr>
            </w:pPr>
          </w:p>
          <w:p w14:paraId="64215A13" w14:textId="77777777" w:rsidR="007E1CA3" w:rsidRPr="001E4B49" w:rsidRDefault="007E1CA3" w:rsidP="007E1CA3">
            <w:pPr>
              <w:pStyle w:val="Odsekzoznamu"/>
              <w:widowControl/>
              <w:numPr>
                <w:ilvl w:val="0"/>
                <w:numId w:val="24"/>
              </w:numPr>
              <w:adjustRightInd/>
              <w:spacing w:after="200" w:line="276" w:lineRule="auto"/>
              <w:jc w:val="both"/>
              <w:rPr>
                <w:rFonts w:ascii="Times New Roman" w:hAnsi="Times New Roman" w:cs="Times New Roman"/>
              </w:rPr>
            </w:pPr>
            <w:r w:rsidRPr="001E4B49">
              <w:rPr>
                <w:rFonts w:ascii="Times New Roman" w:hAnsi="Times New Roman" w:cs="Times New Roman"/>
              </w:rPr>
              <w:t>Predkladateľ ponechal dodatočný nárok na rozpočet verejnej správy (rozpočtovo nekrytý vplyv) a zároveň ponechal v návrhu uznesenia vlády úlohu pre ministra financií „zabezpečiť  v rozpočte verejnej správy na rok 2022 a nasledujúce roky rozpočtovo nekryté finančné prostriedky pre kapitolu MIRRI SR“</w:t>
            </w:r>
          </w:p>
          <w:p w14:paraId="6E897021" w14:textId="77777777" w:rsidR="007E1CA3" w:rsidRPr="001E4B49" w:rsidRDefault="007E1CA3" w:rsidP="001E4B49">
            <w:pPr>
              <w:pStyle w:val="Odsekzoznamu"/>
              <w:jc w:val="both"/>
              <w:rPr>
                <w:rFonts w:ascii="Times New Roman" w:hAnsi="Times New Roman" w:cs="Times New Roman"/>
              </w:rPr>
            </w:pPr>
          </w:p>
          <w:p w14:paraId="299F8B0A" w14:textId="77777777" w:rsidR="007E1CA3" w:rsidRPr="001E4B49" w:rsidRDefault="007E1CA3" w:rsidP="001E4B49">
            <w:pPr>
              <w:pStyle w:val="Odsekzoznamu"/>
              <w:jc w:val="both"/>
              <w:rPr>
                <w:rFonts w:ascii="Times New Roman" w:hAnsi="Times New Roman" w:cs="Times New Roman"/>
              </w:rPr>
            </w:pPr>
            <w:r w:rsidRPr="001E4B49">
              <w:rPr>
                <w:rFonts w:ascii="Times New Roman" w:hAnsi="Times New Roman" w:cs="Times New Roman"/>
              </w:rPr>
              <w:t>Ostatné pripomienky boli zapracované.</w:t>
            </w:r>
          </w:p>
          <w:p w14:paraId="68A5CB95" w14:textId="77777777" w:rsidR="007E1CA3" w:rsidRPr="001E4B49" w:rsidRDefault="007E1CA3" w:rsidP="001E4B49">
            <w:pPr>
              <w:pStyle w:val="Odsekzoznamu"/>
              <w:jc w:val="both"/>
              <w:rPr>
                <w:rFonts w:ascii="Times New Roman" w:hAnsi="Times New Roman" w:cs="Times New Roman"/>
              </w:rPr>
            </w:pPr>
          </w:p>
          <w:p w14:paraId="3B8001E0" w14:textId="77777777" w:rsidR="007E1CA3" w:rsidRPr="001E4B49" w:rsidRDefault="007E1CA3" w:rsidP="001E4B49">
            <w:pPr>
              <w:keepNext/>
              <w:numPr>
                <w:ilvl w:val="3"/>
                <w:numId w:val="0"/>
              </w:numPr>
              <w:tabs>
                <w:tab w:val="num" w:pos="0"/>
              </w:tabs>
              <w:suppressAutoHyphens/>
              <w:spacing w:line="100" w:lineRule="atLeast"/>
              <w:ind w:right="-2"/>
              <w:jc w:val="center"/>
              <w:outlineLvl w:val="3"/>
              <w:rPr>
                <w:rFonts w:ascii="Times New Roman" w:hAnsi="Times New Roman" w:cs="Times New Roman"/>
                <w:b/>
                <w:smallCaps/>
                <w:lang w:eastAsia="ar-SA"/>
              </w:rPr>
            </w:pPr>
            <w:r w:rsidRPr="001E4B49">
              <w:rPr>
                <w:rFonts w:ascii="Times New Roman" w:hAnsi="Times New Roman" w:cs="Times New Roman"/>
                <w:b/>
                <w:smallCaps/>
                <w:spacing w:val="20"/>
                <w:sz w:val="32"/>
                <w:lang w:eastAsia="ar-SA"/>
              </w:rPr>
              <w:t>stanovisko komisie</w:t>
            </w:r>
            <w:r w:rsidRPr="001E4B49">
              <w:rPr>
                <w:rFonts w:ascii="Times New Roman" w:hAnsi="Times New Roman" w:cs="Times New Roman"/>
                <w:b/>
                <w:smallCaps/>
                <w:lang w:eastAsia="ar-SA"/>
              </w:rPr>
              <w:t xml:space="preserve"> </w:t>
            </w:r>
          </w:p>
          <w:p w14:paraId="38D4B3AF" w14:textId="77777777" w:rsidR="007E1CA3" w:rsidRPr="001E4B49" w:rsidRDefault="007E1CA3" w:rsidP="001E4B49">
            <w:pPr>
              <w:suppressAutoHyphens/>
              <w:spacing w:line="100" w:lineRule="atLeast"/>
              <w:ind w:right="-2"/>
              <w:jc w:val="center"/>
              <w:rPr>
                <w:rFonts w:ascii="Times New Roman" w:hAnsi="Times New Roman" w:cs="Times New Roman"/>
                <w:b/>
                <w:smallCaps/>
                <w:lang w:eastAsia="ar-SA"/>
              </w:rPr>
            </w:pPr>
          </w:p>
          <w:p w14:paraId="52FE1B16" w14:textId="77777777" w:rsidR="007E1CA3" w:rsidRPr="001E4B49" w:rsidRDefault="007E1CA3" w:rsidP="001E4B49">
            <w:pPr>
              <w:suppressAutoHyphens/>
              <w:spacing w:line="100" w:lineRule="atLeast"/>
              <w:ind w:right="-2"/>
              <w:jc w:val="center"/>
              <w:rPr>
                <w:rFonts w:ascii="Times New Roman" w:hAnsi="Times New Roman" w:cs="Times New Roman"/>
                <w:b/>
                <w:smallCaps/>
                <w:lang w:eastAsia="ar-SA"/>
              </w:rPr>
            </w:pPr>
            <w:r w:rsidRPr="001E4B49">
              <w:rPr>
                <w:rFonts w:ascii="Times New Roman" w:hAnsi="Times New Roman" w:cs="Times New Roman"/>
                <w:b/>
                <w:smallCaps/>
                <w:lang w:eastAsia="ar-SA"/>
              </w:rPr>
              <w:t>(Záverečné Posúdenie)</w:t>
            </w:r>
          </w:p>
          <w:p w14:paraId="79620503" w14:textId="77777777" w:rsidR="007E1CA3" w:rsidRPr="001E4B49" w:rsidRDefault="007E1CA3" w:rsidP="001E4B49">
            <w:pPr>
              <w:suppressAutoHyphens/>
              <w:spacing w:line="100" w:lineRule="atLeast"/>
              <w:ind w:right="-2"/>
              <w:jc w:val="center"/>
              <w:rPr>
                <w:rFonts w:ascii="Times New Roman" w:hAnsi="Times New Roman" w:cs="Times New Roman"/>
                <w:b/>
                <w:smallCaps/>
                <w:lang w:eastAsia="ar-SA"/>
              </w:rPr>
            </w:pPr>
          </w:p>
          <w:p w14:paraId="4067451E" w14:textId="77777777" w:rsidR="007E1CA3" w:rsidRPr="001E4B49" w:rsidRDefault="007E1CA3" w:rsidP="001E4B49">
            <w:pPr>
              <w:shd w:val="clear" w:color="auto" w:fill="FFFFFF"/>
              <w:suppressAutoHyphens/>
              <w:spacing w:line="100" w:lineRule="atLeast"/>
              <w:ind w:right="-2"/>
              <w:jc w:val="center"/>
              <w:rPr>
                <w:rFonts w:ascii="Times New Roman" w:hAnsi="Times New Roman" w:cs="Times New Roman"/>
                <w:b/>
                <w:smallCaps/>
                <w:lang w:eastAsia="ar-SA"/>
              </w:rPr>
            </w:pPr>
            <w:r w:rsidRPr="001E4B49">
              <w:rPr>
                <w:rFonts w:ascii="Times New Roman" w:hAnsi="Times New Roman" w:cs="Times New Roman"/>
                <w:b/>
                <w:smallCaps/>
                <w:lang w:eastAsia="ar-SA"/>
              </w:rPr>
              <w:t>k materiálu</w:t>
            </w:r>
          </w:p>
          <w:p w14:paraId="54D361A5" w14:textId="77777777" w:rsidR="007E1CA3" w:rsidRPr="001E4B49" w:rsidRDefault="007E1CA3" w:rsidP="001E4B49">
            <w:pPr>
              <w:shd w:val="clear" w:color="auto" w:fill="FFFFFF"/>
              <w:suppressAutoHyphens/>
              <w:spacing w:line="100" w:lineRule="atLeast"/>
              <w:ind w:right="-2"/>
              <w:jc w:val="center"/>
              <w:rPr>
                <w:rFonts w:ascii="Times New Roman" w:hAnsi="Times New Roman" w:cs="Times New Roman"/>
                <w:b/>
                <w:smallCaps/>
                <w:lang w:eastAsia="ar-SA"/>
              </w:rPr>
            </w:pPr>
          </w:p>
          <w:p w14:paraId="4C55D74C" w14:textId="77777777" w:rsidR="007E1CA3" w:rsidRPr="001E4B49" w:rsidRDefault="007E1CA3" w:rsidP="001E4B49">
            <w:pPr>
              <w:pBdr>
                <w:bottom w:val="single" w:sz="4" w:space="1" w:color="000000"/>
              </w:pBdr>
              <w:shd w:val="clear" w:color="auto" w:fill="FFFFFF"/>
              <w:suppressAutoHyphens/>
              <w:spacing w:line="100" w:lineRule="atLeast"/>
              <w:ind w:right="-2"/>
              <w:jc w:val="center"/>
              <w:rPr>
                <w:rFonts w:ascii="Times New Roman" w:hAnsi="Times New Roman" w:cs="Times New Roman"/>
                <w:b/>
                <w:smallCaps/>
                <w:szCs w:val="22"/>
                <w:lang w:eastAsia="ar-SA"/>
              </w:rPr>
            </w:pPr>
            <w:r w:rsidRPr="001E4B49">
              <w:rPr>
                <w:rFonts w:ascii="Times New Roman" w:hAnsi="Times New Roman" w:cs="Times New Roman"/>
                <w:b/>
                <w:smallCaps/>
                <w:szCs w:val="22"/>
                <w:lang w:eastAsia="ar-SA"/>
              </w:rPr>
              <w:t>Návrh zákona, ktorým sa mení a dopĺňa zákon č. 336/2015 Z. z. o podpore najmenej rozvinutých okresov a o zmene a doplnení niektorých zákonov v znení neskorších predpisov</w:t>
            </w:r>
          </w:p>
          <w:p w14:paraId="14316F14" w14:textId="77777777" w:rsidR="007E1CA3" w:rsidRPr="001E4B49" w:rsidRDefault="007E1CA3" w:rsidP="001E4B49">
            <w:pPr>
              <w:suppressAutoHyphens/>
              <w:spacing w:line="100" w:lineRule="atLeast"/>
              <w:jc w:val="both"/>
              <w:rPr>
                <w:rFonts w:ascii="Times New Roman" w:hAnsi="Times New Roman" w:cs="Times New Roman"/>
                <w:b/>
                <w:bCs/>
                <w:szCs w:val="22"/>
                <w:shd w:val="clear" w:color="auto" w:fill="FFFFFF"/>
                <w:lang w:eastAsia="ar-SA"/>
              </w:rPr>
            </w:pPr>
          </w:p>
          <w:p w14:paraId="477F1E65" w14:textId="77777777" w:rsidR="007E1CA3" w:rsidRPr="001E4B49" w:rsidRDefault="007E1CA3" w:rsidP="001E4B49">
            <w:pPr>
              <w:suppressAutoHyphens/>
              <w:spacing w:line="100" w:lineRule="atLeast"/>
              <w:jc w:val="both"/>
              <w:rPr>
                <w:rFonts w:ascii="Times New Roman" w:hAnsi="Times New Roman" w:cs="Times New Roman"/>
                <w:bCs/>
                <w:szCs w:val="22"/>
                <w:lang w:eastAsia="ar-SA"/>
              </w:rPr>
            </w:pPr>
            <w:r w:rsidRPr="001E4B49">
              <w:rPr>
                <w:rFonts w:ascii="Times New Roman" w:hAnsi="Times New Roman" w:cs="Times New Roman"/>
                <w:b/>
                <w:bCs/>
                <w:szCs w:val="22"/>
                <w:shd w:val="clear" w:color="auto" w:fill="FFFFFF"/>
                <w:lang w:eastAsia="ar-SA"/>
              </w:rPr>
              <w:t xml:space="preserve">I. </w:t>
            </w:r>
            <w:r w:rsidRPr="001E4B49">
              <w:rPr>
                <w:rFonts w:ascii="Times New Roman" w:hAnsi="Times New Roman" w:cs="Times New Roman"/>
                <w:b/>
                <w:bCs/>
                <w:szCs w:val="22"/>
                <w:lang w:eastAsia="ar-SA"/>
              </w:rPr>
              <w:t xml:space="preserve">Úvod: </w:t>
            </w:r>
            <w:r w:rsidRPr="001E4B49">
              <w:rPr>
                <w:rFonts w:ascii="Times New Roman" w:hAnsi="Times New Roman" w:cs="Times New Roman"/>
                <w:bCs/>
                <w:szCs w:val="22"/>
                <w:lang w:eastAsia="ar-SA"/>
              </w:rPr>
              <w:t>Ministerstvo investícií, regionálneho rozvoja a informatizácie SR predložilo dňa 7. mája 2021 Stálej pracovnej komisii na posudzovanie vybraných vplyvov (ďalej len „Komisia“) na záverečné posúdenie materiál:</w:t>
            </w:r>
            <w:r w:rsidRPr="001E4B49">
              <w:rPr>
                <w:rFonts w:ascii="Times New Roman" w:hAnsi="Times New Roman" w:cs="Times New Roman"/>
                <w:bCs/>
                <w:i/>
                <w:szCs w:val="22"/>
                <w:lang w:eastAsia="ar-SA"/>
              </w:rPr>
              <w:t xml:space="preserve"> „Návrh zákona, ktorým sa mení a dopĺňa zákon č. 336/2015 Z. z. o podpore najmenej rozvinutých okresov a o zmene a doplnení niektorých zákonov v znení neskorších predpisov“</w:t>
            </w:r>
            <w:r w:rsidRPr="001E4B49">
              <w:rPr>
                <w:rFonts w:ascii="Times New Roman" w:hAnsi="Times New Roman" w:cs="Times New Roman"/>
                <w:bCs/>
                <w:szCs w:val="22"/>
                <w:lang w:eastAsia="ar-SA"/>
              </w:rPr>
              <w:t>. Materiál predpokladá pozitívno-negatívne vplyvy na rozpočet verejnej správy, ktoré sú čiastočne rozpočtovo zabezpečené,  pozitívne vplyvy na podnikateľské prostredie vrátane pozitívnych vplyvov na malé a stredné podniky a pozitívne sociálne vplyvy.</w:t>
            </w:r>
          </w:p>
          <w:p w14:paraId="72BDD125" w14:textId="77777777" w:rsidR="007E1CA3" w:rsidRPr="001E4B49" w:rsidRDefault="007E1CA3" w:rsidP="001E4B49">
            <w:pPr>
              <w:suppressAutoHyphens/>
              <w:spacing w:line="100" w:lineRule="atLeast"/>
              <w:jc w:val="both"/>
              <w:rPr>
                <w:rFonts w:ascii="Times New Roman" w:hAnsi="Times New Roman" w:cs="Times New Roman"/>
                <w:b/>
                <w:bCs/>
                <w:szCs w:val="22"/>
                <w:lang w:eastAsia="ar-SA"/>
              </w:rPr>
            </w:pPr>
          </w:p>
          <w:p w14:paraId="770D6B14" w14:textId="77777777" w:rsidR="007E1CA3" w:rsidRPr="001E4B49" w:rsidRDefault="007E1CA3" w:rsidP="001E4B49">
            <w:pPr>
              <w:suppressAutoHyphens/>
              <w:spacing w:line="100" w:lineRule="atLeast"/>
              <w:jc w:val="both"/>
              <w:rPr>
                <w:rFonts w:ascii="Times New Roman" w:hAnsi="Times New Roman" w:cs="Times New Roman"/>
                <w:bCs/>
                <w:szCs w:val="22"/>
                <w:lang w:eastAsia="ar-SA"/>
              </w:rPr>
            </w:pPr>
            <w:r w:rsidRPr="001E4B49">
              <w:rPr>
                <w:rFonts w:ascii="Times New Roman" w:hAnsi="Times New Roman" w:cs="Times New Roman"/>
                <w:b/>
                <w:bCs/>
                <w:szCs w:val="22"/>
                <w:lang w:eastAsia="ar-SA"/>
              </w:rPr>
              <w:t>II. P</w:t>
            </w:r>
            <w:r w:rsidRPr="001E4B49">
              <w:rPr>
                <w:rFonts w:ascii="Times New Roman" w:hAnsi="Times New Roman" w:cs="Times New Roman"/>
                <w:b/>
                <w:szCs w:val="22"/>
                <w:lang w:eastAsia="ar-SA"/>
              </w:rPr>
              <w:t>r</w:t>
            </w:r>
            <w:r w:rsidRPr="001E4B49">
              <w:rPr>
                <w:rFonts w:ascii="Times New Roman" w:hAnsi="Times New Roman" w:cs="Times New Roman"/>
                <w:b/>
                <w:bCs/>
                <w:szCs w:val="22"/>
                <w:lang w:eastAsia="ar-SA"/>
              </w:rPr>
              <w:t>ipomienky a návrhy zm</w:t>
            </w:r>
            <w:r w:rsidRPr="001E4B49">
              <w:rPr>
                <w:rFonts w:ascii="Times New Roman" w:hAnsi="Times New Roman" w:cs="Times New Roman"/>
                <w:b/>
                <w:szCs w:val="22"/>
                <w:lang w:eastAsia="ar-SA"/>
              </w:rPr>
              <w:t>ie</w:t>
            </w:r>
            <w:r w:rsidRPr="001E4B49">
              <w:rPr>
                <w:rFonts w:ascii="Times New Roman" w:hAnsi="Times New Roman" w:cs="Times New Roman"/>
                <w:b/>
                <w:bCs/>
                <w:szCs w:val="22"/>
                <w:lang w:eastAsia="ar-SA"/>
              </w:rPr>
              <w:t xml:space="preserve">n: </w:t>
            </w:r>
            <w:r w:rsidRPr="001E4B49">
              <w:rPr>
                <w:rFonts w:ascii="Times New Roman" w:hAnsi="Times New Roman" w:cs="Times New Roman"/>
                <w:bCs/>
                <w:szCs w:val="22"/>
                <w:lang w:eastAsia="ar-SA"/>
              </w:rPr>
              <w:t xml:space="preserve">Komisia uplatňuje k materiálu tieto pripomienky </w:t>
            </w:r>
            <w:r w:rsidRPr="001E4B49">
              <w:rPr>
                <w:rFonts w:ascii="Times New Roman" w:hAnsi="Times New Roman" w:cs="Times New Roman"/>
                <w:bCs/>
                <w:szCs w:val="22"/>
              </w:rPr>
              <w:t>a odporúčania</w:t>
            </w:r>
            <w:r w:rsidRPr="001E4B49">
              <w:rPr>
                <w:rFonts w:ascii="Times New Roman" w:hAnsi="Times New Roman" w:cs="Times New Roman"/>
                <w:bCs/>
                <w:szCs w:val="22"/>
                <w:lang w:eastAsia="ar-SA"/>
              </w:rPr>
              <w:t>:</w:t>
            </w:r>
          </w:p>
          <w:p w14:paraId="58D1DB2B" w14:textId="77777777" w:rsidR="007E1CA3" w:rsidRPr="001E4B49" w:rsidRDefault="007E1CA3" w:rsidP="001E4B49">
            <w:pPr>
              <w:suppressAutoHyphens/>
              <w:spacing w:line="100" w:lineRule="atLeast"/>
              <w:jc w:val="both"/>
              <w:rPr>
                <w:rFonts w:ascii="Times New Roman" w:hAnsi="Times New Roman" w:cs="Times New Roman"/>
                <w:bCs/>
                <w:szCs w:val="22"/>
                <w:lang w:eastAsia="ar-SA"/>
              </w:rPr>
            </w:pPr>
          </w:p>
          <w:p w14:paraId="05D1F909" w14:textId="77777777" w:rsidR="007E1CA3" w:rsidRPr="001E4B49" w:rsidRDefault="007E1CA3" w:rsidP="001E4B49">
            <w:pPr>
              <w:suppressAutoHyphens/>
              <w:spacing w:line="100" w:lineRule="atLeast"/>
              <w:jc w:val="both"/>
              <w:rPr>
                <w:rFonts w:ascii="Times New Roman" w:hAnsi="Times New Roman" w:cs="Times New Roman"/>
                <w:b/>
                <w:bCs/>
                <w:szCs w:val="22"/>
                <w:lang w:eastAsia="ar-SA"/>
              </w:rPr>
            </w:pPr>
            <w:r w:rsidRPr="001E4B49">
              <w:rPr>
                <w:rFonts w:ascii="Times New Roman" w:hAnsi="Times New Roman" w:cs="Times New Roman"/>
                <w:b/>
                <w:bCs/>
                <w:szCs w:val="22"/>
                <w:lang w:eastAsia="ar-SA"/>
              </w:rPr>
              <w:t>K vplyvom na rozpočet verejnej správy</w:t>
            </w:r>
          </w:p>
          <w:p w14:paraId="634B7DC6" w14:textId="77777777" w:rsidR="007E1CA3" w:rsidRPr="001E4B49" w:rsidRDefault="007E1CA3" w:rsidP="001E4B49">
            <w:pPr>
              <w:jc w:val="both"/>
              <w:rPr>
                <w:rFonts w:ascii="Times New Roman" w:hAnsi="Times New Roman" w:cs="Times New Roman"/>
                <w:szCs w:val="22"/>
              </w:rPr>
            </w:pPr>
            <w:r w:rsidRPr="001E4B49">
              <w:rPr>
                <w:rFonts w:ascii="Times New Roman" w:hAnsi="Times New Roman" w:cs="Times New Roman"/>
                <w:szCs w:val="22"/>
              </w:rPr>
              <w:t>V tab. č. 1 analýzy vplyvov sú kvantifikované výdavky v roku 2021 v sume 13 185 150 eur, v roku 2022 v sume 10 339 900 eur, v roku 2023 v sume 18 086 550 eur a v roku 2024 v sume 13 077 240 eur. V rokoch 2021 a 2022 sú vplyvy rozpočtovo zabezpečené v kapitole MIRRI SR/0ET06, čo Ministerstvo financií SR berie na vedomie.</w:t>
            </w:r>
          </w:p>
          <w:p w14:paraId="6224F4E9" w14:textId="77777777" w:rsidR="007E1CA3" w:rsidRPr="001E4B49" w:rsidRDefault="007E1CA3" w:rsidP="001E4B49">
            <w:pPr>
              <w:jc w:val="both"/>
              <w:rPr>
                <w:rFonts w:ascii="Times New Roman" w:hAnsi="Times New Roman" w:cs="Times New Roman"/>
                <w:b/>
                <w:bCs/>
                <w:szCs w:val="22"/>
                <w:lang w:eastAsia="ar-SA"/>
              </w:rPr>
            </w:pPr>
            <w:r w:rsidRPr="001E4B49">
              <w:rPr>
                <w:rFonts w:ascii="Times New Roman" w:hAnsi="Times New Roman" w:cs="Times New Roman"/>
                <w:szCs w:val="22"/>
              </w:rPr>
              <w:t>V roku 2023 je kvantifikovaný nekrytý vplyv v sume 9 190 900 eur a v roku 2024 v sume 4 181 590 eur</w:t>
            </w:r>
            <w:r w:rsidRPr="001E4B49">
              <w:rPr>
                <w:rFonts w:ascii="Times New Roman" w:hAnsi="Times New Roman" w:cs="Times New Roman"/>
                <w:color w:val="1F497D"/>
                <w:szCs w:val="22"/>
              </w:rPr>
              <w:t xml:space="preserve">. </w:t>
            </w:r>
            <w:r w:rsidRPr="001E4B49">
              <w:rPr>
                <w:rFonts w:ascii="Times New Roman" w:hAnsi="Times New Roman" w:cs="Times New Roman"/>
                <w:szCs w:val="22"/>
              </w:rPr>
              <w:t xml:space="preserve">V časti 2.1.1. Financovanie návrhu je uvedené, že „Rozpočtovo nekrytý vplyv na roky 2023 – 2024 bude predmetom rokovania o príprave rozpočtu s MFSR.“. Komisia upozorňuje, že v súčasnom rozpise limitov výdavkov nie sú uvedené prostriedky v rokoch 2023 a 2024 zabezpečené a preto odporúča pokračovať v legislatívnom procese až po doriešení finančných vplyvov. </w:t>
            </w:r>
          </w:p>
          <w:p w14:paraId="3ED482A2" w14:textId="77777777" w:rsidR="007E1CA3" w:rsidRPr="001E4B49" w:rsidRDefault="007E1CA3" w:rsidP="001E4B49">
            <w:pPr>
              <w:jc w:val="both"/>
              <w:rPr>
                <w:rFonts w:ascii="Times New Roman" w:hAnsi="Times New Roman" w:cs="Times New Roman"/>
                <w:b/>
                <w:bCs/>
                <w:szCs w:val="22"/>
                <w:lang w:eastAsia="ar-SA"/>
              </w:rPr>
            </w:pPr>
          </w:p>
          <w:p w14:paraId="79A46195" w14:textId="77777777" w:rsidR="007E1CA3" w:rsidRPr="001E4B49" w:rsidRDefault="007E1CA3" w:rsidP="001E4B49">
            <w:pPr>
              <w:jc w:val="both"/>
              <w:rPr>
                <w:rFonts w:ascii="Times New Roman" w:hAnsi="Times New Roman" w:cs="Times New Roman"/>
                <w:bCs/>
                <w:szCs w:val="22"/>
                <w:lang w:eastAsia="ar-SA"/>
              </w:rPr>
            </w:pPr>
            <w:r w:rsidRPr="001E4B49">
              <w:rPr>
                <w:rFonts w:ascii="Times New Roman" w:hAnsi="Times New Roman" w:cs="Times New Roman"/>
                <w:b/>
                <w:bCs/>
                <w:szCs w:val="22"/>
                <w:lang w:eastAsia="ar-SA"/>
              </w:rPr>
              <w:t xml:space="preserve">III. Záver: </w:t>
            </w:r>
            <w:r w:rsidRPr="001E4B49">
              <w:rPr>
                <w:rFonts w:ascii="Times New Roman" w:hAnsi="Times New Roman" w:cs="Times New Roman"/>
                <w:bCs/>
                <w:szCs w:val="22"/>
                <w:lang w:eastAsia="ar-SA"/>
              </w:rPr>
              <w:t xml:space="preserve">Stála pracovná komisia na posudzovanie vybraných vplyvov vyjadruje </w:t>
            </w:r>
          </w:p>
          <w:p w14:paraId="32407E13" w14:textId="77777777" w:rsidR="007E1CA3" w:rsidRPr="001E4B49" w:rsidRDefault="007E1CA3" w:rsidP="001E4B49">
            <w:pPr>
              <w:tabs>
                <w:tab w:val="center" w:pos="6379"/>
              </w:tabs>
              <w:suppressAutoHyphens/>
              <w:ind w:right="-2"/>
              <w:jc w:val="both"/>
              <w:rPr>
                <w:rFonts w:ascii="Times New Roman" w:hAnsi="Times New Roman" w:cs="Times New Roman"/>
                <w:bCs/>
                <w:szCs w:val="22"/>
                <w:lang w:eastAsia="ar-SA"/>
              </w:rPr>
            </w:pPr>
          </w:p>
          <w:p w14:paraId="6F317CEF" w14:textId="77777777" w:rsidR="007E1CA3" w:rsidRPr="001E4B49" w:rsidRDefault="007E1CA3" w:rsidP="001E4B49">
            <w:pPr>
              <w:tabs>
                <w:tab w:val="center" w:pos="6379"/>
              </w:tabs>
              <w:suppressAutoHyphens/>
              <w:jc w:val="center"/>
              <w:rPr>
                <w:rFonts w:ascii="Times New Roman" w:hAnsi="Times New Roman" w:cs="Times New Roman"/>
                <w:bCs/>
                <w:szCs w:val="22"/>
                <w:lang w:eastAsia="ar-SA"/>
              </w:rPr>
            </w:pPr>
            <w:r w:rsidRPr="001E4B49">
              <w:rPr>
                <w:rFonts w:ascii="Times New Roman" w:hAnsi="Times New Roman" w:cs="Times New Roman"/>
                <w:b/>
                <w:bCs/>
                <w:szCs w:val="22"/>
                <w:lang w:eastAsia="ar-SA"/>
              </w:rPr>
              <w:t>súhlasné stanovisko s návrhom na dopracovanie</w:t>
            </w:r>
          </w:p>
          <w:p w14:paraId="14F9CA15" w14:textId="06AF63C8" w:rsidR="007E1CA3" w:rsidRPr="001E4B49" w:rsidRDefault="007E1CA3" w:rsidP="001E4B49">
            <w:pPr>
              <w:jc w:val="both"/>
              <w:rPr>
                <w:rFonts w:ascii="Times New Roman" w:eastAsia="Calibri" w:hAnsi="Times New Roman" w:cs="Times New Roman"/>
                <w:b/>
                <w:bCs/>
                <w:szCs w:val="22"/>
              </w:rPr>
            </w:pPr>
            <w:r w:rsidRPr="001E4B49">
              <w:rPr>
                <w:rFonts w:ascii="Times New Roman" w:hAnsi="Times New Roman" w:cs="Times New Roman"/>
                <w:bCs/>
                <w:szCs w:val="22"/>
              </w:rPr>
              <w:t>s materiálom, ktorý bol predložený na záverečné posúdenie s odporúčaním na jeho dopracovanie podľa pripomienok v bode II.</w:t>
            </w:r>
          </w:p>
          <w:p w14:paraId="4DCA5268" w14:textId="77777777" w:rsidR="007E1CA3" w:rsidRPr="001E4B49" w:rsidRDefault="007E1CA3" w:rsidP="001E4B49">
            <w:pPr>
              <w:jc w:val="both"/>
              <w:rPr>
                <w:rFonts w:ascii="Times New Roman" w:hAnsi="Times New Roman" w:cs="Times New Roman"/>
                <w:bCs/>
                <w:szCs w:val="22"/>
              </w:rPr>
            </w:pPr>
            <w:r w:rsidRPr="001E4B49">
              <w:rPr>
                <w:rFonts w:ascii="Times New Roman" w:eastAsia="Calibri" w:hAnsi="Times New Roman" w:cs="Times New Roman"/>
                <w:b/>
                <w:bCs/>
                <w:szCs w:val="22"/>
              </w:rPr>
              <w:t xml:space="preserve">IV. Poznámka: </w:t>
            </w:r>
            <w:r w:rsidRPr="001E4B49">
              <w:rPr>
                <w:rFonts w:ascii="Times New Roman" w:hAnsi="Times New Roman" w:cs="Times New Roman"/>
                <w:bCs/>
                <w:szCs w:val="22"/>
              </w:rPr>
              <w:t>Stanovisko Komisie k doložke je súčasťou materiálu predkladaného na rokovanie vlády Slovenskej republiky alebo na schválenie ministrovi, vedúcemu, predsedovi alebo riaditeľovi ostatného ústredného orgánu štátnej správy alebo vedúcemu iného orgánu.</w:t>
            </w:r>
          </w:p>
          <w:p w14:paraId="65C84442" w14:textId="77777777" w:rsidR="007E1CA3" w:rsidRPr="001E4B49" w:rsidRDefault="007E1CA3" w:rsidP="001E4B49">
            <w:pPr>
              <w:rPr>
                <w:rFonts w:ascii="Times New Roman" w:hAnsi="Times New Roman" w:cs="Times New Roman"/>
              </w:rPr>
            </w:pPr>
          </w:p>
        </w:tc>
      </w:tr>
    </w:tbl>
    <w:p w14:paraId="18278111" w14:textId="77777777" w:rsidR="00142FD9" w:rsidRDefault="00142FD9">
      <w:r>
        <w:br w:type="page"/>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42FD9" w:rsidRPr="00CD4982" w14:paraId="413DA986" w14:textId="77777777" w:rsidTr="00142FD9">
        <w:trPr>
          <w:trHeight w:val="534"/>
          <w:jc w:val="center"/>
        </w:trPr>
        <w:tc>
          <w:tcPr>
            <w:tcW w:w="5000" w:type="pct"/>
            <w:tcBorders>
              <w:bottom w:val="single" w:sz="4" w:space="0" w:color="auto"/>
            </w:tcBorders>
            <w:shd w:val="clear" w:color="auto" w:fill="D9D9D9"/>
          </w:tcPr>
          <w:p w14:paraId="3E8F37B3" w14:textId="77777777" w:rsidR="00142FD9" w:rsidRPr="00CD4982" w:rsidRDefault="00142FD9" w:rsidP="00142FD9">
            <w:pPr>
              <w:ind w:left="-284" w:firstLine="284"/>
              <w:jc w:val="center"/>
              <w:rPr>
                <w:rFonts w:eastAsia="Calibri"/>
                <w:b/>
              </w:rPr>
            </w:pPr>
            <w:r>
              <w:rPr>
                <w:rFonts w:eastAsia="Calibri"/>
                <w:b/>
                <w:sz w:val="28"/>
              </w:rPr>
              <w:t>Analýza s</w:t>
            </w:r>
            <w:r w:rsidRPr="00CD4982">
              <w:rPr>
                <w:rFonts w:eastAsia="Calibri"/>
                <w:b/>
                <w:sz w:val="28"/>
              </w:rPr>
              <w:t>ociáln</w:t>
            </w:r>
            <w:r>
              <w:rPr>
                <w:rFonts w:eastAsia="Calibri"/>
                <w:b/>
                <w:sz w:val="28"/>
              </w:rPr>
              <w:t>ych</w:t>
            </w:r>
            <w:r w:rsidRPr="00CD4982">
              <w:rPr>
                <w:rFonts w:eastAsia="Calibri"/>
                <w:b/>
                <w:sz w:val="28"/>
              </w:rPr>
              <w:t xml:space="preserve"> vplyv</w:t>
            </w:r>
            <w:r>
              <w:rPr>
                <w:rFonts w:eastAsia="Calibri"/>
                <w:b/>
                <w:sz w:val="28"/>
              </w:rPr>
              <w:t>ov</w:t>
            </w:r>
          </w:p>
          <w:p w14:paraId="1758B5A8" w14:textId="77777777" w:rsidR="00142FD9" w:rsidRPr="00CD4982" w:rsidRDefault="00142FD9" w:rsidP="00142FD9">
            <w:pPr>
              <w:jc w:val="center"/>
              <w:rPr>
                <w:rFonts w:eastAsia="Calibri"/>
                <w:b/>
              </w:rPr>
            </w:pPr>
            <w:r w:rsidRPr="00CD4982">
              <w:rPr>
                <w:rFonts w:eastAsia="Calibri"/>
                <w:b/>
              </w:rPr>
              <w:t>Vplyvy na hospodárenie domácností, prístup k zdrojom, právam, tovarom a službám, sociálnu inklúziu, rovnosť príležitostí a rodovú rovnosť a vplyvy na zamestnanosť</w:t>
            </w:r>
          </w:p>
        </w:tc>
      </w:tr>
      <w:tr w:rsidR="00142FD9" w:rsidRPr="00CD4982" w14:paraId="30E1983F" w14:textId="77777777" w:rsidTr="00142FD9">
        <w:trPr>
          <w:jc w:val="center"/>
        </w:trPr>
        <w:tc>
          <w:tcPr>
            <w:tcW w:w="5000" w:type="pct"/>
            <w:tcBorders>
              <w:bottom w:val="nil"/>
            </w:tcBorders>
            <w:shd w:val="clear" w:color="auto" w:fill="D9D9D9"/>
          </w:tcPr>
          <w:p w14:paraId="759D5C0F" w14:textId="77777777" w:rsidR="00142FD9" w:rsidRPr="0040544D" w:rsidRDefault="00142FD9" w:rsidP="00142FD9">
            <w:pPr>
              <w:rPr>
                <w:rFonts w:eastAsia="Calibri"/>
                <w:b/>
              </w:rPr>
            </w:pPr>
            <w:r w:rsidRPr="00CD4982">
              <w:rPr>
                <w:rFonts w:eastAsia="Calibri"/>
                <w:b/>
              </w:rPr>
              <w:t>4.1 Identifikujte, popíšte a kvantifikujte vplyv na hospodárenie domácností a špecifikujte ovplyvnené skupiny domácností, ktoré budú pozitívne/negatívne ovplyvnené.</w:t>
            </w:r>
          </w:p>
        </w:tc>
      </w:tr>
    </w:tbl>
    <w:p w14:paraId="599A78D5" w14:textId="77777777" w:rsidR="00142FD9" w:rsidRDefault="00142FD9" w:rsidP="00142FD9">
      <w:pPr>
        <w:shd w:val="clear" w:color="auto" w:fill="F2F2F2"/>
        <w:rPr>
          <w:rFonts w:eastAsia="Calibri"/>
          <w:i/>
          <w:sz w:val="20"/>
          <w:szCs w:val="20"/>
        </w:rPr>
        <w:sectPr w:rsidR="00142FD9" w:rsidSect="00142FD9">
          <w:headerReference w:type="default" r:id="rId9"/>
          <w:footerReference w:type="default" r:id="rId10"/>
          <w:footnotePr>
            <w:numFmt w:val="chicago"/>
          </w:footnotePr>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42FD9" w:rsidRPr="00CD4982" w14:paraId="2B62D1D8" w14:textId="77777777" w:rsidTr="00142FD9">
        <w:trPr>
          <w:trHeight w:val="736"/>
          <w:jc w:val="center"/>
        </w:trPr>
        <w:tc>
          <w:tcPr>
            <w:tcW w:w="5000" w:type="pct"/>
            <w:tcBorders>
              <w:bottom w:val="single" w:sz="4" w:space="0" w:color="auto"/>
            </w:tcBorders>
            <w:shd w:val="clear" w:color="auto" w:fill="F2F2F2"/>
          </w:tcPr>
          <w:p w14:paraId="161A7C51" w14:textId="77777777" w:rsidR="00142FD9" w:rsidRPr="00CD4982" w:rsidRDefault="00142FD9" w:rsidP="00142FD9">
            <w:pPr>
              <w:shd w:val="clear" w:color="auto" w:fill="F2F2F2"/>
              <w:rPr>
                <w:rFonts w:eastAsia="Calibri"/>
                <w:i/>
                <w:sz w:val="20"/>
                <w:szCs w:val="20"/>
              </w:rPr>
            </w:pPr>
            <w:r w:rsidRPr="00CD4982">
              <w:rPr>
                <w:rFonts w:eastAsia="Calibri"/>
                <w:i/>
                <w:sz w:val="20"/>
                <w:szCs w:val="20"/>
              </w:rPr>
              <w:t xml:space="preserve">Vedie návrh k zvýšeniu alebo zníženiu príjmov alebo výdavkov domácností? </w:t>
            </w:r>
          </w:p>
          <w:p w14:paraId="111FE959" w14:textId="77777777" w:rsidR="00142FD9" w:rsidRPr="00CD4982" w:rsidRDefault="00142FD9" w:rsidP="00142FD9">
            <w:pPr>
              <w:shd w:val="clear" w:color="auto" w:fill="F2F2F2"/>
              <w:rPr>
                <w:rFonts w:eastAsia="Calibri"/>
                <w:i/>
                <w:sz w:val="20"/>
                <w:szCs w:val="20"/>
              </w:rPr>
            </w:pPr>
            <w:r w:rsidRPr="00CD4982">
              <w:rPr>
                <w:rFonts w:eastAsia="Calibri"/>
                <w:i/>
                <w:sz w:val="20"/>
                <w:szCs w:val="20"/>
              </w:rPr>
              <w:t xml:space="preserve">Ktoré skupiny domácností/obyvateľstva sú takto ovplyvnené a akým spôsobom? </w:t>
            </w:r>
          </w:p>
          <w:p w14:paraId="1047BE79" w14:textId="77777777" w:rsidR="00142FD9" w:rsidRPr="00CD4982" w:rsidRDefault="00142FD9" w:rsidP="00142FD9">
            <w:pPr>
              <w:shd w:val="clear" w:color="auto" w:fill="F2F2F2"/>
              <w:rPr>
                <w:rFonts w:ascii="Calibri" w:eastAsia="Calibri" w:hAnsi="Calibri"/>
                <w:i/>
                <w:sz w:val="20"/>
                <w:szCs w:val="20"/>
              </w:rPr>
            </w:pPr>
            <w:r w:rsidRPr="00CD4982">
              <w:rPr>
                <w:rFonts w:eastAsia="Calibri"/>
                <w:i/>
                <w:sz w:val="20"/>
                <w:szCs w:val="20"/>
              </w:rPr>
              <w:t>Sú medzi potenciálne ovplyvnenými skupinami skupiny v riziku chudoby alebo sociálneho vylúčenia?</w:t>
            </w:r>
          </w:p>
        </w:tc>
      </w:tr>
    </w:tbl>
    <w:p w14:paraId="0919138E" w14:textId="77777777" w:rsidR="00142FD9" w:rsidRDefault="00142FD9" w:rsidP="00142FD9">
      <w:pPr>
        <w:rPr>
          <w:rFonts w:eastAsia="Calibri"/>
          <w:i/>
          <w:sz w:val="20"/>
          <w:szCs w:val="20"/>
        </w:rPr>
        <w:sectPr w:rsidR="00142FD9" w:rsidSect="00142F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142FD9" w:rsidRPr="00CD4982" w14:paraId="0F476E17" w14:textId="77777777" w:rsidTr="00142FD9">
        <w:trPr>
          <w:trHeight w:val="759"/>
          <w:jc w:val="center"/>
        </w:trPr>
        <w:tc>
          <w:tcPr>
            <w:tcW w:w="2500" w:type="pct"/>
            <w:tcBorders>
              <w:top w:val="nil"/>
              <w:bottom w:val="dotted" w:sz="4" w:space="0" w:color="auto"/>
            </w:tcBorders>
            <w:shd w:val="clear" w:color="auto" w:fill="auto"/>
          </w:tcPr>
          <w:p w14:paraId="220FD806" w14:textId="77777777" w:rsidR="00142FD9" w:rsidRPr="00CD4982" w:rsidRDefault="00142FD9" w:rsidP="00142FD9">
            <w:pPr>
              <w:rPr>
                <w:rFonts w:eastAsia="Calibri"/>
                <w:i/>
                <w:sz w:val="20"/>
                <w:szCs w:val="20"/>
              </w:rPr>
            </w:pPr>
            <w:r>
              <w:rPr>
                <w:rFonts w:eastAsia="Calibri"/>
                <w:i/>
                <w:sz w:val="20"/>
                <w:szCs w:val="20"/>
              </w:rPr>
              <w:t xml:space="preserve">Popíšte </w:t>
            </w:r>
            <w:r w:rsidRPr="00E538C0">
              <w:rPr>
                <w:rFonts w:eastAsia="Calibri"/>
                <w:b/>
                <w:i/>
                <w:sz w:val="20"/>
                <w:szCs w:val="20"/>
              </w:rPr>
              <w:t>pozitívny</w:t>
            </w:r>
            <w:r>
              <w:rPr>
                <w:rFonts w:eastAsia="Calibri"/>
                <w:i/>
                <w:sz w:val="20"/>
                <w:szCs w:val="20"/>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14:paraId="54DF22D0" w14:textId="77777777" w:rsidR="00142FD9" w:rsidRPr="001867D3" w:rsidRDefault="00142FD9" w:rsidP="00142FD9">
            <w:pPr>
              <w:rPr>
                <w:rFonts w:eastAsia="Calibri"/>
              </w:rPr>
            </w:pPr>
            <w:r w:rsidRPr="001867D3">
              <w:rPr>
                <w:rFonts w:eastAsia="Calibri"/>
              </w:rPr>
              <w:t>Domácnosti budú nepriamo pozitívne ovplyvnené tým, že sa v okresoch rozšíria možnosti vzniku pracovných miest, čím sa prispeje k zvýšeniu príjmov domácností a životnej úrovne obyvateľstva.</w:t>
            </w:r>
          </w:p>
        </w:tc>
      </w:tr>
      <w:tr w:rsidR="00142FD9" w:rsidRPr="00CD4982" w14:paraId="2C80871D" w14:textId="77777777" w:rsidTr="00142FD9">
        <w:trPr>
          <w:trHeight w:val="624"/>
          <w:jc w:val="center"/>
        </w:trPr>
        <w:tc>
          <w:tcPr>
            <w:tcW w:w="2500" w:type="pct"/>
            <w:tcBorders>
              <w:top w:val="dotted" w:sz="4" w:space="0" w:color="auto"/>
            </w:tcBorders>
            <w:shd w:val="clear" w:color="auto" w:fill="auto"/>
          </w:tcPr>
          <w:p w14:paraId="42572ABE" w14:textId="77777777" w:rsidR="00142FD9" w:rsidRPr="00CD4982" w:rsidRDefault="00142FD9" w:rsidP="00142FD9">
            <w:pPr>
              <w:rPr>
                <w:rFonts w:eastAsia="Calibri"/>
                <w:i/>
                <w:sz w:val="20"/>
                <w:szCs w:val="20"/>
              </w:rPr>
            </w:pPr>
            <w:r>
              <w:rPr>
                <w:rFonts w:eastAsia="Calibri"/>
                <w:i/>
                <w:sz w:val="20"/>
                <w:szCs w:val="20"/>
              </w:rPr>
              <w:t xml:space="preserve">Špecifikujte </w:t>
            </w:r>
            <w:r w:rsidRPr="00E538C0">
              <w:rPr>
                <w:rFonts w:eastAsia="Calibri"/>
                <w:b/>
                <w:i/>
                <w:sz w:val="20"/>
                <w:szCs w:val="20"/>
              </w:rPr>
              <w:t>pozitívne</w:t>
            </w:r>
            <w:r>
              <w:rPr>
                <w:rFonts w:eastAsia="Calibri"/>
                <w:i/>
                <w:sz w:val="20"/>
                <w:szCs w:val="20"/>
              </w:rPr>
              <w:t xml:space="preserve"> ovplyvnené skupiny:</w:t>
            </w:r>
          </w:p>
        </w:tc>
        <w:tc>
          <w:tcPr>
            <w:tcW w:w="2500" w:type="pct"/>
            <w:tcBorders>
              <w:top w:val="dotted" w:sz="4" w:space="0" w:color="auto"/>
            </w:tcBorders>
            <w:shd w:val="clear" w:color="auto" w:fill="auto"/>
          </w:tcPr>
          <w:p w14:paraId="250F9251" w14:textId="77777777" w:rsidR="00142FD9" w:rsidRPr="001867D3" w:rsidRDefault="00142FD9" w:rsidP="00142FD9">
            <w:pPr>
              <w:jc w:val="both"/>
              <w:rPr>
                <w:rFonts w:eastAsia="Calibri"/>
              </w:rPr>
            </w:pPr>
            <w:r w:rsidRPr="001867D3">
              <w:rPr>
                <w:rFonts w:eastAsia="Calibri"/>
              </w:rPr>
              <w:t>Novoprijatí zamestnanci, znevýhodnení uchádzači o </w:t>
            </w:r>
            <w:r>
              <w:rPr>
                <w:rFonts w:eastAsia="Calibri"/>
              </w:rPr>
              <w:t>zamestnanie, obyvatelia okresov.</w:t>
            </w:r>
            <w:r w:rsidRPr="001867D3">
              <w:rPr>
                <w:rFonts w:eastAsia="Calibri"/>
              </w:rPr>
              <w:t xml:space="preserve">  </w:t>
            </w:r>
          </w:p>
          <w:p w14:paraId="616CF85A" w14:textId="77777777" w:rsidR="00142FD9" w:rsidRPr="0040544D" w:rsidRDefault="00142FD9" w:rsidP="00142FD9">
            <w:pPr>
              <w:rPr>
                <w:rFonts w:eastAsia="Calibri"/>
                <w:sz w:val="20"/>
                <w:szCs w:val="20"/>
              </w:rPr>
            </w:pPr>
          </w:p>
        </w:tc>
      </w:tr>
      <w:tr w:rsidR="00142FD9" w:rsidRPr="00CD4982" w14:paraId="4BBC2EC8" w14:textId="77777777" w:rsidTr="00142FD9">
        <w:trPr>
          <w:trHeight w:val="759"/>
          <w:jc w:val="center"/>
        </w:trPr>
        <w:tc>
          <w:tcPr>
            <w:tcW w:w="2500" w:type="pct"/>
            <w:tcBorders>
              <w:bottom w:val="dotted" w:sz="4" w:space="0" w:color="auto"/>
            </w:tcBorders>
            <w:shd w:val="clear" w:color="auto" w:fill="auto"/>
          </w:tcPr>
          <w:p w14:paraId="59CC2505" w14:textId="77777777" w:rsidR="00142FD9" w:rsidRPr="00E538C0" w:rsidRDefault="00142FD9" w:rsidP="00142FD9">
            <w:pPr>
              <w:rPr>
                <w:rFonts w:eastAsia="Calibri"/>
                <w:i/>
                <w:sz w:val="20"/>
                <w:szCs w:val="20"/>
              </w:rPr>
            </w:pPr>
            <w:r>
              <w:rPr>
                <w:rFonts w:eastAsia="Calibri"/>
                <w:i/>
                <w:sz w:val="20"/>
                <w:szCs w:val="20"/>
              </w:rPr>
              <w:t xml:space="preserve">Popíšte </w:t>
            </w:r>
            <w:r>
              <w:rPr>
                <w:rFonts w:eastAsia="Calibri"/>
                <w:b/>
                <w:i/>
                <w:sz w:val="20"/>
                <w:szCs w:val="20"/>
              </w:rPr>
              <w:t xml:space="preserve">negatívny </w:t>
            </w:r>
            <w:r>
              <w:rPr>
                <w:rFonts w:eastAsia="Calibri"/>
                <w:i/>
                <w:sz w:val="20"/>
                <w:szCs w:val="20"/>
              </w:rPr>
              <w:t>vplyv na hospodárenie domácností s uvedením, či ide o zníženie príjmov alebo zvýšenie výdavkov:</w:t>
            </w:r>
          </w:p>
        </w:tc>
        <w:tc>
          <w:tcPr>
            <w:tcW w:w="2500" w:type="pct"/>
            <w:tcBorders>
              <w:bottom w:val="dotted" w:sz="4" w:space="0" w:color="auto"/>
            </w:tcBorders>
            <w:shd w:val="clear" w:color="auto" w:fill="auto"/>
          </w:tcPr>
          <w:p w14:paraId="07B52795" w14:textId="77777777" w:rsidR="00142FD9" w:rsidRPr="0040544D" w:rsidRDefault="00142FD9" w:rsidP="00142FD9">
            <w:pPr>
              <w:rPr>
                <w:rFonts w:eastAsia="Calibri"/>
                <w:sz w:val="20"/>
                <w:szCs w:val="20"/>
              </w:rPr>
            </w:pPr>
          </w:p>
        </w:tc>
      </w:tr>
      <w:tr w:rsidR="00142FD9" w:rsidRPr="00CD4982" w14:paraId="29F0564A" w14:textId="77777777" w:rsidTr="00142FD9">
        <w:trPr>
          <w:trHeight w:val="624"/>
          <w:jc w:val="center"/>
        </w:trPr>
        <w:tc>
          <w:tcPr>
            <w:tcW w:w="2500" w:type="pct"/>
            <w:tcBorders>
              <w:top w:val="dotted" w:sz="4" w:space="0" w:color="auto"/>
              <w:bottom w:val="single" w:sz="4" w:space="0" w:color="auto"/>
            </w:tcBorders>
            <w:shd w:val="clear" w:color="auto" w:fill="auto"/>
          </w:tcPr>
          <w:p w14:paraId="0D5B9C94" w14:textId="77777777" w:rsidR="00142FD9" w:rsidRPr="00CD4982" w:rsidRDefault="00142FD9" w:rsidP="00142FD9">
            <w:pPr>
              <w:rPr>
                <w:rFonts w:eastAsia="Calibri"/>
                <w:i/>
                <w:sz w:val="20"/>
                <w:szCs w:val="20"/>
              </w:rPr>
            </w:pPr>
            <w:r>
              <w:rPr>
                <w:rFonts w:eastAsia="Calibri"/>
                <w:i/>
                <w:sz w:val="20"/>
                <w:szCs w:val="20"/>
              </w:rPr>
              <w:t xml:space="preserve">Špecifikujte </w:t>
            </w:r>
            <w:r w:rsidRPr="00F2597D">
              <w:rPr>
                <w:rFonts w:eastAsia="Calibri"/>
                <w:b/>
                <w:i/>
                <w:sz w:val="20"/>
                <w:szCs w:val="20"/>
              </w:rPr>
              <w:t>negatívne</w:t>
            </w:r>
            <w:r>
              <w:rPr>
                <w:rFonts w:eastAsia="Calibri"/>
                <w:i/>
                <w:sz w:val="20"/>
                <w:szCs w:val="20"/>
              </w:rPr>
              <w:t xml:space="preserve"> ovplyvnené skupiny:</w:t>
            </w:r>
          </w:p>
        </w:tc>
        <w:tc>
          <w:tcPr>
            <w:tcW w:w="2500" w:type="pct"/>
            <w:tcBorders>
              <w:top w:val="dotted" w:sz="4" w:space="0" w:color="auto"/>
              <w:bottom w:val="single" w:sz="4" w:space="0" w:color="auto"/>
            </w:tcBorders>
            <w:shd w:val="clear" w:color="auto" w:fill="auto"/>
          </w:tcPr>
          <w:p w14:paraId="0E929F27" w14:textId="77777777" w:rsidR="00142FD9" w:rsidRPr="0040544D" w:rsidRDefault="00142FD9" w:rsidP="00142FD9">
            <w:pPr>
              <w:rPr>
                <w:rFonts w:eastAsia="Calibri"/>
                <w:sz w:val="20"/>
                <w:szCs w:val="20"/>
              </w:rPr>
            </w:pPr>
          </w:p>
        </w:tc>
      </w:tr>
      <w:tr w:rsidR="00142FD9" w:rsidRPr="00CD4982" w14:paraId="43B6A181" w14:textId="77777777" w:rsidTr="00142FD9">
        <w:trPr>
          <w:trHeight w:val="680"/>
          <w:jc w:val="center"/>
        </w:trPr>
        <w:tc>
          <w:tcPr>
            <w:tcW w:w="2500" w:type="pct"/>
            <w:tcBorders>
              <w:bottom w:val="nil"/>
            </w:tcBorders>
            <w:shd w:val="clear" w:color="auto" w:fill="auto"/>
          </w:tcPr>
          <w:p w14:paraId="042B146D" w14:textId="77777777" w:rsidR="00142FD9" w:rsidRPr="00CD4982" w:rsidRDefault="00142FD9" w:rsidP="00142FD9">
            <w:pPr>
              <w:rPr>
                <w:rFonts w:eastAsia="Calibri"/>
                <w:i/>
                <w:sz w:val="20"/>
                <w:szCs w:val="20"/>
              </w:rPr>
            </w:pPr>
            <w:r>
              <w:rPr>
                <w:rFonts w:eastAsia="Calibri"/>
                <w:i/>
                <w:sz w:val="20"/>
                <w:szCs w:val="20"/>
              </w:rPr>
              <w:t xml:space="preserve">Špecifikujte ovplyvnené skupiny </w:t>
            </w:r>
            <w:r w:rsidRPr="00E538C0">
              <w:rPr>
                <w:rFonts w:eastAsia="Calibri"/>
                <w:b/>
                <w:i/>
                <w:sz w:val="20"/>
                <w:szCs w:val="20"/>
              </w:rPr>
              <w:t>v riziku chudoby alebo sociálneho vylúčenia</w:t>
            </w:r>
            <w:r>
              <w:rPr>
                <w:rFonts w:eastAsia="Calibri"/>
                <w:i/>
                <w:sz w:val="20"/>
                <w:szCs w:val="20"/>
              </w:rPr>
              <w:t xml:space="preserve"> a popíšte vplyv:</w:t>
            </w:r>
          </w:p>
        </w:tc>
        <w:tc>
          <w:tcPr>
            <w:tcW w:w="2500" w:type="pct"/>
            <w:tcBorders>
              <w:bottom w:val="nil"/>
            </w:tcBorders>
            <w:shd w:val="clear" w:color="auto" w:fill="auto"/>
          </w:tcPr>
          <w:p w14:paraId="03BB4E47" w14:textId="77777777" w:rsidR="00142FD9" w:rsidRPr="0040544D" w:rsidRDefault="00142FD9" w:rsidP="00142FD9">
            <w:pPr>
              <w:rPr>
                <w:rFonts w:eastAsia="Calibri"/>
                <w:sz w:val="20"/>
                <w:szCs w:val="20"/>
              </w:rPr>
            </w:pPr>
          </w:p>
        </w:tc>
      </w:tr>
    </w:tbl>
    <w:p w14:paraId="505EB60B" w14:textId="77777777" w:rsidR="00142FD9" w:rsidRDefault="00142FD9" w:rsidP="00142FD9">
      <w:pPr>
        <w:jc w:val="both"/>
        <w:rPr>
          <w:rFonts w:eastAsia="Calibri"/>
          <w:i/>
          <w:sz w:val="20"/>
          <w:szCs w:val="20"/>
        </w:rPr>
        <w:sectPr w:rsidR="00142FD9" w:rsidSect="00142FD9">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42FD9" w:rsidRPr="00CD4982" w14:paraId="17E80193" w14:textId="77777777" w:rsidTr="00142FD9">
        <w:trPr>
          <w:trHeight w:val="680"/>
          <w:jc w:val="center"/>
        </w:trPr>
        <w:tc>
          <w:tcPr>
            <w:tcW w:w="5000" w:type="pct"/>
            <w:shd w:val="clear" w:color="auto" w:fill="F2F2F2" w:themeFill="background1" w:themeFillShade="F2"/>
          </w:tcPr>
          <w:p w14:paraId="5C7A9837" w14:textId="77777777" w:rsidR="00142FD9" w:rsidRDefault="00142FD9" w:rsidP="00142FD9">
            <w:pPr>
              <w:jc w:val="both"/>
              <w:rPr>
                <w:rFonts w:eastAsia="Calibri"/>
                <w:i/>
                <w:sz w:val="20"/>
                <w:szCs w:val="20"/>
              </w:rPr>
            </w:pPr>
            <w:r w:rsidRPr="00CD4982">
              <w:rPr>
                <w:rFonts w:eastAsia="Calibri"/>
                <w:i/>
                <w:sz w:val="20"/>
                <w:szCs w:val="20"/>
              </w:rPr>
              <w:t>Kvantifikujte rast alebo pokles príjmov/výdavkov za jednotlivé ovplyvnené skupiny domácností / skupiny jednotlivcov a počet obyvateľstva/domácností ovplyvnených predkladaným materiálom.</w:t>
            </w:r>
          </w:p>
          <w:p w14:paraId="662E561D" w14:textId="77777777" w:rsidR="00142FD9" w:rsidRPr="00CD4982" w:rsidRDefault="00142FD9" w:rsidP="00142FD9">
            <w:pPr>
              <w:jc w:val="both"/>
              <w:rPr>
                <w:rFonts w:eastAsia="Calibri"/>
                <w:i/>
                <w:sz w:val="20"/>
                <w:szCs w:val="20"/>
              </w:rPr>
            </w:pPr>
            <w:r>
              <w:rPr>
                <w:rFonts w:eastAsia="Calibri"/>
                <w:i/>
                <w:sz w:val="20"/>
                <w:szCs w:val="20"/>
              </w:rPr>
              <w:t>V prípade vyššieho počtu ovplyvnených skupín doplňte do tabuľky ďalšie riadky.</w:t>
            </w:r>
          </w:p>
          <w:p w14:paraId="1AAA721A" w14:textId="77777777" w:rsidR="00142FD9" w:rsidRPr="0040544D" w:rsidRDefault="00142FD9" w:rsidP="00142FD9">
            <w:pPr>
              <w:tabs>
                <w:tab w:val="left" w:pos="3505"/>
              </w:tabs>
              <w:rPr>
                <w:rFonts w:eastAsia="Calibri"/>
                <w:sz w:val="20"/>
                <w:szCs w:val="20"/>
              </w:rPr>
            </w:pPr>
            <w:r w:rsidRPr="00CD4982">
              <w:rPr>
                <w:rFonts w:eastAsia="Calibri"/>
                <w:i/>
                <w:sz w:val="20"/>
                <w:szCs w:val="20"/>
              </w:rPr>
              <w:t>V prípade, ak neuvádzate kvantifikáciu, uveďte dôvod.</w:t>
            </w:r>
          </w:p>
        </w:tc>
      </w:tr>
    </w:tbl>
    <w:p w14:paraId="3A912BBC" w14:textId="77777777" w:rsidR="00142FD9" w:rsidRDefault="00142FD9" w:rsidP="00142FD9">
      <w:pPr>
        <w:jc w:val="both"/>
        <w:rPr>
          <w:rFonts w:eastAsia="Calibri"/>
          <w:b/>
          <w:i/>
          <w:sz w:val="20"/>
          <w:szCs w:val="20"/>
        </w:rPr>
        <w:sectPr w:rsidR="00142FD9" w:rsidSect="00142F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142FD9" w:rsidRPr="00CD4982" w14:paraId="4D24068F" w14:textId="77777777" w:rsidTr="00142FD9">
        <w:trPr>
          <w:trHeight w:val="286"/>
          <w:jc w:val="center"/>
        </w:trPr>
        <w:tc>
          <w:tcPr>
            <w:tcW w:w="5000" w:type="pct"/>
            <w:gridSpan w:val="2"/>
            <w:tcBorders>
              <w:top w:val="nil"/>
            </w:tcBorders>
            <w:shd w:val="clear" w:color="auto" w:fill="auto"/>
          </w:tcPr>
          <w:p w14:paraId="6E47A223" w14:textId="77777777" w:rsidR="00142FD9" w:rsidRPr="00CD4982" w:rsidRDefault="00142FD9" w:rsidP="00142FD9">
            <w:pPr>
              <w:jc w:val="both"/>
              <w:rPr>
                <w:rFonts w:eastAsia="Calibri"/>
                <w:i/>
                <w:sz w:val="20"/>
                <w:szCs w:val="20"/>
              </w:rPr>
            </w:pPr>
            <w:r w:rsidRPr="00DA4453">
              <w:rPr>
                <w:rFonts w:eastAsia="Calibri"/>
                <w:b/>
                <w:i/>
                <w:sz w:val="20"/>
                <w:szCs w:val="20"/>
              </w:rPr>
              <w:t>Ovplyvnená skupina č. 1:</w:t>
            </w:r>
          </w:p>
        </w:tc>
      </w:tr>
      <w:tr w:rsidR="00142FD9" w:rsidRPr="00CD4982" w14:paraId="4D8E6271" w14:textId="77777777" w:rsidTr="00142FD9">
        <w:trPr>
          <w:trHeight w:val="503"/>
          <w:jc w:val="center"/>
        </w:trPr>
        <w:tc>
          <w:tcPr>
            <w:tcW w:w="2500" w:type="pct"/>
            <w:tcBorders>
              <w:bottom w:val="single" w:sz="4" w:space="0" w:color="BFBFBF" w:themeColor="background1" w:themeShade="BF"/>
            </w:tcBorders>
            <w:shd w:val="clear" w:color="auto" w:fill="auto"/>
          </w:tcPr>
          <w:p w14:paraId="7A1C80E0" w14:textId="77777777" w:rsidR="00142FD9" w:rsidRPr="00CD4982" w:rsidRDefault="00142FD9" w:rsidP="00142FD9">
            <w:pPr>
              <w:rPr>
                <w:rFonts w:eastAsia="Calibri"/>
                <w:i/>
                <w:sz w:val="20"/>
                <w:szCs w:val="20"/>
              </w:rPr>
            </w:pPr>
            <w:r w:rsidRPr="00CD4982">
              <w:rPr>
                <w:rFonts w:eastAsia="Calibri"/>
                <w:i/>
                <w:sz w:val="20"/>
                <w:szCs w:val="20"/>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14:paraId="328904EA" w14:textId="77777777" w:rsidR="00142FD9" w:rsidRPr="001867D3" w:rsidRDefault="00142FD9" w:rsidP="00142FD9">
            <w:pPr>
              <w:jc w:val="both"/>
              <w:rPr>
                <w:rFonts w:eastAsia="Calibri"/>
              </w:rPr>
            </w:pPr>
            <w:r w:rsidRPr="001867D3">
              <w:rPr>
                <w:rFonts w:eastAsia="Calibri"/>
              </w:rPr>
              <w:t>Vzhľadom na to, že pracovné miesta vzniknú ako dôsledok udelenia podpory na realizáciu projektov, v súčasnosti nie je možná kvantifikácia priemerného rastu príjmov/pokles výdavkov v skupine</w:t>
            </w:r>
          </w:p>
        </w:tc>
      </w:tr>
      <w:tr w:rsidR="00142FD9" w:rsidRPr="00CD4982" w14:paraId="0B38A793" w14:textId="77777777" w:rsidTr="00142FD9">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14:paraId="6A63764B" w14:textId="77777777" w:rsidR="00142FD9" w:rsidRPr="00CD4982" w:rsidRDefault="00142FD9" w:rsidP="00142FD9">
            <w:pPr>
              <w:rPr>
                <w:rFonts w:ascii="Calibri" w:eastAsia="Calibri" w:hAnsi="Calibri"/>
                <w:i/>
                <w:sz w:val="20"/>
                <w:szCs w:val="20"/>
              </w:rPr>
            </w:pPr>
            <w:r w:rsidRPr="00CD4982">
              <w:rPr>
                <w:rFonts w:eastAsia="Calibri"/>
                <w:i/>
                <w:sz w:val="20"/>
                <w:szCs w:val="20"/>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14:paraId="04BE1502" w14:textId="77777777" w:rsidR="00142FD9" w:rsidRPr="00CA6BAF" w:rsidRDefault="00142FD9" w:rsidP="00142FD9">
            <w:pPr>
              <w:jc w:val="both"/>
              <w:rPr>
                <w:rFonts w:eastAsia="Calibri"/>
                <w:sz w:val="20"/>
                <w:szCs w:val="20"/>
              </w:rPr>
            </w:pPr>
          </w:p>
        </w:tc>
      </w:tr>
      <w:tr w:rsidR="00142FD9" w:rsidRPr="00CD4982" w14:paraId="66535883" w14:textId="77777777" w:rsidTr="00142FD9">
        <w:trPr>
          <w:trHeight w:val="363"/>
          <w:jc w:val="center"/>
        </w:trPr>
        <w:tc>
          <w:tcPr>
            <w:tcW w:w="2500" w:type="pct"/>
            <w:tcBorders>
              <w:top w:val="single" w:sz="4" w:space="0" w:color="BFBFBF" w:themeColor="background1" w:themeShade="BF"/>
              <w:bottom w:val="single" w:sz="4" w:space="0" w:color="auto"/>
            </w:tcBorders>
            <w:shd w:val="clear" w:color="auto" w:fill="auto"/>
          </w:tcPr>
          <w:p w14:paraId="17816E93" w14:textId="77777777" w:rsidR="00142FD9" w:rsidRPr="00CD4982" w:rsidRDefault="00142FD9" w:rsidP="00142FD9">
            <w:pPr>
              <w:rPr>
                <w:rFonts w:ascii="Calibri" w:eastAsia="Calibri" w:hAnsi="Calibri"/>
                <w:i/>
                <w:sz w:val="20"/>
                <w:szCs w:val="20"/>
              </w:rPr>
            </w:pPr>
            <w:r w:rsidRPr="00CD4982">
              <w:rPr>
                <w:rFonts w:eastAsia="Calibri"/>
                <w:i/>
                <w:sz w:val="20"/>
                <w:szCs w:val="20"/>
              </w:rPr>
              <w:t>Veľkosť skupiny (počet obyvateľov):</w:t>
            </w:r>
          </w:p>
        </w:tc>
        <w:tc>
          <w:tcPr>
            <w:tcW w:w="2500" w:type="pct"/>
            <w:tcBorders>
              <w:top w:val="single" w:sz="4" w:space="0" w:color="BFBFBF" w:themeColor="background1" w:themeShade="BF"/>
              <w:bottom w:val="single" w:sz="4" w:space="0" w:color="auto"/>
            </w:tcBorders>
            <w:shd w:val="clear" w:color="auto" w:fill="auto"/>
          </w:tcPr>
          <w:p w14:paraId="5B7BAB68" w14:textId="77777777" w:rsidR="00142FD9" w:rsidRPr="001867D3" w:rsidRDefault="00142FD9" w:rsidP="00142FD9">
            <w:pPr>
              <w:pStyle w:val="Normlnywebov"/>
              <w:jc w:val="both"/>
              <w:rPr>
                <w:sz w:val="22"/>
                <w:szCs w:val="22"/>
              </w:rPr>
            </w:pPr>
            <w:r w:rsidRPr="001867D3">
              <w:rPr>
                <w:sz w:val="22"/>
                <w:szCs w:val="22"/>
              </w:rPr>
              <w:t xml:space="preserve">Nie je možné určiť počet obyvateľov, u ktorých dôjde k zvýšeniu príjmov. Uvedený faktor súvisí s počtom vytvorených pracovných miest. </w:t>
            </w:r>
          </w:p>
          <w:p w14:paraId="326BA2DA" w14:textId="77777777" w:rsidR="00142FD9" w:rsidRPr="00CA6BAF" w:rsidRDefault="00142FD9" w:rsidP="00142FD9">
            <w:pPr>
              <w:jc w:val="both"/>
              <w:rPr>
                <w:rFonts w:eastAsia="Calibri"/>
                <w:sz w:val="20"/>
                <w:szCs w:val="20"/>
              </w:rPr>
            </w:pPr>
          </w:p>
        </w:tc>
      </w:tr>
      <w:tr w:rsidR="00142FD9" w:rsidRPr="00CD4982" w14:paraId="553CD374" w14:textId="77777777" w:rsidTr="00142FD9">
        <w:trPr>
          <w:trHeight w:val="265"/>
          <w:jc w:val="center"/>
        </w:trPr>
        <w:tc>
          <w:tcPr>
            <w:tcW w:w="5000" w:type="pct"/>
            <w:gridSpan w:val="2"/>
            <w:tcBorders>
              <w:top w:val="single" w:sz="4" w:space="0" w:color="auto"/>
            </w:tcBorders>
            <w:shd w:val="clear" w:color="auto" w:fill="auto"/>
          </w:tcPr>
          <w:p w14:paraId="26779932" w14:textId="77777777" w:rsidR="00142FD9" w:rsidRPr="00CD4982" w:rsidRDefault="00142FD9" w:rsidP="00142FD9">
            <w:pPr>
              <w:jc w:val="both"/>
              <w:rPr>
                <w:rFonts w:eastAsia="Calibri"/>
                <w:i/>
                <w:sz w:val="20"/>
                <w:szCs w:val="20"/>
              </w:rPr>
            </w:pPr>
            <w:r w:rsidRPr="00DA4453">
              <w:rPr>
                <w:rFonts w:eastAsia="Calibri"/>
                <w:b/>
                <w:i/>
                <w:sz w:val="20"/>
                <w:szCs w:val="20"/>
              </w:rPr>
              <w:t>Ovplyvnená skupina č. 2:</w:t>
            </w:r>
          </w:p>
        </w:tc>
      </w:tr>
      <w:tr w:rsidR="00142FD9" w:rsidRPr="00CD4982" w14:paraId="18B2CF7B" w14:textId="77777777" w:rsidTr="00142FD9">
        <w:trPr>
          <w:trHeight w:val="587"/>
          <w:jc w:val="center"/>
        </w:trPr>
        <w:tc>
          <w:tcPr>
            <w:tcW w:w="2500" w:type="pct"/>
            <w:tcBorders>
              <w:bottom w:val="single" w:sz="4" w:space="0" w:color="BFBFBF" w:themeColor="background1" w:themeShade="BF"/>
            </w:tcBorders>
            <w:shd w:val="clear" w:color="auto" w:fill="auto"/>
          </w:tcPr>
          <w:p w14:paraId="1988DD23" w14:textId="77777777" w:rsidR="00142FD9" w:rsidRPr="00CD4982" w:rsidRDefault="00142FD9" w:rsidP="00142FD9">
            <w:pPr>
              <w:rPr>
                <w:rFonts w:eastAsia="Calibri"/>
                <w:i/>
                <w:sz w:val="20"/>
                <w:szCs w:val="20"/>
              </w:rPr>
            </w:pPr>
            <w:r w:rsidRPr="00CD4982">
              <w:rPr>
                <w:rFonts w:eastAsia="Calibri"/>
                <w:i/>
                <w:sz w:val="20"/>
                <w:szCs w:val="20"/>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14:paraId="329852F2" w14:textId="77777777" w:rsidR="00142FD9" w:rsidRPr="00CA6BAF" w:rsidRDefault="00142FD9" w:rsidP="00142FD9">
            <w:pPr>
              <w:jc w:val="both"/>
              <w:rPr>
                <w:rFonts w:eastAsia="Calibri"/>
                <w:sz w:val="20"/>
                <w:szCs w:val="20"/>
              </w:rPr>
            </w:pPr>
          </w:p>
        </w:tc>
      </w:tr>
      <w:tr w:rsidR="00142FD9" w:rsidRPr="00CD4982" w14:paraId="7A3808AC" w14:textId="77777777" w:rsidTr="00142FD9">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14:paraId="1ECE52B0" w14:textId="77777777" w:rsidR="00142FD9" w:rsidRPr="00CD4982" w:rsidRDefault="00142FD9" w:rsidP="00142FD9">
            <w:pPr>
              <w:rPr>
                <w:rFonts w:ascii="Calibri" w:eastAsia="Calibri" w:hAnsi="Calibri"/>
                <w:i/>
                <w:sz w:val="20"/>
                <w:szCs w:val="20"/>
              </w:rPr>
            </w:pPr>
            <w:r w:rsidRPr="00CD4982">
              <w:rPr>
                <w:rFonts w:eastAsia="Calibri"/>
                <w:i/>
                <w:sz w:val="20"/>
                <w:szCs w:val="20"/>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14:paraId="6C46FBD5" w14:textId="77777777" w:rsidR="00142FD9" w:rsidRPr="00CA6BAF" w:rsidRDefault="00142FD9" w:rsidP="00142FD9">
            <w:pPr>
              <w:jc w:val="both"/>
              <w:rPr>
                <w:rFonts w:eastAsia="Calibri"/>
                <w:sz w:val="20"/>
                <w:szCs w:val="20"/>
              </w:rPr>
            </w:pPr>
          </w:p>
        </w:tc>
      </w:tr>
      <w:tr w:rsidR="00142FD9" w:rsidRPr="00CD4982" w14:paraId="5E9D27EB" w14:textId="77777777" w:rsidTr="00142FD9">
        <w:trPr>
          <w:trHeight w:val="363"/>
          <w:jc w:val="center"/>
        </w:trPr>
        <w:tc>
          <w:tcPr>
            <w:tcW w:w="2500" w:type="pct"/>
            <w:tcBorders>
              <w:top w:val="single" w:sz="4" w:space="0" w:color="BFBFBF" w:themeColor="background1" w:themeShade="BF"/>
            </w:tcBorders>
            <w:shd w:val="clear" w:color="auto" w:fill="auto"/>
          </w:tcPr>
          <w:p w14:paraId="52B196B5" w14:textId="77777777" w:rsidR="00142FD9" w:rsidRPr="00CD4982" w:rsidRDefault="00142FD9" w:rsidP="00142FD9">
            <w:pPr>
              <w:rPr>
                <w:rFonts w:ascii="Calibri" w:eastAsia="Calibri" w:hAnsi="Calibri"/>
                <w:i/>
                <w:sz w:val="20"/>
                <w:szCs w:val="20"/>
              </w:rPr>
            </w:pPr>
            <w:r w:rsidRPr="00CD4982">
              <w:rPr>
                <w:rFonts w:eastAsia="Calibri"/>
                <w:i/>
                <w:sz w:val="20"/>
                <w:szCs w:val="20"/>
              </w:rPr>
              <w:t>Veľkosť skupiny (počet obyvateľov):</w:t>
            </w:r>
          </w:p>
        </w:tc>
        <w:tc>
          <w:tcPr>
            <w:tcW w:w="2500" w:type="pct"/>
            <w:tcBorders>
              <w:top w:val="single" w:sz="4" w:space="0" w:color="BFBFBF" w:themeColor="background1" w:themeShade="BF"/>
            </w:tcBorders>
            <w:shd w:val="clear" w:color="auto" w:fill="auto"/>
          </w:tcPr>
          <w:p w14:paraId="01EF9113" w14:textId="77777777" w:rsidR="00142FD9" w:rsidRPr="00CA6BAF" w:rsidRDefault="00142FD9" w:rsidP="00142FD9">
            <w:pPr>
              <w:jc w:val="both"/>
              <w:rPr>
                <w:rFonts w:eastAsia="Calibri"/>
                <w:sz w:val="20"/>
                <w:szCs w:val="20"/>
              </w:rPr>
            </w:pPr>
          </w:p>
        </w:tc>
      </w:tr>
      <w:tr w:rsidR="00142FD9" w:rsidRPr="00CD4982" w14:paraId="5E039B8C" w14:textId="77777777" w:rsidTr="00142FD9">
        <w:trPr>
          <w:trHeight w:val="670"/>
          <w:jc w:val="center"/>
        </w:trPr>
        <w:tc>
          <w:tcPr>
            <w:tcW w:w="2500" w:type="pct"/>
            <w:shd w:val="clear" w:color="auto" w:fill="auto"/>
          </w:tcPr>
          <w:p w14:paraId="4E114E0B" w14:textId="77777777" w:rsidR="00142FD9" w:rsidRPr="00CD4982" w:rsidRDefault="00142FD9" w:rsidP="00142FD9">
            <w:pPr>
              <w:rPr>
                <w:rFonts w:ascii="Calibri" w:eastAsia="Calibri" w:hAnsi="Calibri"/>
                <w:i/>
                <w:sz w:val="20"/>
                <w:szCs w:val="20"/>
              </w:rPr>
            </w:pPr>
            <w:r w:rsidRPr="00CD4982">
              <w:rPr>
                <w:rFonts w:eastAsia="Calibri"/>
                <w:i/>
                <w:sz w:val="20"/>
                <w:szCs w:val="20"/>
              </w:rPr>
              <w:t>Dôvod chýbajúcej kvantifikácie:</w:t>
            </w:r>
          </w:p>
        </w:tc>
        <w:tc>
          <w:tcPr>
            <w:tcW w:w="2500" w:type="pct"/>
            <w:shd w:val="clear" w:color="auto" w:fill="auto"/>
          </w:tcPr>
          <w:p w14:paraId="08EBED84" w14:textId="77777777" w:rsidR="00142FD9" w:rsidRPr="00CA6BAF" w:rsidRDefault="00142FD9" w:rsidP="00142FD9">
            <w:pPr>
              <w:jc w:val="both"/>
              <w:rPr>
                <w:rFonts w:eastAsia="Calibri"/>
                <w:sz w:val="20"/>
                <w:szCs w:val="20"/>
              </w:rPr>
            </w:pPr>
          </w:p>
        </w:tc>
      </w:tr>
      <w:tr w:rsidR="00142FD9" w:rsidRPr="00CD4982" w14:paraId="3030D503" w14:textId="77777777" w:rsidTr="00142FD9">
        <w:trPr>
          <w:trHeight w:val="670"/>
          <w:jc w:val="center"/>
        </w:trPr>
        <w:tc>
          <w:tcPr>
            <w:tcW w:w="2500" w:type="pct"/>
            <w:shd w:val="clear" w:color="auto" w:fill="auto"/>
          </w:tcPr>
          <w:p w14:paraId="4B732559" w14:textId="77777777" w:rsidR="00142FD9" w:rsidRPr="00CD4982" w:rsidRDefault="00142FD9" w:rsidP="00142FD9">
            <w:pPr>
              <w:jc w:val="both"/>
              <w:rPr>
                <w:rFonts w:eastAsia="Calibri"/>
                <w:i/>
              </w:rPr>
            </w:pPr>
            <w:r w:rsidRPr="00CD4982">
              <w:rPr>
                <w:rFonts w:eastAsia="Calibri"/>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14:paraId="1B6C98DB" w14:textId="77777777" w:rsidR="00142FD9" w:rsidRPr="00CA6BAF" w:rsidRDefault="00142FD9" w:rsidP="00142FD9">
            <w:pPr>
              <w:jc w:val="both"/>
              <w:rPr>
                <w:rFonts w:eastAsia="Calibri"/>
                <w:sz w:val="20"/>
                <w:szCs w:val="20"/>
              </w:rPr>
            </w:pPr>
          </w:p>
        </w:tc>
      </w:tr>
    </w:tbl>
    <w:p w14:paraId="5C68AA8E" w14:textId="77777777" w:rsidR="00142FD9" w:rsidRPr="00A30F1C" w:rsidRDefault="00142FD9" w:rsidP="00142FD9">
      <w:pPr>
        <w:rPr>
          <w:sz w:val="20"/>
          <w:szCs w:val="20"/>
        </w:rPr>
      </w:pPr>
    </w:p>
    <w:p w14:paraId="3663FAF4" w14:textId="77777777" w:rsidR="00142FD9" w:rsidRDefault="00142FD9" w:rsidP="00142FD9">
      <w:pPr>
        <w:rPr>
          <w:rFonts w:eastAsia="Calibri"/>
          <w:b/>
        </w:rPr>
      </w:pPr>
      <w:r>
        <w:rPr>
          <w:rFonts w:eastAsia="Calibri"/>
          <w:b/>
        </w:rPr>
        <w:br w:type="page"/>
      </w:r>
    </w:p>
    <w:p w14:paraId="349F35AA" w14:textId="77777777" w:rsidR="00142FD9" w:rsidRDefault="00142FD9" w:rsidP="00142FD9">
      <w:pPr>
        <w:rPr>
          <w:rFonts w:eastAsia="Calibri"/>
          <w:b/>
        </w:rPr>
        <w:sectPr w:rsidR="00142FD9" w:rsidSect="00142FD9">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42FD9" w:rsidRPr="00CD4982" w14:paraId="0A3F3467" w14:textId="77777777" w:rsidTr="00142FD9">
        <w:trPr>
          <w:trHeight w:val="339"/>
          <w:jc w:val="center"/>
        </w:trPr>
        <w:tc>
          <w:tcPr>
            <w:tcW w:w="5000" w:type="pct"/>
            <w:tcBorders>
              <w:bottom w:val="single" w:sz="4" w:space="0" w:color="auto"/>
            </w:tcBorders>
            <w:shd w:val="clear" w:color="auto" w:fill="D9D9D9"/>
          </w:tcPr>
          <w:p w14:paraId="5ADA781F" w14:textId="77777777" w:rsidR="00142FD9" w:rsidRPr="00CD4982" w:rsidRDefault="00142FD9" w:rsidP="00142FD9">
            <w:pPr>
              <w:rPr>
                <w:rFonts w:eastAsia="Calibri"/>
                <w:b/>
              </w:rPr>
            </w:pPr>
            <w:r w:rsidRPr="00CD4982">
              <w:rPr>
                <w:rFonts w:eastAsia="Calibri"/>
                <w:b/>
              </w:rPr>
              <w:t>4.2 Identifikujte, popíšte a kvantifikujte vplyvy na prístup k zdrojom, právam, tovarom a službám u jednotlivých ovplyvnených skupín obyvateľstva a vplyv na sociálnu inklúziu.</w:t>
            </w:r>
          </w:p>
        </w:tc>
      </w:tr>
      <w:tr w:rsidR="00142FD9" w:rsidRPr="00CD4982" w14:paraId="1F717E64" w14:textId="77777777" w:rsidTr="00142FD9">
        <w:trPr>
          <w:trHeight w:val="290"/>
          <w:jc w:val="center"/>
        </w:trPr>
        <w:tc>
          <w:tcPr>
            <w:tcW w:w="5000" w:type="pct"/>
            <w:tcBorders>
              <w:bottom w:val="single" w:sz="4" w:space="0" w:color="auto"/>
            </w:tcBorders>
            <w:shd w:val="clear" w:color="auto" w:fill="F2F2F2"/>
          </w:tcPr>
          <w:p w14:paraId="35C9FF8D" w14:textId="77777777" w:rsidR="00142FD9" w:rsidRPr="00CD4982" w:rsidRDefault="00142FD9" w:rsidP="00142FD9">
            <w:pPr>
              <w:jc w:val="both"/>
              <w:rPr>
                <w:rFonts w:eastAsia="Calibri"/>
                <w:i/>
                <w:sz w:val="20"/>
              </w:rPr>
            </w:pPr>
            <w:r w:rsidRPr="00CD4982">
              <w:rPr>
                <w:rFonts w:eastAsia="Calibri"/>
                <w:i/>
                <w:sz w:val="20"/>
              </w:rPr>
              <w:t xml:space="preserve">Má návrh vplyv na prístup k zdrojom, právam, tovarom a službám? </w:t>
            </w:r>
          </w:p>
          <w:p w14:paraId="215D9D8A" w14:textId="77777777" w:rsidR="00142FD9" w:rsidRPr="00CD4982" w:rsidRDefault="00142FD9" w:rsidP="00142FD9">
            <w:pPr>
              <w:jc w:val="both"/>
              <w:rPr>
                <w:rFonts w:ascii="Calibri" w:eastAsia="Calibri" w:hAnsi="Calibri"/>
                <w:i/>
              </w:rPr>
            </w:pPr>
            <w:r w:rsidRPr="00CD4982">
              <w:rPr>
                <w:rFonts w:eastAsia="Calibri"/>
                <w:i/>
                <w:sz w:val="20"/>
              </w:rPr>
              <w:t>Špecifikujete ovplyvnené skupiny obyvateľstva a charakter zmeny v prístupnosti s ohľadom na dostupnosť finančnú, geografickú, kvalitu, organizovanie a pod. Uveďte veľkosť jednotlivých ovplyvnených skupín.</w:t>
            </w:r>
          </w:p>
        </w:tc>
      </w:tr>
    </w:tbl>
    <w:p w14:paraId="600A9233" w14:textId="77777777" w:rsidR="00142FD9" w:rsidRDefault="00142FD9" w:rsidP="00142FD9">
      <w:pPr>
        <w:jc w:val="both"/>
        <w:rPr>
          <w:rFonts w:eastAsia="Calibri"/>
          <w:i/>
          <w:sz w:val="18"/>
          <w:szCs w:val="18"/>
        </w:rPr>
        <w:sectPr w:rsidR="00142FD9" w:rsidSect="00142F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142FD9" w:rsidRPr="00CD4982" w14:paraId="28DF0ECF" w14:textId="77777777" w:rsidTr="00142FD9">
        <w:trPr>
          <w:trHeight w:val="557"/>
          <w:jc w:val="center"/>
        </w:trPr>
        <w:tc>
          <w:tcPr>
            <w:tcW w:w="1993" w:type="pct"/>
            <w:shd w:val="clear" w:color="auto" w:fill="auto"/>
          </w:tcPr>
          <w:p w14:paraId="1097A07F" w14:textId="77777777" w:rsidR="00142FD9" w:rsidRPr="00CD4982" w:rsidRDefault="00142FD9" w:rsidP="00142FD9">
            <w:pPr>
              <w:jc w:val="both"/>
              <w:rPr>
                <w:rFonts w:eastAsia="Calibri"/>
                <w:i/>
                <w:sz w:val="18"/>
                <w:szCs w:val="18"/>
              </w:rPr>
            </w:pPr>
            <w:r w:rsidRPr="00CD4982">
              <w:rPr>
                <w:rFonts w:eastAsia="Calibri"/>
                <w:i/>
                <w:sz w:val="18"/>
                <w:szCs w:val="18"/>
              </w:rPr>
              <w:t>Rozumie sa najmä na prístup k:</w:t>
            </w:r>
          </w:p>
          <w:p w14:paraId="23F4E62E"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 xml:space="preserve">sociálnej ochrane, sociálno-právnej ochrane, sociálnym službám (vrátane služieb starostlivosti o deti, starších ľudí a ľudí so zdravotným postihnutím), </w:t>
            </w:r>
          </w:p>
          <w:p w14:paraId="052F357A"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kvalitnej práci, ochrane zdravia, dôstojnosti a bezpečnosti pri práci pre zamestnancov a existujúcim zamestnaneckým právam,</w:t>
            </w:r>
          </w:p>
          <w:p w14:paraId="7F2336B9"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 xml:space="preserve">pomoci pri úhrade výdavkov súvisiacich so zdravotným postihnutím, </w:t>
            </w:r>
          </w:p>
          <w:p w14:paraId="04F75A43"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zamestnaniu, na trh práce (napr. uľahčenie zosúladenia rodinných a pracovných povinností, služby zamestnanosti), k školeniam, odbornému vzdelávaniu a príprave na trh práce,</w:t>
            </w:r>
          </w:p>
          <w:p w14:paraId="204E63FB"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 xml:space="preserve">zdravotnej starostlivosti vrátane cenovo dostupných pomôcok pre občanov so zdravotným postihnutím, </w:t>
            </w:r>
          </w:p>
          <w:p w14:paraId="7A5E4B07"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k formálnemu i neformálnemu vzdelávaniu a celo</w:t>
            </w:r>
            <w:r w:rsidRPr="00CD4982">
              <w:rPr>
                <w:rFonts w:eastAsia="Calibri"/>
                <w:i/>
                <w:sz w:val="18"/>
                <w:szCs w:val="18"/>
              </w:rPr>
              <w:softHyphen/>
              <w:t xml:space="preserve">životnému vzdelávaniu, </w:t>
            </w:r>
          </w:p>
          <w:p w14:paraId="0E714A40"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bývaniu a súvisiacim základným komunálnym službám,</w:t>
            </w:r>
          </w:p>
          <w:p w14:paraId="2B3A32B9"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doprave,</w:t>
            </w:r>
          </w:p>
          <w:p w14:paraId="72B8A2E5"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ďalším službám najmä službám všeobecného záujmu a tovarom,</w:t>
            </w:r>
          </w:p>
          <w:p w14:paraId="304E142B"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spravodlivosti, právnej ochrane, právnym službám,</w:t>
            </w:r>
          </w:p>
          <w:p w14:paraId="3E687B88" w14:textId="77777777" w:rsidR="00142FD9" w:rsidRPr="00CD4982" w:rsidRDefault="00142FD9" w:rsidP="00142FD9">
            <w:pPr>
              <w:widowControl/>
              <w:numPr>
                <w:ilvl w:val="0"/>
                <w:numId w:val="37"/>
              </w:numPr>
              <w:adjustRightInd/>
              <w:jc w:val="both"/>
              <w:rPr>
                <w:rFonts w:eastAsia="Calibri"/>
                <w:i/>
                <w:sz w:val="18"/>
                <w:szCs w:val="18"/>
              </w:rPr>
            </w:pPr>
            <w:r w:rsidRPr="00CD4982">
              <w:rPr>
                <w:rFonts w:eastAsia="Calibri"/>
                <w:i/>
                <w:sz w:val="18"/>
                <w:szCs w:val="18"/>
              </w:rPr>
              <w:t>informáciám</w:t>
            </w:r>
          </w:p>
          <w:p w14:paraId="4957D5F1" w14:textId="77777777" w:rsidR="00142FD9" w:rsidRPr="00CD4982" w:rsidRDefault="00142FD9" w:rsidP="00142FD9">
            <w:pPr>
              <w:widowControl/>
              <w:numPr>
                <w:ilvl w:val="0"/>
                <w:numId w:val="37"/>
              </w:numPr>
              <w:adjustRightInd/>
              <w:jc w:val="both"/>
              <w:rPr>
                <w:rFonts w:ascii="Calibri" w:eastAsia="Calibri" w:hAnsi="Calibri"/>
                <w:i/>
                <w:sz w:val="20"/>
                <w:szCs w:val="20"/>
              </w:rPr>
            </w:pPr>
            <w:r w:rsidRPr="00CD4982">
              <w:rPr>
                <w:rFonts w:eastAsia="Calibri"/>
                <w:i/>
                <w:sz w:val="18"/>
                <w:szCs w:val="18"/>
              </w:rPr>
              <w:t>k iným právam (napr. politickým).</w:t>
            </w:r>
          </w:p>
        </w:tc>
        <w:tc>
          <w:tcPr>
            <w:tcW w:w="3007" w:type="pct"/>
            <w:shd w:val="clear" w:color="auto" w:fill="auto"/>
          </w:tcPr>
          <w:p w14:paraId="49B7479B" w14:textId="77777777" w:rsidR="00142FD9" w:rsidRDefault="00142FD9" w:rsidP="00142FD9">
            <w:pPr>
              <w:rPr>
                <w:rFonts w:eastAsia="Calibri"/>
                <w:sz w:val="20"/>
                <w:szCs w:val="20"/>
              </w:rPr>
            </w:pPr>
          </w:p>
          <w:p w14:paraId="1742E2F9" w14:textId="77777777" w:rsidR="00142FD9" w:rsidRPr="001867D3" w:rsidRDefault="00142FD9" w:rsidP="00142FD9">
            <w:pPr>
              <w:jc w:val="both"/>
              <w:rPr>
                <w:rFonts w:eastAsia="Calibri"/>
              </w:rPr>
            </w:pPr>
            <w:r w:rsidRPr="001867D3">
              <w:rPr>
                <w:rFonts w:eastAsia="Calibri"/>
              </w:rPr>
              <w:t xml:space="preserve">Pozitívne vplyvy očakávame v nasledujúcich oblastiach: </w:t>
            </w:r>
          </w:p>
          <w:p w14:paraId="7C0A1FE1" w14:textId="77777777" w:rsidR="00142FD9" w:rsidRPr="001867D3" w:rsidRDefault="00142FD9" w:rsidP="00142FD9">
            <w:pPr>
              <w:jc w:val="both"/>
              <w:rPr>
                <w:rFonts w:eastAsia="Calibri"/>
              </w:rPr>
            </w:pPr>
          </w:p>
          <w:p w14:paraId="2B75E823" w14:textId="77777777" w:rsidR="00142FD9" w:rsidRPr="001867D3" w:rsidRDefault="00142FD9" w:rsidP="00142FD9">
            <w:pPr>
              <w:widowControl/>
              <w:numPr>
                <w:ilvl w:val="0"/>
                <w:numId w:val="37"/>
              </w:numPr>
              <w:adjustRightInd/>
              <w:jc w:val="both"/>
              <w:rPr>
                <w:rFonts w:eastAsia="Calibri"/>
              </w:rPr>
            </w:pPr>
            <w:r w:rsidRPr="001867D3">
              <w:rPr>
                <w:rFonts w:eastAsia="Calibri"/>
              </w:rPr>
              <w:t>prístup k zamestnaniu, na trh práce (napr. uľahčenie zosúladenia rodinných a pracovných povinností, služby zamestnanosti), k školeniam, odbornému vzdelávaniu a príprave na trh práce,</w:t>
            </w:r>
          </w:p>
          <w:p w14:paraId="655741AE" w14:textId="77777777" w:rsidR="00142FD9" w:rsidRPr="001867D3" w:rsidRDefault="00142FD9" w:rsidP="00142FD9">
            <w:pPr>
              <w:widowControl/>
              <w:numPr>
                <w:ilvl w:val="0"/>
                <w:numId w:val="37"/>
              </w:numPr>
              <w:adjustRightInd/>
              <w:jc w:val="both"/>
              <w:rPr>
                <w:rFonts w:eastAsia="Calibri"/>
              </w:rPr>
            </w:pPr>
            <w:r w:rsidRPr="001867D3">
              <w:rPr>
                <w:rFonts w:eastAsia="Calibri"/>
              </w:rPr>
              <w:t>prístup k formálnemu i neformálnemu vzdelávaniu a celo</w:t>
            </w:r>
            <w:r w:rsidRPr="001867D3">
              <w:rPr>
                <w:rFonts w:eastAsia="Calibri"/>
              </w:rPr>
              <w:softHyphen/>
              <w:t xml:space="preserve">životnému vzdelávaniu (napr. zriadenie tréningových centier, regionálnych centier vzdelávania, rekonštrukcie a rozširovanie kapacít školských a predškolských zariadení), </w:t>
            </w:r>
          </w:p>
          <w:p w14:paraId="5F7FAE8A" w14:textId="77777777" w:rsidR="00142FD9" w:rsidRPr="001867D3" w:rsidRDefault="00142FD9" w:rsidP="00142FD9">
            <w:pPr>
              <w:widowControl/>
              <w:numPr>
                <w:ilvl w:val="0"/>
                <w:numId w:val="37"/>
              </w:numPr>
              <w:adjustRightInd/>
              <w:jc w:val="both"/>
              <w:rPr>
                <w:rFonts w:eastAsia="Calibri"/>
              </w:rPr>
            </w:pPr>
            <w:r w:rsidRPr="001867D3">
              <w:rPr>
                <w:rFonts w:eastAsia="Calibri"/>
              </w:rPr>
              <w:t>prístup k bývaniu a súvisiacim základným komunálnym službám (napr. vybavenie bytov nižšieho štandardu),</w:t>
            </w:r>
          </w:p>
          <w:p w14:paraId="4057C76A" w14:textId="77777777" w:rsidR="00142FD9" w:rsidRPr="001867D3" w:rsidRDefault="00142FD9" w:rsidP="00142FD9">
            <w:pPr>
              <w:widowControl/>
              <w:numPr>
                <w:ilvl w:val="0"/>
                <w:numId w:val="37"/>
              </w:numPr>
              <w:adjustRightInd/>
              <w:jc w:val="both"/>
              <w:rPr>
                <w:rFonts w:eastAsia="Calibri"/>
              </w:rPr>
            </w:pPr>
            <w:r w:rsidRPr="001867D3">
              <w:rPr>
                <w:rFonts w:eastAsia="Calibri"/>
              </w:rPr>
              <w:t>prístup k doprave (napr. budovanie cestnej a cyklistickej infraštruktúry),</w:t>
            </w:r>
          </w:p>
          <w:p w14:paraId="0289FAD6" w14:textId="77777777" w:rsidR="00142FD9" w:rsidRPr="001867D3" w:rsidRDefault="00142FD9" w:rsidP="00142FD9">
            <w:pPr>
              <w:widowControl/>
              <w:numPr>
                <w:ilvl w:val="0"/>
                <w:numId w:val="37"/>
              </w:numPr>
              <w:adjustRightInd/>
              <w:jc w:val="both"/>
              <w:rPr>
                <w:rFonts w:eastAsia="Calibri"/>
              </w:rPr>
            </w:pPr>
            <w:r w:rsidRPr="001867D3">
              <w:rPr>
                <w:rFonts w:eastAsia="Calibri"/>
              </w:rPr>
              <w:t xml:space="preserve">prístup k ďalším službám, najmä službám všeobecného záujmu a tovarom (napr. odvádzanie a čistenie odpadových vôd). </w:t>
            </w:r>
          </w:p>
          <w:p w14:paraId="0268A89B" w14:textId="77777777" w:rsidR="00142FD9" w:rsidRPr="001867D3" w:rsidRDefault="00142FD9" w:rsidP="00142FD9">
            <w:pPr>
              <w:jc w:val="both"/>
              <w:rPr>
                <w:rFonts w:eastAsia="Calibri"/>
              </w:rPr>
            </w:pPr>
          </w:p>
          <w:p w14:paraId="0418F305" w14:textId="77777777" w:rsidR="00142FD9" w:rsidRPr="001867D3" w:rsidRDefault="00142FD9" w:rsidP="00142FD9">
            <w:pPr>
              <w:jc w:val="both"/>
              <w:rPr>
                <w:rFonts w:eastAsia="Calibri"/>
              </w:rPr>
            </w:pPr>
            <w:r w:rsidRPr="001867D3">
              <w:rPr>
                <w:rFonts w:eastAsia="Calibri"/>
              </w:rPr>
              <w:t xml:space="preserve">Konkrétne </w:t>
            </w:r>
            <w:r>
              <w:rPr>
                <w:rFonts w:eastAsia="Calibri"/>
              </w:rPr>
              <w:t>aktivity</w:t>
            </w:r>
            <w:r w:rsidRPr="001867D3">
              <w:rPr>
                <w:rFonts w:eastAsia="Calibri"/>
              </w:rPr>
              <w:t xml:space="preserve"> budú predmetom </w:t>
            </w:r>
            <w:r>
              <w:rPr>
                <w:rFonts w:eastAsia="Calibri"/>
              </w:rPr>
              <w:t>rozvojových plánov rozvoja</w:t>
            </w:r>
            <w:r w:rsidRPr="001867D3">
              <w:rPr>
                <w:rFonts w:eastAsia="Calibri"/>
              </w:rPr>
              <w:t>.</w:t>
            </w:r>
          </w:p>
          <w:p w14:paraId="4C2FAD79" w14:textId="77777777" w:rsidR="00142FD9" w:rsidRPr="00932E0C" w:rsidRDefault="00142FD9" w:rsidP="00142FD9">
            <w:pPr>
              <w:jc w:val="both"/>
              <w:rPr>
                <w:rFonts w:eastAsia="Calibri"/>
              </w:rPr>
            </w:pPr>
          </w:p>
          <w:p w14:paraId="5C1EE90A" w14:textId="77777777" w:rsidR="00142FD9" w:rsidRPr="0040544D" w:rsidRDefault="00142FD9" w:rsidP="00142FD9">
            <w:pPr>
              <w:rPr>
                <w:rFonts w:eastAsia="Calibri"/>
                <w:sz w:val="20"/>
                <w:szCs w:val="20"/>
              </w:rPr>
            </w:pPr>
          </w:p>
        </w:tc>
      </w:tr>
    </w:tbl>
    <w:p w14:paraId="1047DD70" w14:textId="77777777" w:rsidR="00142FD9" w:rsidRDefault="00142FD9" w:rsidP="00142FD9">
      <w:pPr>
        <w:jc w:val="both"/>
        <w:rPr>
          <w:rFonts w:eastAsia="Calibri"/>
          <w:i/>
          <w:sz w:val="20"/>
          <w:szCs w:val="20"/>
        </w:rPr>
        <w:sectPr w:rsidR="00142FD9" w:rsidSect="00142FD9">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42FD9" w:rsidRPr="00CD4982" w14:paraId="3F5C24ED" w14:textId="77777777" w:rsidTr="00142FD9">
        <w:trPr>
          <w:jc w:val="center"/>
        </w:trPr>
        <w:tc>
          <w:tcPr>
            <w:tcW w:w="5000" w:type="pct"/>
            <w:tcBorders>
              <w:bottom w:val="single" w:sz="4" w:space="0" w:color="auto"/>
            </w:tcBorders>
            <w:shd w:val="clear" w:color="auto" w:fill="F2F2F2"/>
          </w:tcPr>
          <w:p w14:paraId="3006DB0B" w14:textId="77777777" w:rsidR="00142FD9" w:rsidRPr="00CD4982" w:rsidRDefault="00142FD9" w:rsidP="00142FD9">
            <w:pPr>
              <w:jc w:val="both"/>
              <w:rPr>
                <w:rFonts w:eastAsia="Calibri"/>
                <w:i/>
                <w:sz w:val="20"/>
                <w:szCs w:val="20"/>
              </w:rPr>
            </w:pPr>
            <w:r w:rsidRPr="00CD4982">
              <w:rPr>
                <w:rFonts w:eastAsia="Calibri"/>
                <w:i/>
                <w:sz w:val="20"/>
                <w:szCs w:val="20"/>
              </w:rPr>
              <w:t xml:space="preserve">Má návrh významný vplyv na niektorú zo zraniteľných skupín obyvateľstva alebo skupín v riziku chudoby alebo sociálneho vylúčenia? </w:t>
            </w:r>
          </w:p>
          <w:p w14:paraId="120E082B" w14:textId="77777777" w:rsidR="00142FD9" w:rsidRPr="00CD4982" w:rsidRDefault="00142FD9" w:rsidP="00142FD9">
            <w:pPr>
              <w:jc w:val="both"/>
              <w:rPr>
                <w:rFonts w:ascii="Calibri" w:eastAsia="Calibri" w:hAnsi="Calibri"/>
                <w:i/>
              </w:rPr>
            </w:pPr>
            <w:r w:rsidRPr="00CD4982">
              <w:rPr>
                <w:rFonts w:eastAsia="Calibri"/>
                <w:i/>
                <w:sz w:val="20"/>
                <w:szCs w:val="20"/>
              </w:rPr>
              <w:t>Špecifikujte ovplyvnené skupiny v riziku chudoby a sociálneho vylúčenia a popíšte vplyv na ne. Je tento vplyv väčší ako vplyv na iné skupiny či subjekty? Uveďte veľkosť jednotlivých ovplyvnených skupín.</w:t>
            </w:r>
          </w:p>
        </w:tc>
      </w:tr>
    </w:tbl>
    <w:p w14:paraId="4D0160A1" w14:textId="77777777" w:rsidR="00142FD9" w:rsidRDefault="00142FD9" w:rsidP="00142FD9">
      <w:pPr>
        <w:jc w:val="both"/>
        <w:rPr>
          <w:rFonts w:eastAsia="Calibri"/>
          <w:i/>
          <w:sz w:val="18"/>
          <w:szCs w:val="18"/>
        </w:rPr>
        <w:sectPr w:rsidR="00142FD9" w:rsidSect="00142F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142FD9" w:rsidRPr="00CD4982" w14:paraId="3BDFDEBD" w14:textId="77777777" w:rsidTr="00142FD9">
        <w:trPr>
          <w:trHeight w:val="677"/>
          <w:jc w:val="center"/>
        </w:trPr>
        <w:tc>
          <w:tcPr>
            <w:tcW w:w="1993" w:type="pct"/>
            <w:shd w:val="clear" w:color="auto" w:fill="auto"/>
          </w:tcPr>
          <w:p w14:paraId="48E4D3BC" w14:textId="77777777" w:rsidR="00142FD9" w:rsidRPr="00CD4982" w:rsidRDefault="00142FD9" w:rsidP="00142FD9">
            <w:pPr>
              <w:jc w:val="both"/>
              <w:rPr>
                <w:rFonts w:eastAsia="Calibri"/>
                <w:i/>
                <w:sz w:val="18"/>
                <w:szCs w:val="18"/>
              </w:rPr>
            </w:pPr>
            <w:r>
              <w:rPr>
                <w:rFonts w:eastAsia="Calibri"/>
                <w:i/>
                <w:sz w:val="18"/>
                <w:szCs w:val="18"/>
              </w:rPr>
              <w:t>Zraniteľné skupiny alebo s</w:t>
            </w:r>
            <w:r w:rsidRPr="00CD4982">
              <w:rPr>
                <w:rFonts w:eastAsia="Calibri"/>
                <w:i/>
                <w:sz w:val="18"/>
                <w:szCs w:val="18"/>
              </w:rPr>
              <w:t>kupiny v riziku chudoby alebo sociálneho vylúčenia</w:t>
            </w:r>
            <w:r>
              <w:rPr>
                <w:rFonts w:eastAsia="Calibri"/>
                <w:i/>
                <w:sz w:val="18"/>
                <w:szCs w:val="18"/>
              </w:rPr>
              <w:t xml:space="preserve"> sú napr.</w:t>
            </w:r>
            <w:r w:rsidRPr="00CD4982">
              <w:rPr>
                <w:rFonts w:eastAsia="Calibri"/>
                <w:i/>
                <w:sz w:val="18"/>
                <w:szCs w:val="18"/>
              </w:rPr>
              <w:t>:</w:t>
            </w:r>
          </w:p>
          <w:p w14:paraId="0D9BA592"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14:paraId="272B9673"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nezamestnaní, najmä dlhodobo nezamestnaní, mladí nezamestnaní a nezamestnaní nad 50 rokov,</w:t>
            </w:r>
          </w:p>
          <w:p w14:paraId="4E378D66"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deti (0 – 17),</w:t>
            </w:r>
          </w:p>
          <w:p w14:paraId="443850CE"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mladí ľudia (18 – 25 rokov),</w:t>
            </w:r>
          </w:p>
          <w:p w14:paraId="3F80C501"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starší ľudia, napr. ľudia vo veku nad 65 rokov alebo dôchodcovia,</w:t>
            </w:r>
          </w:p>
          <w:p w14:paraId="4A128CDB"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ľudia so zdravotným postihnutím,</w:t>
            </w:r>
          </w:p>
          <w:p w14:paraId="44B29110"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 xml:space="preserve">marginalizované rómske komunity </w:t>
            </w:r>
          </w:p>
          <w:p w14:paraId="1173F50C"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domácnosti s 3 a viac deťmi,</w:t>
            </w:r>
          </w:p>
          <w:p w14:paraId="288C85DB"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jednorodičovské domácnosti s deťmi (neúplné rodiny, ktoré tvoria najmä osamelé matky s deťmi),</w:t>
            </w:r>
          </w:p>
          <w:p w14:paraId="31F7FAC0"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príslušníci tretích krajín, azylanti, žiadatelia o azyl,</w:t>
            </w:r>
          </w:p>
          <w:p w14:paraId="115B6993" w14:textId="77777777" w:rsidR="00142FD9" w:rsidRPr="00CD4982" w:rsidRDefault="00142FD9" w:rsidP="00142FD9">
            <w:pPr>
              <w:widowControl/>
              <w:numPr>
                <w:ilvl w:val="0"/>
                <w:numId w:val="38"/>
              </w:numPr>
              <w:adjustRightInd/>
              <w:jc w:val="both"/>
              <w:rPr>
                <w:rFonts w:ascii="Calibri" w:eastAsia="Calibri" w:hAnsi="Calibri"/>
                <w:i/>
                <w:sz w:val="18"/>
                <w:szCs w:val="18"/>
              </w:rPr>
            </w:pPr>
            <w:r w:rsidRPr="00CD4982">
              <w:rPr>
                <w:rFonts w:eastAsia="Calibri"/>
                <w:i/>
                <w:sz w:val="18"/>
                <w:szCs w:val="18"/>
              </w:rPr>
              <w:t>iné zraniteľné skupiny, ako sú napr. bezdomovci, ľudia opúšťajúci detské domovy alebo iné inštitucionálne zariadenia</w:t>
            </w:r>
          </w:p>
        </w:tc>
        <w:tc>
          <w:tcPr>
            <w:tcW w:w="3007" w:type="pct"/>
            <w:shd w:val="clear" w:color="auto" w:fill="auto"/>
          </w:tcPr>
          <w:p w14:paraId="7AEDED5D" w14:textId="77777777" w:rsidR="00142FD9" w:rsidRPr="001867D3" w:rsidRDefault="00142FD9" w:rsidP="00142FD9">
            <w:pPr>
              <w:rPr>
                <w:rFonts w:eastAsia="Calibri"/>
              </w:rPr>
            </w:pPr>
            <w:r w:rsidRPr="001867D3">
              <w:rPr>
                <w:rFonts w:eastAsia="Calibri"/>
              </w:rPr>
              <w:t xml:space="preserve">Návrh bude mať významný vplyv najmä na: </w:t>
            </w:r>
          </w:p>
          <w:p w14:paraId="14B7F522" w14:textId="77777777" w:rsidR="00142FD9" w:rsidRPr="001867D3" w:rsidRDefault="00142FD9" w:rsidP="00142FD9">
            <w:pPr>
              <w:widowControl/>
              <w:numPr>
                <w:ilvl w:val="0"/>
                <w:numId w:val="38"/>
              </w:numPr>
              <w:adjustRightInd/>
              <w:jc w:val="both"/>
              <w:rPr>
                <w:rFonts w:eastAsia="Calibri"/>
              </w:rPr>
            </w:pPr>
            <w:r w:rsidRPr="001867D3">
              <w:rPr>
                <w:rFonts w:eastAsia="Calibri"/>
              </w:rPr>
              <w:t>nezamestnaní, najmä dlhodobo nezamestnaní, mladí nezamestnaní a nezamestnaní nad 50 rokov (podpora vzniku pracovných miest)</w:t>
            </w:r>
          </w:p>
          <w:p w14:paraId="7043E600" w14:textId="77777777" w:rsidR="00142FD9" w:rsidRPr="00CD4982" w:rsidRDefault="00142FD9" w:rsidP="00142FD9">
            <w:pPr>
              <w:widowControl/>
              <w:numPr>
                <w:ilvl w:val="0"/>
                <w:numId w:val="38"/>
              </w:numPr>
              <w:adjustRightInd/>
              <w:jc w:val="both"/>
              <w:rPr>
                <w:rFonts w:eastAsia="Calibri"/>
                <w:i/>
                <w:sz w:val="18"/>
                <w:szCs w:val="18"/>
              </w:rPr>
            </w:pPr>
            <w:r w:rsidRPr="001867D3">
              <w:rPr>
                <w:rFonts w:eastAsia="Calibri"/>
              </w:rPr>
              <w:t>deti (0 – 17)</w:t>
            </w:r>
            <w:r w:rsidRPr="001867D3">
              <w:rPr>
                <w:rFonts w:eastAsia="Calibri"/>
                <w:i/>
              </w:rPr>
              <w:t xml:space="preserve"> </w:t>
            </w:r>
            <w:r w:rsidRPr="001867D3">
              <w:rPr>
                <w:rFonts w:eastAsia="Calibri"/>
              </w:rPr>
              <w:t>(rekonštrukcie a rozširovanie kapacít školských a predškolských zariadení, skvalitnenie vzdelávacieho procesu)</w:t>
            </w:r>
          </w:p>
          <w:p w14:paraId="77DB873B" w14:textId="77777777" w:rsidR="00142FD9" w:rsidRPr="0040544D" w:rsidRDefault="00142FD9" w:rsidP="00142FD9">
            <w:pPr>
              <w:rPr>
                <w:rFonts w:eastAsia="Calibri"/>
                <w:sz w:val="20"/>
              </w:rPr>
            </w:pPr>
          </w:p>
        </w:tc>
      </w:tr>
    </w:tbl>
    <w:p w14:paraId="1670DFB0" w14:textId="77777777" w:rsidR="00142FD9" w:rsidRDefault="00142FD9" w:rsidP="00142FD9"/>
    <w:p w14:paraId="0342336A" w14:textId="77777777" w:rsidR="00142FD9" w:rsidRDefault="00142FD9" w:rsidP="00142FD9">
      <w:pPr>
        <w:rPr>
          <w:rFonts w:eastAsia="Calibri"/>
          <w:b/>
        </w:rPr>
        <w:sectPr w:rsidR="00142FD9" w:rsidSect="00142FD9">
          <w:head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42FD9" w:rsidRPr="00CD4982" w14:paraId="75B5D124" w14:textId="77777777" w:rsidTr="00142FD9">
        <w:trPr>
          <w:jc w:val="center"/>
        </w:trPr>
        <w:tc>
          <w:tcPr>
            <w:tcW w:w="5000" w:type="pct"/>
            <w:shd w:val="clear" w:color="auto" w:fill="D9D9D9"/>
          </w:tcPr>
          <w:p w14:paraId="1DBB2022" w14:textId="77777777" w:rsidR="00142FD9" w:rsidRPr="00CD4982" w:rsidRDefault="00142FD9" w:rsidP="00142FD9">
            <w:pPr>
              <w:rPr>
                <w:rFonts w:eastAsia="Calibri"/>
                <w:b/>
              </w:rPr>
            </w:pPr>
            <w:r w:rsidRPr="00CD4982">
              <w:rPr>
                <w:rFonts w:eastAsia="Calibri"/>
                <w:b/>
              </w:rPr>
              <w:t>4.3 Identifikujte a popíšte vplyv na rovnosť príležitostí.</w:t>
            </w:r>
          </w:p>
          <w:p w14:paraId="2ECC7BCA" w14:textId="77777777" w:rsidR="00142FD9" w:rsidRPr="00CD4982" w:rsidRDefault="00142FD9" w:rsidP="00142FD9">
            <w:pPr>
              <w:ind w:left="340"/>
              <w:jc w:val="both"/>
              <w:rPr>
                <w:rFonts w:ascii="Calibri" w:eastAsia="Calibri" w:hAnsi="Calibri"/>
              </w:rPr>
            </w:pPr>
            <w:r w:rsidRPr="00CD4982">
              <w:rPr>
                <w:rFonts w:eastAsia="Calibri"/>
                <w:b/>
              </w:rPr>
              <w:t>Identifikujte, popíšte a kvantifikujte vplyv na rodovú rovnosť.</w:t>
            </w:r>
          </w:p>
        </w:tc>
      </w:tr>
      <w:tr w:rsidR="00142FD9" w:rsidRPr="00CD4982" w14:paraId="4114AE70" w14:textId="77777777" w:rsidTr="00142FD9">
        <w:trPr>
          <w:jc w:val="center"/>
        </w:trPr>
        <w:tc>
          <w:tcPr>
            <w:tcW w:w="5000" w:type="pct"/>
            <w:tcBorders>
              <w:bottom w:val="single" w:sz="4" w:space="0" w:color="auto"/>
            </w:tcBorders>
            <w:shd w:val="clear" w:color="auto" w:fill="F2F2F2"/>
          </w:tcPr>
          <w:p w14:paraId="5B254D55" w14:textId="77777777" w:rsidR="00142FD9" w:rsidRPr="00CD4982" w:rsidRDefault="00142FD9" w:rsidP="00142FD9">
            <w:pPr>
              <w:jc w:val="both"/>
              <w:rPr>
                <w:rFonts w:eastAsia="Calibri"/>
                <w:i/>
              </w:rPr>
            </w:pPr>
            <w:r w:rsidRPr="00CD4982">
              <w:rPr>
                <w:rFonts w:eastAsia="Calibri"/>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14:paraId="5174E27E" w14:textId="77777777" w:rsidR="00142FD9" w:rsidRDefault="00142FD9" w:rsidP="00142FD9">
      <w:pPr>
        <w:rPr>
          <w:rFonts w:eastAsia="Calibri"/>
          <w:sz w:val="20"/>
        </w:rPr>
        <w:sectPr w:rsidR="00142FD9" w:rsidSect="00142F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42FD9" w:rsidRPr="0040544D" w14:paraId="11C749FE" w14:textId="77777777" w:rsidTr="00142FD9">
        <w:trPr>
          <w:trHeight w:val="928"/>
          <w:jc w:val="center"/>
        </w:trPr>
        <w:tc>
          <w:tcPr>
            <w:tcW w:w="5000" w:type="pct"/>
            <w:tcBorders>
              <w:top w:val="nil"/>
              <w:bottom w:val="nil"/>
            </w:tcBorders>
            <w:shd w:val="clear" w:color="auto" w:fill="auto"/>
          </w:tcPr>
          <w:p w14:paraId="0C21D385" w14:textId="77777777" w:rsidR="00142FD9" w:rsidRPr="001867D3" w:rsidRDefault="00142FD9" w:rsidP="00142FD9">
            <w:pPr>
              <w:rPr>
                <w:rFonts w:eastAsia="Calibri"/>
              </w:rPr>
            </w:pPr>
            <w:r w:rsidRPr="001867D3">
              <w:rPr>
                <w:rFonts w:eastAsia="Calibri"/>
              </w:rPr>
              <w:t>Návrh dodržuje povinnosť rovnakého zaobchádzania so všetkými skupinami a jednotlivcami, nevedie k žiadnej diskriminácii obyvateľstva a podporuje rovnosť príležitostí.</w:t>
            </w:r>
          </w:p>
          <w:p w14:paraId="08BC3D55" w14:textId="77777777" w:rsidR="00142FD9" w:rsidRPr="0040544D" w:rsidRDefault="00142FD9" w:rsidP="00142FD9">
            <w:pPr>
              <w:rPr>
                <w:rFonts w:eastAsia="Calibri"/>
                <w:sz w:val="20"/>
              </w:rPr>
            </w:pPr>
          </w:p>
          <w:p w14:paraId="38899935" w14:textId="77777777" w:rsidR="00142FD9" w:rsidRPr="0040544D" w:rsidRDefault="00142FD9" w:rsidP="00142FD9">
            <w:pPr>
              <w:rPr>
                <w:rFonts w:eastAsia="Calibri"/>
                <w:i/>
                <w:sz w:val="20"/>
              </w:rPr>
            </w:pPr>
          </w:p>
        </w:tc>
      </w:tr>
    </w:tbl>
    <w:p w14:paraId="256E508B" w14:textId="77777777" w:rsidR="00142FD9" w:rsidRDefault="00142FD9" w:rsidP="00142FD9">
      <w:pPr>
        <w:rPr>
          <w:rFonts w:eastAsia="Calibri"/>
          <w:i/>
          <w:sz w:val="20"/>
          <w:szCs w:val="20"/>
        </w:rPr>
        <w:sectPr w:rsidR="00142FD9" w:rsidSect="00142FD9">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42FD9" w:rsidRPr="00CD4982" w14:paraId="78FC7040" w14:textId="77777777" w:rsidTr="00142FD9">
        <w:trPr>
          <w:trHeight w:val="345"/>
          <w:jc w:val="center"/>
        </w:trPr>
        <w:tc>
          <w:tcPr>
            <w:tcW w:w="5000" w:type="pct"/>
            <w:tcBorders>
              <w:bottom w:val="single" w:sz="4" w:space="0" w:color="auto"/>
            </w:tcBorders>
            <w:shd w:val="clear" w:color="auto" w:fill="F2F2F2"/>
            <w:vAlign w:val="center"/>
          </w:tcPr>
          <w:p w14:paraId="1414B1FA" w14:textId="77777777" w:rsidR="00142FD9" w:rsidRPr="00CD4982" w:rsidRDefault="00142FD9" w:rsidP="00142FD9">
            <w:pPr>
              <w:rPr>
                <w:rFonts w:eastAsia="Calibri"/>
                <w:i/>
                <w:sz w:val="20"/>
                <w:szCs w:val="20"/>
              </w:rPr>
            </w:pPr>
            <w:r w:rsidRPr="00CD4982">
              <w:rPr>
                <w:rFonts w:eastAsia="Calibri"/>
                <w:i/>
                <w:sz w:val="20"/>
                <w:szCs w:val="20"/>
              </w:rPr>
              <w:t>Môže mať návrh odlišný vplyv na ženy a mužov? Podporuje návrh rovnosť medzi ženami a mužmi alebo naopak bude viesť k zväčšovaniu rodových nerovností? Popíšte vplyvy.</w:t>
            </w:r>
          </w:p>
        </w:tc>
      </w:tr>
    </w:tbl>
    <w:p w14:paraId="076B3C71" w14:textId="77777777" w:rsidR="00142FD9" w:rsidRDefault="00142FD9" w:rsidP="00142FD9">
      <w:pPr>
        <w:jc w:val="both"/>
        <w:rPr>
          <w:rFonts w:eastAsia="Calibri"/>
          <w:i/>
          <w:sz w:val="18"/>
          <w:szCs w:val="18"/>
        </w:rPr>
        <w:sectPr w:rsidR="00142FD9" w:rsidSect="00142F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142FD9" w:rsidRPr="00CD4982" w14:paraId="02CE5FEB" w14:textId="77777777" w:rsidTr="00142FD9">
        <w:trPr>
          <w:trHeight w:val="1235"/>
          <w:jc w:val="center"/>
        </w:trPr>
        <w:tc>
          <w:tcPr>
            <w:tcW w:w="1993" w:type="pct"/>
            <w:shd w:val="clear" w:color="auto" w:fill="auto"/>
          </w:tcPr>
          <w:p w14:paraId="37FA71D3" w14:textId="77777777" w:rsidR="00142FD9" w:rsidRPr="00CD4982" w:rsidRDefault="00142FD9" w:rsidP="00142FD9">
            <w:pPr>
              <w:jc w:val="both"/>
              <w:rPr>
                <w:rFonts w:eastAsia="Calibri"/>
                <w:i/>
                <w:sz w:val="18"/>
                <w:szCs w:val="18"/>
              </w:rPr>
            </w:pPr>
            <w:r w:rsidRPr="00CD4982">
              <w:rPr>
                <w:rFonts w:eastAsia="Calibri"/>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14:paraId="1DED7D07"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 xml:space="preserve">podpora vyrovnávania ekonomickej nezávislosti, </w:t>
            </w:r>
          </w:p>
          <w:p w14:paraId="3AE2330F"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 xml:space="preserve">zosúladenie pracovného, súkromného a rodinného života, </w:t>
            </w:r>
          </w:p>
          <w:p w14:paraId="12CDA529"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 xml:space="preserve">podpora rovnej participácie na rozhodovaní, </w:t>
            </w:r>
          </w:p>
          <w:p w14:paraId="7645E025"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 xml:space="preserve">boj proti rodovo podmienenému násiliu a obchodovaniu s ľuďmi, </w:t>
            </w:r>
          </w:p>
          <w:p w14:paraId="71B4EBDE" w14:textId="77777777" w:rsidR="00142FD9" w:rsidRPr="00CD4982" w:rsidRDefault="00142FD9" w:rsidP="00142FD9">
            <w:pPr>
              <w:widowControl/>
              <w:numPr>
                <w:ilvl w:val="0"/>
                <w:numId w:val="38"/>
              </w:numPr>
              <w:adjustRightInd/>
              <w:jc w:val="both"/>
              <w:rPr>
                <w:rFonts w:eastAsia="Calibri"/>
                <w:i/>
                <w:sz w:val="18"/>
                <w:szCs w:val="18"/>
              </w:rPr>
            </w:pPr>
            <w:r w:rsidRPr="00CD4982">
              <w:rPr>
                <w:rFonts w:eastAsia="Calibri"/>
                <w:i/>
                <w:sz w:val="18"/>
                <w:szCs w:val="18"/>
              </w:rPr>
              <w:t>eliminácia rodových stereotypov.</w:t>
            </w:r>
          </w:p>
        </w:tc>
        <w:tc>
          <w:tcPr>
            <w:tcW w:w="3007" w:type="pct"/>
            <w:shd w:val="clear" w:color="auto" w:fill="auto"/>
          </w:tcPr>
          <w:p w14:paraId="44C98A60" w14:textId="77777777" w:rsidR="00142FD9" w:rsidRPr="00CA6BAF" w:rsidRDefault="00142FD9" w:rsidP="00142FD9">
            <w:pPr>
              <w:rPr>
                <w:rFonts w:eastAsia="Calibri"/>
                <w:sz w:val="20"/>
              </w:rPr>
            </w:pPr>
            <w:r>
              <w:rPr>
                <w:rFonts w:eastAsia="Calibri"/>
              </w:rPr>
              <w:t>Diverzifikácia aktivít</w:t>
            </w:r>
            <w:r w:rsidRPr="001867D3">
              <w:rPr>
                <w:rFonts w:eastAsia="Calibri"/>
              </w:rPr>
              <w:t xml:space="preserve"> má zabezpečiť tvorbu pracovných príležitostí v rôznorodých oblastiach, preto sa očakáva  rovnaký pozitívny prínos pre mužov a ženy. </w:t>
            </w:r>
          </w:p>
        </w:tc>
      </w:tr>
    </w:tbl>
    <w:p w14:paraId="42426215" w14:textId="77777777" w:rsidR="00142FD9" w:rsidRDefault="00142FD9" w:rsidP="00142FD9">
      <w:pPr>
        <w:rPr>
          <w:rFonts w:eastAsia="Calibri"/>
          <w:b/>
        </w:rPr>
        <w:sectPr w:rsidR="00142FD9" w:rsidSect="00142FD9">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42FD9" w:rsidRPr="00CD4982" w14:paraId="3ACB314D" w14:textId="77777777" w:rsidTr="00142FD9">
        <w:trPr>
          <w:jc w:val="center"/>
        </w:trPr>
        <w:tc>
          <w:tcPr>
            <w:tcW w:w="5000" w:type="pct"/>
            <w:shd w:val="clear" w:color="auto" w:fill="D9D9D9"/>
          </w:tcPr>
          <w:p w14:paraId="07B9A3D0" w14:textId="77777777" w:rsidR="00142FD9" w:rsidRPr="00994C53" w:rsidRDefault="00142FD9" w:rsidP="00142FD9">
            <w:pPr>
              <w:rPr>
                <w:rFonts w:eastAsia="Calibri"/>
                <w:b/>
              </w:rPr>
            </w:pPr>
            <w:r w:rsidRPr="00CD4982">
              <w:rPr>
                <w:rFonts w:eastAsia="Calibri"/>
                <w:b/>
              </w:rPr>
              <w:t xml:space="preserve">4.4 </w:t>
            </w:r>
            <w:r w:rsidRPr="00994C53">
              <w:rPr>
                <w:rFonts w:eastAsia="Calibri"/>
                <w:b/>
              </w:rPr>
              <w:t>Identifikujte, popíšte a kvantifikujte vplyvy na zamestnanosť a na trh práce.</w:t>
            </w:r>
          </w:p>
          <w:p w14:paraId="77CE276B" w14:textId="77777777" w:rsidR="00142FD9" w:rsidRPr="00994C53" w:rsidRDefault="00142FD9" w:rsidP="00142FD9">
            <w:pPr>
              <w:jc w:val="both"/>
              <w:rPr>
                <w:rFonts w:eastAsia="Calibri"/>
                <w:i/>
              </w:rPr>
            </w:pPr>
            <w:r w:rsidRPr="00994C53">
              <w:rPr>
                <w:rFonts w:eastAsia="Calibri"/>
                <w:i/>
              </w:rPr>
              <w:t xml:space="preserve">V prípade kladnej odpovede pripojte </w:t>
            </w:r>
            <w:r w:rsidRPr="00994C53">
              <w:rPr>
                <w:rFonts w:eastAsia="Calibri"/>
                <w:b/>
                <w:i/>
              </w:rPr>
              <w:t>odôvodnenie</w:t>
            </w:r>
            <w:r w:rsidRPr="00994C53">
              <w:rPr>
                <w:rFonts w:eastAsia="Calibri"/>
                <w:i/>
              </w:rPr>
              <w:t xml:space="preserve"> v súlade s Metodickým postupom pre analýzu sociálnych vplyvov.</w:t>
            </w:r>
          </w:p>
        </w:tc>
      </w:tr>
    </w:tbl>
    <w:p w14:paraId="202F3383" w14:textId="77777777" w:rsidR="00142FD9" w:rsidRDefault="00142FD9" w:rsidP="00142FD9">
      <w:pPr>
        <w:rPr>
          <w:rFonts w:eastAsia="Calibri"/>
          <w:i/>
          <w:sz w:val="20"/>
        </w:rPr>
        <w:sectPr w:rsidR="00142FD9" w:rsidSect="00142F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8"/>
      </w:tblGrid>
      <w:tr w:rsidR="00142FD9" w:rsidRPr="00994C53" w14:paraId="6F02543F" w14:textId="77777777" w:rsidTr="00142FD9">
        <w:trPr>
          <w:trHeight w:val="287"/>
          <w:jc w:val="center"/>
        </w:trPr>
        <w:tc>
          <w:tcPr>
            <w:tcW w:w="5000" w:type="pct"/>
            <w:gridSpan w:val="2"/>
            <w:tcBorders>
              <w:top w:val="nil"/>
              <w:bottom w:val="single" w:sz="4" w:space="0" w:color="auto"/>
            </w:tcBorders>
            <w:shd w:val="clear" w:color="auto" w:fill="F2F2F2"/>
          </w:tcPr>
          <w:p w14:paraId="4DD7E894" w14:textId="77777777" w:rsidR="00142FD9" w:rsidRPr="00994C53" w:rsidRDefault="00142FD9" w:rsidP="00142FD9">
            <w:pPr>
              <w:rPr>
                <w:rFonts w:eastAsia="Calibri"/>
                <w:i/>
                <w:sz w:val="20"/>
                <w:szCs w:val="20"/>
              </w:rPr>
            </w:pPr>
            <w:r w:rsidRPr="00994C53">
              <w:rPr>
                <w:rFonts w:eastAsia="Calibri"/>
                <w:i/>
                <w:sz w:val="20"/>
                <w:szCs w:val="20"/>
              </w:rPr>
              <w:t>Uľahčuje návrh vznik nových pracovných miest? Ak áno, ako? Ak je to možné, doplňte kvantifikáciu.</w:t>
            </w:r>
          </w:p>
        </w:tc>
      </w:tr>
      <w:tr w:rsidR="00142FD9" w:rsidRPr="00994C53" w14:paraId="1312D21F" w14:textId="77777777" w:rsidTr="00142FD9">
        <w:trPr>
          <w:trHeight w:val="567"/>
          <w:jc w:val="center"/>
        </w:trPr>
        <w:tc>
          <w:tcPr>
            <w:tcW w:w="1993" w:type="pct"/>
            <w:tcBorders>
              <w:top w:val="nil"/>
              <w:bottom w:val="single" w:sz="4" w:space="0" w:color="auto"/>
            </w:tcBorders>
            <w:shd w:val="clear" w:color="auto" w:fill="FFFFFF"/>
          </w:tcPr>
          <w:p w14:paraId="4766F6F6" w14:textId="77777777" w:rsidR="00142FD9" w:rsidRPr="00994C53" w:rsidRDefault="00142FD9" w:rsidP="00142FD9">
            <w:pPr>
              <w:rPr>
                <w:rFonts w:eastAsia="Calibri"/>
                <w:i/>
                <w:sz w:val="18"/>
                <w:szCs w:val="18"/>
              </w:rPr>
            </w:pPr>
            <w:r w:rsidRPr="00994C53">
              <w:rPr>
                <w:rFonts w:eastAsia="Calibri"/>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14:paraId="541D21CB" w14:textId="77777777" w:rsidR="00142FD9" w:rsidRPr="00B064B8" w:rsidRDefault="00142FD9" w:rsidP="00142FD9">
            <w:pPr>
              <w:rPr>
                <w:rFonts w:eastAsia="Calibri"/>
                <w:szCs w:val="20"/>
              </w:rPr>
            </w:pPr>
            <w:r w:rsidRPr="00B064B8">
              <w:rPr>
                <w:rFonts w:eastAsia="Calibri"/>
                <w:szCs w:val="20"/>
              </w:rPr>
              <w:t>Áno</w:t>
            </w:r>
            <w:r>
              <w:rPr>
                <w:rFonts w:eastAsia="Calibri"/>
                <w:szCs w:val="20"/>
              </w:rPr>
              <w:t xml:space="preserve">. Návrh bude uľahčovať vznik pracovných miest pre rôzne skupiny obyvateľov (nezamestnaní, nízkokvalifikované osoby, marginalizované rómske komunity, osoby nad 50 rokov) v najmenej rozvinutých okresoch. </w:t>
            </w:r>
          </w:p>
          <w:p w14:paraId="7CA64E32" w14:textId="77777777" w:rsidR="00142FD9" w:rsidRPr="00A4573B" w:rsidRDefault="00142FD9" w:rsidP="00142FD9">
            <w:pPr>
              <w:rPr>
                <w:rFonts w:eastAsia="Calibri"/>
                <w:i/>
                <w:sz w:val="20"/>
                <w:szCs w:val="20"/>
              </w:rPr>
            </w:pPr>
          </w:p>
        </w:tc>
      </w:tr>
      <w:tr w:rsidR="00142FD9" w:rsidRPr="00994C53" w14:paraId="124B27D5" w14:textId="77777777" w:rsidTr="00142FD9">
        <w:trPr>
          <w:trHeight w:val="270"/>
          <w:jc w:val="center"/>
        </w:trPr>
        <w:tc>
          <w:tcPr>
            <w:tcW w:w="5000" w:type="pct"/>
            <w:gridSpan w:val="2"/>
            <w:tcBorders>
              <w:bottom w:val="single" w:sz="4" w:space="0" w:color="auto"/>
            </w:tcBorders>
            <w:shd w:val="clear" w:color="auto" w:fill="F2F2F2"/>
          </w:tcPr>
          <w:p w14:paraId="5413AFC6" w14:textId="77777777" w:rsidR="00142FD9" w:rsidRPr="00994C53" w:rsidRDefault="00142FD9" w:rsidP="00142FD9">
            <w:pPr>
              <w:rPr>
                <w:rFonts w:eastAsia="Calibri"/>
                <w:i/>
                <w:sz w:val="20"/>
                <w:szCs w:val="20"/>
              </w:rPr>
            </w:pPr>
            <w:r w:rsidRPr="00994C53">
              <w:rPr>
                <w:rFonts w:eastAsia="Calibri"/>
                <w:i/>
                <w:sz w:val="20"/>
                <w:szCs w:val="20"/>
              </w:rPr>
              <w:t>Vedie návrh k zániku pracovných miest?</w:t>
            </w:r>
            <w:r w:rsidRPr="00994C53">
              <w:rPr>
                <w:rFonts w:eastAsia="Calibri"/>
                <w:sz w:val="20"/>
                <w:szCs w:val="20"/>
              </w:rPr>
              <w:t xml:space="preserve"> </w:t>
            </w:r>
            <w:r w:rsidRPr="00994C53">
              <w:rPr>
                <w:rFonts w:eastAsia="Calibri"/>
                <w:i/>
                <w:sz w:val="20"/>
                <w:szCs w:val="20"/>
              </w:rPr>
              <w:t>Ak áno, ako a akých? Ak je to možné, doplňte kvantifikáciu.</w:t>
            </w:r>
          </w:p>
        </w:tc>
      </w:tr>
      <w:tr w:rsidR="00142FD9" w:rsidRPr="00994C53" w14:paraId="6E03E3B2" w14:textId="77777777" w:rsidTr="00142FD9">
        <w:trPr>
          <w:trHeight w:val="454"/>
          <w:jc w:val="center"/>
        </w:trPr>
        <w:tc>
          <w:tcPr>
            <w:tcW w:w="1993" w:type="pct"/>
            <w:tcBorders>
              <w:bottom w:val="single" w:sz="4" w:space="0" w:color="auto"/>
            </w:tcBorders>
            <w:shd w:val="clear" w:color="auto" w:fill="FFFFFF"/>
          </w:tcPr>
          <w:p w14:paraId="6843D53E" w14:textId="77777777" w:rsidR="00142FD9" w:rsidRPr="00994C53" w:rsidRDefault="00142FD9" w:rsidP="00142FD9">
            <w:pPr>
              <w:rPr>
                <w:rFonts w:eastAsia="Calibri"/>
                <w:i/>
                <w:sz w:val="18"/>
                <w:szCs w:val="18"/>
              </w:rPr>
            </w:pPr>
            <w:r w:rsidRPr="00994C53">
              <w:rPr>
                <w:rFonts w:eastAsia="Calibri"/>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14:paraId="0D589494" w14:textId="77777777" w:rsidR="00142FD9" w:rsidRPr="00420DE5" w:rsidRDefault="00142FD9" w:rsidP="00142FD9">
            <w:pPr>
              <w:rPr>
                <w:rFonts w:eastAsia="Calibri"/>
                <w:szCs w:val="20"/>
              </w:rPr>
            </w:pPr>
            <w:r w:rsidRPr="00420DE5">
              <w:rPr>
                <w:rFonts w:eastAsia="Calibri"/>
                <w:szCs w:val="20"/>
              </w:rPr>
              <w:t xml:space="preserve">Návrh nevedie k zániku pracovných miest. </w:t>
            </w:r>
          </w:p>
          <w:p w14:paraId="1A489835" w14:textId="77777777" w:rsidR="00142FD9" w:rsidRPr="00A30F1C" w:rsidRDefault="00142FD9" w:rsidP="00142FD9">
            <w:pPr>
              <w:rPr>
                <w:rFonts w:eastAsia="Calibri"/>
                <w:sz w:val="20"/>
                <w:szCs w:val="18"/>
              </w:rPr>
            </w:pPr>
          </w:p>
        </w:tc>
      </w:tr>
      <w:tr w:rsidR="00142FD9" w:rsidRPr="00994C53" w14:paraId="76EC629A" w14:textId="77777777" w:rsidTr="00142FD9">
        <w:trPr>
          <w:trHeight w:val="248"/>
          <w:jc w:val="center"/>
        </w:trPr>
        <w:tc>
          <w:tcPr>
            <w:tcW w:w="5000" w:type="pct"/>
            <w:gridSpan w:val="2"/>
            <w:tcBorders>
              <w:bottom w:val="single" w:sz="4" w:space="0" w:color="auto"/>
            </w:tcBorders>
            <w:shd w:val="clear" w:color="auto" w:fill="F2F2F2"/>
          </w:tcPr>
          <w:p w14:paraId="26431794" w14:textId="77777777" w:rsidR="00142FD9" w:rsidRPr="00994C53" w:rsidRDefault="00142FD9" w:rsidP="00142FD9">
            <w:pPr>
              <w:rPr>
                <w:rFonts w:eastAsia="Calibri"/>
                <w:sz w:val="20"/>
                <w:szCs w:val="20"/>
              </w:rPr>
            </w:pPr>
            <w:r w:rsidRPr="00994C53">
              <w:rPr>
                <w:rFonts w:eastAsia="Calibri"/>
                <w:i/>
                <w:sz w:val="20"/>
                <w:szCs w:val="20"/>
              </w:rPr>
              <w:t>Ovplyvňuje návrh dopyt po práci?</w:t>
            </w:r>
            <w:r w:rsidRPr="00994C53">
              <w:rPr>
                <w:rFonts w:eastAsia="Calibri"/>
                <w:sz w:val="20"/>
                <w:szCs w:val="20"/>
              </w:rPr>
              <w:t xml:space="preserve"> </w:t>
            </w:r>
            <w:r w:rsidRPr="00994C53">
              <w:rPr>
                <w:rFonts w:eastAsia="Calibri"/>
                <w:i/>
                <w:sz w:val="20"/>
                <w:szCs w:val="20"/>
              </w:rPr>
              <w:t>Ak áno, ako?</w:t>
            </w:r>
          </w:p>
        </w:tc>
      </w:tr>
      <w:tr w:rsidR="00142FD9" w:rsidRPr="00994C53" w14:paraId="5F9B005E" w14:textId="77777777" w:rsidTr="00142FD9">
        <w:trPr>
          <w:trHeight w:val="209"/>
          <w:jc w:val="center"/>
        </w:trPr>
        <w:tc>
          <w:tcPr>
            <w:tcW w:w="1993" w:type="pct"/>
            <w:tcBorders>
              <w:bottom w:val="single" w:sz="4" w:space="0" w:color="auto"/>
            </w:tcBorders>
            <w:shd w:val="clear" w:color="auto" w:fill="FFFFFF"/>
          </w:tcPr>
          <w:p w14:paraId="658FA5FA" w14:textId="77777777" w:rsidR="00142FD9" w:rsidRPr="00994C53" w:rsidRDefault="00142FD9" w:rsidP="00142FD9">
            <w:pPr>
              <w:rPr>
                <w:rFonts w:eastAsia="Calibri"/>
                <w:i/>
                <w:sz w:val="18"/>
                <w:szCs w:val="18"/>
              </w:rPr>
            </w:pPr>
            <w:r w:rsidRPr="00994C53">
              <w:rPr>
                <w:rFonts w:eastAsia="Calibri"/>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14:paraId="52DF67B9" w14:textId="77777777" w:rsidR="00142FD9" w:rsidRPr="00A30F1C" w:rsidRDefault="00142FD9" w:rsidP="00142FD9">
            <w:pPr>
              <w:rPr>
                <w:rFonts w:eastAsia="Calibri"/>
                <w:sz w:val="20"/>
                <w:szCs w:val="18"/>
              </w:rPr>
            </w:pPr>
            <w:r>
              <w:rPr>
                <w:rFonts w:eastAsia="Calibri"/>
                <w:szCs w:val="20"/>
              </w:rPr>
              <w:t>Návrh ovplyvňuje dopyt po práci, najmä vo forme ponuky pracovných miest v rôznych sektorových oblastiach.</w:t>
            </w:r>
          </w:p>
        </w:tc>
      </w:tr>
      <w:tr w:rsidR="00142FD9" w:rsidRPr="00994C53" w14:paraId="758FB2E7" w14:textId="77777777" w:rsidTr="00142FD9">
        <w:trPr>
          <w:trHeight w:val="208"/>
          <w:jc w:val="center"/>
        </w:trPr>
        <w:tc>
          <w:tcPr>
            <w:tcW w:w="5000" w:type="pct"/>
            <w:gridSpan w:val="2"/>
            <w:tcBorders>
              <w:bottom w:val="single" w:sz="4" w:space="0" w:color="auto"/>
            </w:tcBorders>
            <w:shd w:val="clear" w:color="auto" w:fill="F2F2F2"/>
          </w:tcPr>
          <w:p w14:paraId="586A0005" w14:textId="77777777" w:rsidR="00142FD9" w:rsidRPr="00994C53" w:rsidRDefault="00142FD9" w:rsidP="00142FD9">
            <w:pPr>
              <w:rPr>
                <w:rFonts w:eastAsia="Calibri"/>
                <w:sz w:val="20"/>
                <w:szCs w:val="20"/>
              </w:rPr>
            </w:pPr>
            <w:r w:rsidRPr="00994C53">
              <w:rPr>
                <w:rFonts w:eastAsia="Calibri"/>
                <w:i/>
                <w:sz w:val="20"/>
                <w:szCs w:val="20"/>
              </w:rPr>
              <w:t>Má návrh dosah na fungovanie trhu práce?</w:t>
            </w:r>
            <w:r w:rsidRPr="00994C53">
              <w:rPr>
                <w:rFonts w:eastAsia="Calibri"/>
                <w:sz w:val="20"/>
                <w:szCs w:val="20"/>
              </w:rPr>
              <w:t xml:space="preserve"> </w:t>
            </w:r>
            <w:r w:rsidRPr="00994C53">
              <w:rPr>
                <w:rFonts w:eastAsia="Calibri"/>
                <w:i/>
                <w:sz w:val="20"/>
                <w:szCs w:val="20"/>
              </w:rPr>
              <w:t>Ak áno, aký?</w:t>
            </w:r>
          </w:p>
        </w:tc>
      </w:tr>
      <w:tr w:rsidR="00142FD9" w:rsidRPr="00994C53" w14:paraId="2EF6F016" w14:textId="77777777" w:rsidTr="00142FD9">
        <w:trPr>
          <w:trHeight w:val="794"/>
          <w:jc w:val="center"/>
        </w:trPr>
        <w:tc>
          <w:tcPr>
            <w:tcW w:w="1993" w:type="pct"/>
            <w:tcBorders>
              <w:bottom w:val="single" w:sz="4" w:space="0" w:color="auto"/>
            </w:tcBorders>
            <w:shd w:val="clear" w:color="auto" w:fill="FFFFFF"/>
          </w:tcPr>
          <w:p w14:paraId="24CF481F" w14:textId="77777777" w:rsidR="00142FD9" w:rsidRPr="00994C53" w:rsidRDefault="00142FD9" w:rsidP="00142FD9">
            <w:pPr>
              <w:rPr>
                <w:rFonts w:eastAsia="Calibri"/>
                <w:i/>
                <w:sz w:val="18"/>
                <w:szCs w:val="18"/>
              </w:rPr>
            </w:pPr>
            <w:r w:rsidRPr="00994C53">
              <w:rPr>
                <w:rFonts w:eastAsia="Calibri"/>
                <w:i/>
                <w:sz w:val="18"/>
                <w:szCs w:val="18"/>
              </w:rPr>
              <w:t>Týka sa makroekonomických dosahov ako je napr. participácia na trhu práce, dlhodobá nezamestnanosť, regionálne rozdiely v mierach zamestnanosti.</w:t>
            </w:r>
            <w:r w:rsidRPr="00994C53">
              <w:rPr>
                <w:rFonts w:eastAsia="Calibri"/>
                <w:sz w:val="18"/>
                <w:szCs w:val="18"/>
              </w:rPr>
              <w:t xml:space="preserve"> </w:t>
            </w:r>
            <w:r w:rsidRPr="00994C53">
              <w:rPr>
                <w:rFonts w:eastAsia="Calibri"/>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14:paraId="3F0E9F02" w14:textId="77777777" w:rsidR="00142FD9" w:rsidRPr="00A30F1C" w:rsidRDefault="00142FD9" w:rsidP="00142FD9">
            <w:pPr>
              <w:jc w:val="both"/>
              <w:rPr>
                <w:rFonts w:eastAsia="Calibri"/>
                <w:sz w:val="20"/>
                <w:szCs w:val="18"/>
              </w:rPr>
            </w:pPr>
            <w:r w:rsidRPr="001466F4">
              <w:rPr>
                <w:rFonts w:eastAsia="Calibri"/>
                <w:szCs w:val="18"/>
              </w:rPr>
              <w:t>Návrh má dosah na fungovanie trhu práce, návrhom sa predpokladá znižovanie rozdielov</w:t>
            </w:r>
            <w:r>
              <w:rPr>
                <w:rFonts w:eastAsia="Calibri"/>
                <w:szCs w:val="18"/>
              </w:rPr>
              <w:t>, najmä</w:t>
            </w:r>
            <w:r w:rsidRPr="001466F4">
              <w:rPr>
                <w:rFonts w:eastAsia="Calibri"/>
                <w:szCs w:val="18"/>
              </w:rPr>
              <w:t xml:space="preserve"> v</w:t>
            </w:r>
            <w:r>
              <w:rPr>
                <w:rFonts w:eastAsia="Calibri"/>
                <w:szCs w:val="18"/>
              </w:rPr>
              <w:t xml:space="preserve"> oblasti</w:t>
            </w:r>
            <w:r w:rsidRPr="001466F4">
              <w:rPr>
                <w:rFonts w:eastAsia="Calibri"/>
                <w:szCs w:val="18"/>
              </w:rPr>
              <w:t xml:space="preserve"> zamestnanosti medzi najmenej rozvinutými okresmi a ostatnými okresmi. </w:t>
            </w:r>
          </w:p>
        </w:tc>
      </w:tr>
      <w:tr w:rsidR="00142FD9" w:rsidRPr="00994C53" w14:paraId="123EF936" w14:textId="77777777" w:rsidTr="00142FD9">
        <w:trPr>
          <w:trHeight w:val="324"/>
          <w:jc w:val="center"/>
        </w:trPr>
        <w:tc>
          <w:tcPr>
            <w:tcW w:w="5000" w:type="pct"/>
            <w:gridSpan w:val="2"/>
            <w:tcBorders>
              <w:bottom w:val="single" w:sz="4" w:space="0" w:color="auto"/>
            </w:tcBorders>
            <w:shd w:val="clear" w:color="auto" w:fill="F2F2F2"/>
          </w:tcPr>
          <w:p w14:paraId="52654618" w14:textId="77777777" w:rsidR="00142FD9" w:rsidRPr="00994C53" w:rsidRDefault="00142FD9" w:rsidP="00142FD9">
            <w:pPr>
              <w:rPr>
                <w:rFonts w:eastAsia="Calibri"/>
                <w:sz w:val="20"/>
                <w:szCs w:val="20"/>
              </w:rPr>
            </w:pPr>
            <w:r w:rsidRPr="00994C53">
              <w:rPr>
                <w:rFonts w:eastAsia="Calibri"/>
                <w:i/>
                <w:sz w:val="20"/>
                <w:szCs w:val="20"/>
              </w:rPr>
              <w:t>Má návrh špecifické negatívne dôsledky pre isté skupiny profesií, skupín zamestnancov či živnostníkov?</w:t>
            </w:r>
            <w:r w:rsidRPr="00994C53">
              <w:rPr>
                <w:rFonts w:eastAsia="Calibri"/>
                <w:sz w:val="20"/>
                <w:szCs w:val="20"/>
              </w:rPr>
              <w:t xml:space="preserve"> </w:t>
            </w:r>
            <w:r w:rsidRPr="00994C53">
              <w:rPr>
                <w:rFonts w:eastAsia="Calibri"/>
                <w:i/>
                <w:sz w:val="20"/>
                <w:szCs w:val="20"/>
              </w:rPr>
              <w:t>Ak áno, aké a pre ktoré skupiny?</w:t>
            </w:r>
          </w:p>
        </w:tc>
      </w:tr>
      <w:tr w:rsidR="00142FD9" w:rsidRPr="00994C53" w14:paraId="57C7691A" w14:textId="77777777" w:rsidTr="00142FD9">
        <w:trPr>
          <w:trHeight w:val="216"/>
          <w:jc w:val="center"/>
        </w:trPr>
        <w:tc>
          <w:tcPr>
            <w:tcW w:w="1993" w:type="pct"/>
            <w:tcBorders>
              <w:bottom w:val="single" w:sz="4" w:space="0" w:color="auto"/>
            </w:tcBorders>
            <w:shd w:val="clear" w:color="auto" w:fill="FFFFFF"/>
          </w:tcPr>
          <w:p w14:paraId="14EB5513" w14:textId="77777777" w:rsidR="00142FD9" w:rsidRPr="00994C53" w:rsidRDefault="00142FD9" w:rsidP="00142FD9">
            <w:pPr>
              <w:rPr>
                <w:rFonts w:eastAsia="Calibri"/>
                <w:i/>
                <w:sz w:val="18"/>
                <w:szCs w:val="18"/>
              </w:rPr>
            </w:pPr>
            <w:r w:rsidRPr="00994C53">
              <w:rPr>
                <w:rFonts w:eastAsia="Calibri"/>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14:paraId="232B862E" w14:textId="77777777" w:rsidR="00142FD9" w:rsidRPr="00A30F1C" w:rsidRDefault="00142FD9" w:rsidP="00142FD9">
            <w:pPr>
              <w:rPr>
                <w:rFonts w:eastAsia="Calibri"/>
                <w:sz w:val="20"/>
                <w:szCs w:val="18"/>
              </w:rPr>
            </w:pPr>
            <w:r w:rsidRPr="00B064B8">
              <w:rPr>
                <w:rFonts w:eastAsia="Calibri"/>
                <w:szCs w:val="20"/>
              </w:rPr>
              <w:t>Nie</w:t>
            </w:r>
          </w:p>
        </w:tc>
      </w:tr>
      <w:tr w:rsidR="00142FD9" w:rsidRPr="00994C53" w14:paraId="6A18D99C" w14:textId="77777777" w:rsidTr="00142FD9">
        <w:trPr>
          <w:trHeight w:val="219"/>
          <w:jc w:val="center"/>
        </w:trPr>
        <w:tc>
          <w:tcPr>
            <w:tcW w:w="5000" w:type="pct"/>
            <w:gridSpan w:val="2"/>
            <w:tcBorders>
              <w:bottom w:val="single" w:sz="4" w:space="0" w:color="auto"/>
            </w:tcBorders>
            <w:shd w:val="clear" w:color="auto" w:fill="F2F2F2"/>
          </w:tcPr>
          <w:p w14:paraId="1817F4D9" w14:textId="77777777" w:rsidR="00142FD9" w:rsidRPr="00994C53" w:rsidRDefault="00142FD9" w:rsidP="00142FD9">
            <w:pPr>
              <w:rPr>
                <w:rFonts w:eastAsia="Calibri"/>
                <w:sz w:val="20"/>
                <w:szCs w:val="20"/>
              </w:rPr>
            </w:pPr>
            <w:r w:rsidRPr="00994C53">
              <w:rPr>
                <w:rFonts w:eastAsia="Calibri"/>
                <w:i/>
                <w:sz w:val="20"/>
                <w:szCs w:val="20"/>
              </w:rPr>
              <w:t>Ovplyvňuje návrh špecifické vekové skupiny zamestnancov? Ak áno, aké? Akým spôsobom?</w:t>
            </w:r>
          </w:p>
        </w:tc>
      </w:tr>
      <w:tr w:rsidR="00142FD9" w:rsidRPr="00994C53" w14:paraId="2728F9D8" w14:textId="77777777" w:rsidTr="00142FD9">
        <w:trPr>
          <w:trHeight w:val="497"/>
          <w:jc w:val="center"/>
        </w:trPr>
        <w:tc>
          <w:tcPr>
            <w:tcW w:w="1993" w:type="pct"/>
            <w:tcBorders>
              <w:bottom w:val="single" w:sz="4" w:space="0" w:color="auto"/>
            </w:tcBorders>
            <w:shd w:val="clear" w:color="auto" w:fill="FFFFFF"/>
          </w:tcPr>
          <w:p w14:paraId="56611907" w14:textId="77777777" w:rsidR="00142FD9" w:rsidRPr="00994C53" w:rsidRDefault="00142FD9" w:rsidP="00142FD9">
            <w:pPr>
              <w:rPr>
                <w:rFonts w:eastAsia="Calibri"/>
                <w:i/>
                <w:sz w:val="18"/>
                <w:szCs w:val="18"/>
              </w:rPr>
            </w:pPr>
            <w:r w:rsidRPr="00994C53">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14:paraId="6609F5D6" w14:textId="77777777" w:rsidR="00142FD9" w:rsidRPr="00A30F1C" w:rsidRDefault="00142FD9" w:rsidP="00142FD9">
            <w:pPr>
              <w:rPr>
                <w:rFonts w:eastAsia="Calibri"/>
                <w:sz w:val="20"/>
                <w:szCs w:val="18"/>
              </w:rPr>
            </w:pPr>
            <w:r w:rsidRPr="00B064B8">
              <w:rPr>
                <w:rFonts w:eastAsia="Calibri"/>
                <w:szCs w:val="20"/>
              </w:rPr>
              <w:t>Nie</w:t>
            </w:r>
          </w:p>
        </w:tc>
      </w:tr>
    </w:tbl>
    <w:p w14:paraId="6A05AAE8" w14:textId="77777777" w:rsidR="00142FD9" w:rsidRDefault="00142FD9" w:rsidP="00142FD9">
      <w:pPr>
        <w:jc w:val="center"/>
        <w:outlineLvl w:val="0"/>
      </w:pPr>
    </w:p>
    <w:p w14:paraId="1FF688B2" w14:textId="3FF7954D" w:rsidR="00142FD9" w:rsidRDefault="00142FD9"/>
    <w:p w14:paraId="2C12425C" w14:textId="77777777" w:rsidR="00142FD9" w:rsidRDefault="00142FD9">
      <w:pPr>
        <w:widowControl/>
        <w:adjustRightInd/>
      </w:pPr>
      <w:r>
        <w:br w:type="page"/>
      </w:r>
    </w:p>
    <w:p w14:paraId="1B67435E" w14:textId="77777777" w:rsidR="00142FD9" w:rsidRDefault="00142FD9"/>
    <w:tbl>
      <w:tblPr>
        <w:tblStyle w:val="Mriekatabuky"/>
        <w:tblW w:w="9062" w:type="dxa"/>
        <w:tblLayout w:type="fixed"/>
        <w:tblLook w:val="04A0" w:firstRow="1" w:lastRow="0" w:firstColumn="1" w:lastColumn="0" w:noHBand="0" w:noVBand="1"/>
      </w:tblPr>
      <w:tblGrid>
        <w:gridCol w:w="9062"/>
      </w:tblGrid>
      <w:tr w:rsidR="00632B65" w:rsidRPr="001E4B49" w14:paraId="256F8131" w14:textId="77777777" w:rsidTr="00142FD9">
        <w:trPr>
          <w:trHeight w:val="567"/>
        </w:trPr>
        <w:tc>
          <w:tcPr>
            <w:tcW w:w="9062" w:type="dxa"/>
            <w:shd w:val="clear" w:color="auto" w:fill="D9D9D9" w:themeFill="background1" w:themeFillShade="D9"/>
          </w:tcPr>
          <w:p w14:paraId="724F8705" w14:textId="2A5F2AB7" w:rsidR="00632B65" w:rsidRPr="001E4B49" w:rsidRDefault="00632B65" w:rsidP="001E4B49">
            <w:pPr>
              <w:jc w:val="center"/>
              <w:rPr>
                <w:rFonts w:ascii="Times New Roman" w:hAnsi="Times New Roman" w:cs="Times New Roman"/>
                <w:b/>
                <w:sz w:val="24"/>
              </w:rPr>
            </w:pPr>
            <w:r w:rsidRPr="001E4B49">
              <w:rPr>
                <w:rFonts w:ascii="Times New Roman" w:hAnsi="Times New Roman" w:cs="Times New Roman"/>
                <w:b/>
                <w:sz w:val="28"/>
              </w:rPr>
              <w:t xml:space="preserve">Analýza vplyvov na podnikateľské prostredie </w:t>
            </w:r>
          </w:p>
          <w:p w14:paraId="6FFBAED8" w14:textId="77777777" w:rsidR="00632B65" w:rsidRPr="001E4B49" w:rsidRDefault="00632B65" w:rsidP="001E4B49">
            <w:pPr>
              <w:jc w:val="center"/>
              <w:rPr>
                <w:rFonts w:ascii="Times New Roman" w:hAnsi="Times New Roman" w:cs="Times New Roman"/>
                <w:b/>
              </w:rPr>
            </w:pPr>
            <w:r w:rsidRPr="001E4B49">
              <w:rPr>
                <w:rFonts w:ascii="Times New Roman" w:hAnsi="Times New Roman" w:cs="Times New Roman"/>
                <w:b/>
                <w:sz w:val="24"/>
              </w:rPr>
              <w:t>(vrátane testu MSP)</w:t>
            </w:r>
          </w:p>
        </w:tc>
      </w:tr>
      <w:tr w:rsidR="00632B65" w:rsidRPr="001E4B49" w14:paraId="64069838" w14:textId="77777777" w:rsidTr="00142FD9">
        <w:trPr>
          <w:trHeight w:val="567"/>
        </w:trPr>
        <w:tc>
          <w:tcPr>
            <w:tcW w:w="9062" w:type="dxa"/>
            <w:shd w:val="clear" w:color="auto" w:fill="D9D9D9" w:themeFill="background1" w:themeFillShade="D9"/>
          </w:tcPr>
          <w:p w14:paraId="41BBFDDB" w14:textId="77777777" w:rsidR="00632B65" w:rsidRPr="001E4B49" w:rsidRDefault="00632B65" w:rsidP="001E4B49">
            <w:pPr>
              <w:rPr>
                <w:rFonts w:ascii="Times New Roman" w:hAnsi="Times New Roman" w:cs="Times New Roman"/>
                <w:b/>
                <w:sz w:val="24"/>
              </w:rPr>
            </w:pPr>
            <w:r w:rsidRPr="001E4B49">
              <w:rPr>
                <w:rFonts w:ascii="Times New Roman" w:hAnsi="Times New Roman" w:cs="Times New Roman"/>
                <w:b/>
                <w:sz w:val="24"/>
              </w:rPr>
              <w:t>Materiál bude mať vplyv s ohľadom na veľkostnú kategóriu podnikov:</w:t>
            </w:r>
          </w:p>
        </w:tc>
      </w:tr>
      <w:tr w:rsidR="00632B65" w:rsidRPr="001E4B49" w14:paraId="5B3B6B46" w14:textId="77777777" w:rsidTr="00142FD9">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32B65" w:rsidRPr="001E4B49" w14:paraId="2E83CBEF" w14:textId="77777777" w:rsidTr="001E4B49">
              <w:sdt>
                <w:sdtPr>
                  <w:id w:val="43339831"/>
                  <w14:checkbox>
                    <w14:checked w14:val="0"/>
                    <w14:checkedState w14:val="2612" w14:font="MS Gothic"/>
                    <w14:uncheckedState w14:val="2610" w14:font="MS Gothic"/>
                  </w14:checkbox>
                </w:sdtPr>
                <w:sdtEndPr/>
                <w:sdtContent>
                  <w:tc>
                    <w:tcPr>
                      <w:tcW w:w="436" w:type="dxa"/>
                    </w:tcPr>
                    <w:p w14:paraId="6C0A7821" w14:textId="77777777" w:rsidR="00632B65" w:rsidRPr="001E4B49" w:rsidRDefault="00632B65" w:rsidP="001E4B49">
                      <w:pPr>
                        <w:jc w:val="center"/>
                        <w:rPr>
                          <w:rFonts w:ascii="Times New Roman" w:hAnsi="Times New Roman" w:cs="Times New Roman"/>
                        </w:rPr>
                      </w:pPr>
                      <w:r w:rsidRPr="001E4B49">
                        <w:rPr>
                          <w:rFonts w:ascii="Segoe UI Symbol" w:eastAsia="MS Mincho" w:hAnsi="Segoe UI Symbol" w:cs="Segoe UI Symbol"/>
                        </w:rPr>
                        <w:t>☐</w:t>
                      </w:r>
                    </w:p>
                  </w:tc>
                </w:sdtContent>
              </w:sdt>
              <w:tc>
                <w:tcPr>
                  <w:tcW w:w="8545" w:type="dxa"/>
                </w:tcPr>
                <w:p w14:paraId="68AF7762" w14:textId="77777777" w:rsidR="00632B65" w:rsidRPr="001E4B49" w:rsidRDefault="00632B65" w:rsidP="001E4B49">
                  <w:pPr>
                    <w:rPr>
                      <w:rFonts w:ascii="Times New Roman" w:hAnsi="Times New Roman" w:cs="Times New Roman"/>
                      <w:b/>
                    </w:rPr>
                  </w:pPr>
                  <w:r w:rsidRPr="001E4B49">
                    <w:rPr>
                      <w:rFonts w:ascii="Times New Roman" w:hAnsi="Times New Roman" w:cs="Times New Roman"/>
                      <w:b/>
                    </w:rPr>
                    <w:t xml:space="preserve">iba na MSP (0 - 249 zamestnancov) </w:t>
                  </w:r>
                </w:p>
              </w:tc>
            </w:tr>
            <w:tr w:rsidR="00632B65" w:rsidRPr="001E4B49" w14:paraId="2F2AAE16" w14:textId="77777777" w:rsidTr="001E4B49">
              <w:sdt>
                <w:sdtPr>
                  <w:id w:val="-79453833"/>
                  <w14:checkbox>
                    <w14:checked w14:val="0"/>
                    <w14:checkedState w14:val="2612" w14:font="MS Gothic"/>
                    <w14:uncheckedState w14:val="2610" w14:font="MS Gothic"/>
                  </w14:checkbox>
                </w:sdtPr>
                <w:sdtEndPr/>
                <w:sdtContent>
                  <w:tc>
                    <w:tcPr>
                      <w:tcW w:w="436" w:type="dxa"/>
                    </w:tcPr>
                    <w:p w14:paraId="113367CB" w14:textId="77777777" w:rsidR="00632B65" w:rsidRPr="001E4B49" w:rsidRDefault="00632B65" w:rsidP="001E4B49">
                      <w:pPr>
                        <w:jc w:val="center"/>
                        <w:rPr>
                          <w:rFonts w:ascii="Times New Roman" w:hAnsi="Times New Roman" w:cs="Times New Roman"/>
                        </w:rPr>
                      </w:pPr>
                      <w:r w:rsidRPr="001E4B49">
                        <w:rPr>
                          <w:rFonts w:ascii="Segoe UI Symbol" w:eastAsia="MS Mincho" w:hAnsi="Segoe UI Symbol" w:cs="Segoe UI Symbol"/>
                        </w:rPr>
                        <w:t>☐</w:t>
                      </w:r>
                    </w:p>
                  </w:tc>
                </w:sdtContent>
              </w:sdt>
              <w:tc>
                <w:tcPr>
                  <w:tcW w:w="8545" w:type="dxa"/>
                </w:tcPr>
                <w:p w14:paraId="7C2193A9" w14:textId="77777777" w:rsidR="00632B65" w:rsidRPr="001E4B49" w:rsidRDefault="00632B65" w:rsidP="001E4B49">
                  <w:pPr>
                    <w:rPr>
                      <w:rFonts w:ascii="Times New Roman" w:hAnsi="Times New Roman" w:cs="Times New Roman"/>
                      <w:b/>
                    </w:rPr>
                  </w:pPr>
                  <w:r w:rsidRPr="001E4B49">
                    <w:rPr>
                      <w:rFonts w:ascii="Times New Roman" w:hAnsi="Times New Roman" w:cs="Times New Roman"/>
                      <w:b/>
                    </w:rPr>
                    <w:t>iba na veľké podniky (250 a viac zamestnancov)</w:t>
                  </w:r>
                </w:p>
              </w:tc>
            </w:tr>
            <w:tr w:rsidR="00632B65" w:rsidRPr="001E4B49" w14:paraId="751D16B9" w14:textId="77777777" w:rsidTr="001E4B49">
              <w:sdt>
                <w:sdtPr>
                  <w:id w:val="1290634502"/>
                  <w14:checkbox>
                    <w14:checked w14:val="1"/>
                    <w14:checkedState w14:val="2612" w14:font="MS Gothic"/>
                    <w14:uncheckedState w14:val="2610" w14:font="MS Gothic"/>
                  </w14:checkbox>
                </w:sdtPr>
                <w:sdtEndPr/>
                <w:sdtContent>
                  <w:tc>
                    <w:tcPr>
                      <w:tcW w:w="436" w:type="dxa"/>
                    </w:tcPr>
                    <w:p w14:paraId="136546DB" w14:textId="77777777" w:rsidR="00632B65" w:rsidRPr="001E4B49" w:rsidRDefault="00632B65" w:rsidP="001E4B49">
                      <w:pPr>
                        <w:jc w:val="center"/>
                        <w:rPr>
                          <w:rFonts w:ascii="Times New Roman" w:hAnsi="Times New Roman" w:cs="Times New Roman"/>
                        </w:rPr>
                      </w:pPr>
                      <w:r w:rsidRPr="001E4B49">
                        <w:rPr>
                          <w:rFonts w:ascii="Segoe UI Symbol" w:eastAsia="MS Gothic" w:hAnsi="Segoe UI Symbol" w:cs="Segoe UI Symbol"/>
                        </w:rPr>
                        <w:t>☒</w:t>
                      </w:r>
                    </w:p>
                  </w:tc>
                </w:sdtContent>
              </w:sdt>
              <w:tc>
                <w:tcPr>
                  <w:tcW w:w="8545" w:type="dxa"/>
                </w:tcPr>
                <w:p w14:paraId="2F5BF043" w14:textId="77777777" w:rsidR="00632B65" w:rsidRPr="001E4B49" w:rsidRDefault="00632B65" w:rsidP="001E4B49">
                  <w:pPr>
                    <w:rPr>
                      <w:rFonts w:ascii="Times New Roman" w:hAnsi="Times New Roman" w:cs="Times New Roman"/>
                    </w:rPr>
                  </w:pPr>
                  <w:r w:rsidRPr="001E4B49">
                    <w:rPr>
                      <w:rFonts w:ascii="Times New Roman" w:hAnsi="Times New Roman" w:cs="Times New Roman"/>
                      <w:b/>
                    </w:rPr>
                    <w:t>na všetky kategórie podnikov</w:t>
                  </w:r>
                </w:p>
              </w:tc>
            </w:tr>
          </w:tbl>
          <w:p w14:paraId="77FDB5FC" w14:textId="77777777" w:rsidR="00632B65" w:rsidRPr="001E4B49" w:rsidRDefault="00632B65" w:rsidP="001E4B49">
            <w:pPr>
              <w:rPr>
                <w:rFonts w:ascii="Times New Roman" w:hAnsi="Times New Roman" w:cs="Times New Roman"/>
                <w:b/>
              </w:rPr>
            </w:pPr>
          </w:p>
        </w:tc>
      </w:tr>
      <w:tr w:rsidR="00632B65" w:rsidRPr="001E4B49" w14:paraId="1538B84E" w14:textId="77777777" w:rsidTr="00142FD9">
        <w:tc>
          <w:tcPr>
            <w:tcW w:w="9062" w:type="dxa"/>
            <w:shd w:val="clear" w:color="auto" w:fill="D9D9D9" w:themeFill="background1" w:themeFillShade="D9"/>
          </w:tcPr>
          <w:p w14:paraId="118F3779" w14:textId="77777777" w:rsidR="00632B65" w:rsidRPr="001E4B49" w:rsidRDefault="00632B65" w:rsidP="001E4B49">
            <w:pPr>
              <w:rPr>
                <w:rFonts w:ascii="Times New Roman" w:hAnsi="Times New Roman" w:cs="Times New Roman"/>
                <w:b/>
                <w:sz w:val="24"/>
              </w:rPr>
            </w:pPr>
            <w:r w:rsidRPr="001E4B49">
              <w:rPr>
                <w:rFonts w:ascii="Times New Roman" w:hAnsi="Times New Roman" w:cs="Times New Roman"/>
                <w:b/>
                <w:sz w:val="24"/>
              </w:rPr>
              <w:t>3.1 Dotknuté podnikateľské subjekty</w:t>
            </w:r>
          </w:p>
          <w:p w14:paraId="3E4FC4AB" w14:textId="77777777" w:rsidR="00632B65" w:rsidRPr="001E4B49" w:rsidRDefault="00632B65" w:rsidP="001E4B49">
            <w:pPr>
              <w:ind w:left="284"/>
              <w:rPr>
                <w:rFonts w:ascii="Times New Roman" w:hAnsi="Times New Roman" w:cs="Times New Roman"/>
                <w:b/>
              </w:rPr>
            </w:pPr>
            <w:r w:rsidRPr="001E4B49">
              <w:rPr>
                <w:rFonts w:ascii="Times New Roman" w:hAnsi="Times New Roman" w:cs="Times New Roman"/>
                <w:sz w:val="24"/>
              </w:rPr>
              <w:t xml:space="preserve"> - </w:t>
            </w:r>
            <w:r w:rsidRPr="001E4B49">
              <w:rPr>
                <w:rFonts w:ascii="Times New Roman" w:hAnsi="Times New Roman" w:cs="Times New Roman"/>
                <w:b/>
                <w:sz w:val="24"/>
              </w:rPr>
              <w:t>z toho MSP</w:t>
            </w:r>
          </w:p>
        </w:tc>
      </w:tr>
      <w:tr w:rsidR="00632B65" w:rsidRPr="001E4B49" w14:paraId="39160D63" w14:textId="77777777" w:rsidTr="00142FD9">
        <w:tc>
          <w:tcPr>
            <w:tcW w:w="9062" w:type="dxa"/>
            <w:tcBorders>
              <w:bottom w:val="single" w:sz="4" w:space="0" w:color="auto"/>
            </w:tcBorders>
          </w:tcPr>
          <w:p w14:paraId="3C033631"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Uveďte, aké podnikateľské subjekty budú predkladaným návrhom ovplyvnené.</w:t>
            </w:r>
          </w:p>
          <w:p w14:paraId="6242D5EF"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Aký je ich počet?</w:t>
            </w:r>
          </w:p>
        </w:tc>
      </w:tr>
      <w:tr w:rsidR="00632B65" w:rsidRPr="001E4B49" w14:paraId="0DB17A96" w14:textId="77777777" w:rsidTr="00142FD9">
        <w:trPr>
          <w:trHeight w:val="1440"/>
        </w:trPr>
        <w:tc>
          <w:tcPr>
            <w:tcW w:w="9062" w:type="dxa"/>
            <w:tcBorders>
              <w:bottom w:val="single" w:sz="4" w:space="0" w:color="auto"/>
            </w:tcBorders>
          </w:tcPr>
          <w:p w14:paraId="1E0C6775" w14:textId="77777777" w:rsidR="00632B65" w:rsidRPr="001E4B49" w:rsidRDefault="00632B65" w:rsidP="001E4B49">
            <w:pPr>
              <w:jc w:val="both"/>
              <w:rPr>
                <w:rFonts w:ascii="Times New Roman" w:hAnsi="Times New Roman" w:cs="Times New Roman"/>
                <w:sz w:val="24"/>
                <w:szCs w:val="22"/>
              </w:rPr>
            </w:pPr>
            <w:r w:rsidRPr="001E4B49">
              <w:rPr>
                <w:rFonts w:ascii="Times New Roman" w:hAnsi="Times New Roman" w:cs="Times New Roman"/>
                <w:sz w:val="24"/>
                <w:szCs w:val="22"/>
              </w:rPr>
              <w:t>Návrh novely zákona neupravuje okruh oprávnených príjemcov oproti pôvodnému zneniu zákona. Podpora prostredníctvom regionálneho príspevku sa tak naďalej bez zmeny dotýka všetkých  podnikateľských subjektov v rôznych sektorových oblastiach, ktoré spadajú pod definíciu „</w:t>
            </w:r>
            <w:r w:rsidRPr="001E4B49">
              <w:rPr>
                <w:rFonts w:ascii="Times New Roman" w:hAnsi="Times New Roman" w:cs="Times New Roman"/>
                <w:i/>
                <w:sz w:val="24"/>
                <w:szCs w:val="22"/>
              </w:rPr>
              <w:t>Prijímateľom podpory v najmenej rozvinutom okrese môžu byť v súlade s akčným plánom a ročnými prioritami aj fyzické osoby – podnikatelia.“</w:t>
            </w:r>
            <w:r w:rsidRPr="001E4B49">
              <w:rPr>
                <w:rFonts w:ascii="Times New Roman" w:hAnsi="Times New Roman" w:cs="Times New Roman"/>
                <w:sz w:val="24"/>
                <w:szCs w:val="22"/>
              </w:rPr>
              <w:t>. Presný počet dotknutých podnikateľských subjektov po účinnosti návrhu zákona nie je možné určiť, avšak doteraz bolo podporených cca. 335 podnikateľských subjektov.</w:t>
            </w:r>
          </w:p>
          <w:p w14:paraId="5CE9BAD6" w14:textId="77777777" w:rsidR="00632B65" w:rsidRPr="001E4B49" w:rsidRDefault="00632B65" w:rsidP="001E4B49">
            <w:pPr>
              <w:jc w:val="both"/>
              <w:rPr>
                <w:rFonts w:ascii="Times New Roman" w:hAnsi="Times New Roman" w:cs="Times New Roman"/>
                <w:i/>
              </w:rPr>
            </w:pPr>
          </w:p>
        </w:tc>
      </w:tr>
      <w:tr w:rsidR="00632B65" w:rsidRPr="001E4B49" w14:paraId="3EA38F7A" w14:textId="77777777" w:rsidTr="00142FD9">
        <w:trPr>
          <w:trHeight w:val="339"/>
        </w:trPr>
        <w:tc>
          <w:tcPr>
            <w:tcW w:w="9062" w:type="dxa"/>
            <w:tcBorders>
              <w:bottom w:val="single" w:sz="4" w:space="0" w:color="auto"/>
            </w:tcBorders>
            <w:shd w:val="clear" w:color="auto" w:fill="D9D9D9" w:themeFill="background1" w:themeFillShade="D9"/>
          </w:tcPr>
          <w:p w14:paraId="6CB893F9" w14:textId="77777777" w:rsidR="00632B65" w:rsidRPr="001E4B49" w:rsidRDefault="00632B65" w:rsidP="001E4B49">
            <w:pPr>
              <w:rPr>
                <w:rFonts w:ascii="Times New Roman" w:hAnsi="Times New Roman" w:cs="Times New Roman"/>
                <w:b/>
                <w:sz w:val="24"/>
              </w:rPr>
            </w:pPr>
            <w:r w:rsidRPr="001E4B49">
              <w:rPr>
                <w:rFonts w:ascii="Times New Roman" w:hAnsi="Times New Roman" w:cs="Times New Roman"/>
                <w:b/>
                <w:sz w:val="24"/>
              </w:rPr>
              <w:t>3.2 Vyhodnotenie konzultácií</w:t>
            </w:r>
          </w:p>
          <w:p w14:paraId="00119C3D" w14:textId="77777777" w:rsidR="00632B65" w:rsidRPr="001E4B49" w:rsidRDefault="00632B65" w:rsidP="001E4B49">
            <w:pPr>
              <w:rPr>
                <w:rFonts w:ascii="Times New Roman" w:hAnsi="Times New Roman" w:cs="Times New Roman"/>
                <w:b/>
              </w:rPr>
            </w:pPr>
            <w:r w:rsidRPr="001E4B49">
              <w:rPr>
                <w:rFonts w:ascii="Times New Roman" w:hAnsi="Times New Roman" w:cs="Times New Roman"/>
                <w:sz w:val="24"/>
              </w:rPr>
              <w:t xml:space="preserve">       - </w:t>
            </w:r>
            <w:r w:rsidRPr="001E4B49">
              <w:rPr>
                <w:rFonts w:ascii="Times New Roman" w:hAnsi="Times New Roman" w:cs="Times New Roman"/>
                <w:b/>
                <w:sz w:val="24"/>
              </w:rPr>
              <w:t>z toho MSP</w:t>
            </w:r>
          </w:p>
        </w:tc>
      </w:tr>
      <w:tr w:rsidR="00632B65" w:rsidRPr="001E4B49" w14:paraId="18FD902D" w14:textId="77777777" w:rsidTr="00142FD9">
        <w:trPr>
          <w:trHeight w:val="557"/>
        </w:trPr>
        <w:tc>
          <w:tcPr>
            <w:tcW w:w="9062" w:type="dxa"/>
            <w:tcBorders>
              <w:bottom w:val="single" w:sz="4" w:space="0" w:color="auto"/>
            </w:tcBorders>
          </w:tcPr>
          <w:p w14:paraId="23C40175"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Uveďte, akou formou (verejné alebo cielené konzultácie a prečo) a s kým bol návrh konzultovaný.</w:t>
            </w:r>
          </w:p>
          <w:p w14:paraId="3178A738"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Ako dlho trvali konzultácie?</w:t>
            </w:r>
          </w:p>
          <w:p w14:paraId="7CB3CE48"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 xml:space="preserve">Uveďte hlavné body konzultácií a výsledky konzultácií. </w:t>
            </w:r>
          </w:p>
        </w:tc>
      </w:tr>
      <w:tr w:rsidR="00632B65" w:rsidRPr="001E4B49" w14:paraId="1998E899" w14:textId="77777777" w:rsidTr="00142FD9">
        <w:trPr>
          <w:trHeight w:val="1440"/>
        </w:trPr>
        <w:tc>
          <w:tcPr>
            <w:tcW w:w="9062" w:type="dxa"/>
            <w:tcBorders>
              <w:bottom w:val="single" w:sz="4" w:space="0" w:color="auto"/>
            </w:tcBorders>
          </w:tcPr>
          <w:p w14:paraId="5290D71A" w14:textId="77777777" w:rsidR="00632B65" w:rsidRPr="001E4B49" w:rsidRDefault="00632B65" w:rsidP="001E4B49">
            <w:pPr>
              <w:jc w:val="both"/>
              <w:rPr>
                <w:rFonts w:ascii="Times New Roman" w:hAnsi="Times New Roman" w:cs="Times New Roman"/>
                <w:sz w:val="24"/>
                <w:szCs w:val="22"/>
              </w:rPr>
            </w:pPr>
            <w:r w:rsidRPr="001E4B49">
              <w:rPr>
                <w:rFonts w:ascii="Times New Roman" w:hAnsi="Times New Roman" w:cs="Times New Roman"/>
                <w:sz w:val="24"/>
                <w:szCs w:val="22"/>
              </w:rPr>
              <w:t>Konzultácie s podnikateľskými subjektmi neboli uskutočnené. Verejnosť bola informovaná o konkrétnych cieľoch navrhovanej právnej úpravy aj prostredníctvom zverejnenia predbežnej informácie o návrhu novely. Návrh novely zákona bol okrem iného aj predmetom diskusie s Úniou miest Slovenska, ako aj Združením miest a obcí Slovenska, ktoré poznajú problematiku NRO.</w:t>
            </w:r>
          </w:p>
        </w:tc>
      </w:tr>
      <w:tr w:rsidR="00632B65" w:rsidRPr="001E4B49" w14:paraId="0CCD5DC2" w14:textId="77777777" w:rsidTr="00142FD9">
        <w:tc>
          <w:tcPr>
            <w:tcW w:w="9062" w:type="dxa"/>
            <w:shd w:val="clear" w:color="auto" w:fill="D9D9D9" w:themeFill="background1" w:themeFillShade="D9"/>
          </w:tcPr>
          <w:p w14:paraId="1A1FFB7E" w14:textId="77777777" w:rsidR="00632B65" w:rsidRPr="001E4B49" w:rsidRDefault="00632B65" w:rsidP="001E4B49">
            <w:pPr>
              <w:rPr>
                <w:rFonts w:ascii="Times New Roman" w:hAnsi="Times New Roman" w:cs="Times New Roman"/>
                <w:b/>
                <w:sz w:val="24"/>
              </w:rPr>
            </w:pPr>
            <w:r w:rsidRPr="001E4B49">
              <w:rPr>
                <w:rFonts w:ascii="Times New Roman" w:hAnsi="Times New Roman" w:cs="Times New Roman"/>
                <w:b/>
                <w:sz w:val="24"/>
              </w:rPr>
              <w:t>3.3 Náklady regulácie</w:t>
            </w:r>
          </w:p>
          <w:p w14:paraId="57FFD64E" w14:textId="77777777" w:rsidR="00632B65" w:rsidRPr="001E4B49" w:rsidRDefault="00632B65" w:rsidP="001E4B49">
            <w:pPr>
              <w:rPr>
                <w:rFonts w:ascii="Times New Roman" w:hAnsi="Times New Roman" w:cs="Times New Roman"/>
                <w:b/>
              </w:rPr>
            </w:pPr>
            <w:r w:rsidRPr="001E4B49">
              <w:rPr>
                <w:rFonts w:ascii="Times New Roman" w:hAnsi="Times New Roman" w:cs="Times New Roman"/>
                <w:sz w:val="24"/>
              </w:rPr>
              <w:t xml:space="preserve">      - </w:t>
            </w:r>
            <w:r w:rsidRPr="001E4B49">
              <w:rPr>
                <w:rFonts w:ascii="Times New Roman" w:hAnsi="Times New Roman" w:cs="Times New Roman"/>
                <w:b/>
                <w:sz w:val="24"/>
              </w:rPr>
              <w:t>z toho MSP</w:t>
            </w:r>
          </w:p>
        </w:tc>
      </w:tr>
      <w:tr w:rsidR="00632B65" w:rsidRPr="001E4B49" w14:paraId="458406E0" w14:textId="77777777" w:rsidTr="00142FD9">
        <w:tc>
          <w:tcPr>
            <w:tcW w:w="9062" w:type="dxa"/>
            <w:tcBorders>
              <w:bottom w:val="single" w:sz="4" w:space="0" w:color="auto"/>
            </w:tcBorders>
          </w:tcPr>
          <w:p w14:paraId="3D9292C6" w14:textId="77777777" w:rsidR="00632B65" w:rsidRPr="001E4B49" w:rsidRDefault="00632B65" w:rsidP="001E4B49">
            <w:pPr>
              <w:rPr>
                <w:rFonts w:ascii="Times New Roman" w:hAnsi="Times New Roman" w:cs="Times New Roman"/>
                <w:b/>
                <w:i/>
              </w:rPr>
            </w:pPr>
            <w:r w:rsidRPr="001E4B49">
              <w:rPr>
                <w:rFonts w:ascii="Times New Roman" w:hAnsi="Times New Roman" w:cs="Times New Roman"/>
                <w:b/>
                <w:i/>
              </w:rPr>
              <w:t>3.3.1 Priame finančné náklady</w:t>
            </w:r>
          </w:p>
          <w:p w14:paraId="3B1591B8"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 xml:space="preserve">Dochádza k zvýšeniu/zníženiu priamych finančných nákladov (poplatky, odvody, dane clá...)? Ak áno, popíšte a vyčíslite ich. Uveďte tiež spôsob ich výpočtu. </w:t>
            </w:r>
          </w:p>
        </w:tc>
      </w:tr>
      <w:tr w:rsidR="00632B65" w:rsidRPr="001E4B49" w14:paraId="670A17B8" w14:textId="77777777" w:rsidTr="00142FD9">
        <w:trPr>
          <w:trHeight w:val="475"/>
        </w:trPr>
        <w:tc>
          <w:tcPr>
            <w:tcW w:w="9062" w:type="dxa"/>
            <w:tcBorders>
              <w:bottom w:val="single" w:sz="4" w:space="0" w:color="auto"/>
            </w:tcBorders>
          </w:tcPr>
          <w:p w14:paraId="7508A0B4" w14:textId="77777777" w:rsidR="00632B65" w:rsidRPr="001E4B49" w:rsidRDefault="00632B65" w:rsidP="001E4B49">
            <w:pPr>
              <w:jc w:val="both"/>
              <w:rPr>
                <w:rFonts w:ascii="Times New Roman" w:hAnsi="Times New Roman" w:cs="Times New Roman"/>
                <w:b/>
                <w:i/>
              </w:rPr>
            </w:pPr>
            <w:r w:rsidRPr="001E4B49">
              <w:rPr>
                <w:rFonts w:ascii="Times New Roman" w:hAnsi="Times New Roman" w:cs="Times New Roman"/>
                <w:sz w:val="24"/>
                <w:szCs w:val="22"/>
              </w:rPr>
              <w:t>Návrh novely zákona nebude mať vplyv na zvýšenie, ako aj zníženie priamych finančných nákladov.</w:t>
            </w:r>
          </w:p>
        </w:tc>
      </w:tr>
      <w:tr w:rsidR="00632B65" w:rsidRPr="001E4B49" w14:paraId="7FBF7A47" w14:textId="77777777" w:rsidTr="00142FD9">
        <w:tc>
          <w:tcPr>
            <w:tcW w:w="9062" w:type="dxa"/>
            <w:tcBorders>
              <w:bottom w:val="single" w:sz="4" w:space="0" w:color="auto"/>
            </w:tcBorders>
          </w:tcPr>
          <w:p w14:paraId="093CD147" w14:textId="77777777" w:rsidR="00632B65" w:rsidRPr="001E4B49" w:rsidRDefault="00632B65" w:rsidP="001E4B49">
            <w:pPr>
              <w:rPr>
                <w:rFonts w:ascii="Times New Roman" w:hAnsi="Times New Roman" w:cs="Times New Roman"/>
                <w:b/>
                <w:i/>
              </w:rPr>
            </w:pPr>
            <w:r w:rsidRPr="001E4B49">
              <w:rPr>
                <w:rFonts w:ascii="Times New Roman" w:hAnsi="Times New Roman" w:cs="Times New Roman"/>
                <w:b/>
                <w:i/>
              </w:rPr>
              <w:t>3.3.2 Nepriame finančné náklady</w:t>
            </w:r>
          </w:p>
          <w:p w14:paraId="7D3545B0"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632B65" w:rsidRPr="001E4B49" w14:paraId="25194CBF" w14:textId="77777777" w:rsidTr="00142FD9">
        <w:trPr>
          <w:trHeight w:val="674"/>
        </w:trPr>
        <w:tc>
          <w:tcPr>
            <w:tcW w:w="9062" w:type="dxa"/>
            <w:tcBorders>
              <w:bottom w:val="single" w:sz="4" w:space="0" w:color="auto"/>
            </w:tcBorders>
          </w:tcPr>
          <w:p w14:paraId="6FC2F40B" w14:textId="77777777" w:rsidR="00632B65" w:rsidRPr="001E4B49" w:rsidRDefault="00632B65" w:rsidP="001E4B49">
            <w:pPr>
              <w:jc w:val="both"/>
              <w:rPr>
                <w:rFonts w:ascii="Times New Roman" w:hAnsi="Times New Roman" w:cs="Times New Roman"/>
                <w:b/>
                <w:i/>
              </w:rPr>
            </w:pPr>
            <w:r w:rsidRPr="001E4B49">
              <w:rPr>
                <w:rFonts w:ascii="Times New Roman" w:hAnsi="Times New Roman" w:cs="Times New Roman"/>
                <w:sz w:val="24"/>
                <w:szCs w:val="22"/>
              </w:rPr>
              <w:t>Návrh novely zákona nebude mať vplyv na zvýšenie, ako aj zníženie nepriamych finančných nákladov.</w:t>
            </w:r>
          </w:p>
        </w:tc>
      </w:tr>
      <w:tr w:rsidR="00632B65" w:rsidRPr="001E4B49" w14:paraId="3C159762" w14:textId="77777777" w:rsidTr="00142FD9">
        <w:tc>
          <w:tcPr>
            <w:tcW w:w="9062" w:type="dxa"/>
            <w:tcBorders>
              <w:bottom w:val="single" w:sz="4" w:space="0" w:color="auto"/>
            </w:tcBorders>
          </w:tcPr>
          <w:p w14:paraId="56A213E0" w14:textId="77777777" w:rsidR="00632B65" w:rsidRPr="001E4B49" w:rsidRDefault="00632B65" w:rsidP="001E4B49">
            <w:pPr>
              <w:rPr>
                <w:rFonts w:ascii="Times New Roman" w:hAnsi="Times New Roman" w:cs="Times New Roman"/>
                <w:b/>
                <w:i/>
              </w:rPr>
            </w:pPr>
            <w:r w:rsidRPr="001E4B49">
              <w:rPr>
                <w:rFonts w:ascii="Times New Roman" w:hAnsi="Times New Roman" w:cs="Times New Roman"/>
                <w:b/>
                <w:i/>
              </w:rPr>
              <w:t>3.3.3 Administratívne náklady</w:t>
            </w:r>
          </w:p>
          <w:p w14:paraId="22E16612"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632B65" w:rsidRPr="001E4B49" w14:paraId="4E22D468" w14:textId="77777777" w:rsidTr="00142FD9">
        <w:tc>
          <w:tcPr>
            <w:tcW w:w="9062" w:type="dxa"/>
            <w:tcBorders>
              <w:bottom w:val="single" w:sz="4" w:space="0" w:color="auto"/>
            </w:tcBorders>
          </w:tcPr>
          <w:p w14:paraId="235D5216" w14:textId="77777777" w:rsidR="00632B65" w:rsidRPr="001E4B49" w:rsidRDefault="00632B65" w:rsidP="001E4B49">
            <w:pPr>
              <w:jc w:val="both"/>
              <w:rPr>
                <w:rFonts w:ascii="Times New Roman" w:hAnsi="Times New Roman" w:cs="Times New Roman"/>
                <w:b/>
                <w:i/>
              </w:rPr>
            </w:pPr>
            <w:r w:rsidRPr="001E4B49">
              <w:rPr>
                <w:rFonts w:ascii="Times New Roman" w:hAnsi="Times New Roman" w:cs="Times New Roman"/>
                <w:sz w:val="24"/>
                <w:szCs w:val="22"/>
              </w:rPr>
              <w:t xml:space="preserve">Zo strany žiadateľov nedochádza k zavedeniu nových resp. existujúcich informačných povinností alebo ich odstráneniu, ktoré vytvárajú administratívne náklady. </w:t>
            </w:r>
          </w:p>
        </w:tc>
      </w:tr>
      <w:tr w:rsidR="00632B65" w:rsidRPr="001E4B49" w14:paraId="53F01880" w14:textId="77777777" w:rsidTr="00142FD9">
        <w:trPr>
          <w:trHeight w:val="2318"/>
        </w:trPr>
        <w:tc>
          <w:tcPr>
            <w:tcW w:w="9062" w:type="dxa"/>
            <w:tcBorders>
              <w:bottom w:val="single" w:sz="4" w:space="0" w:color="auto"/>
            </w:tcBorders>
          </w:tcPr>
          <w:p w14:paraId="293B7F63" w14:textId="77777777" w:rsidR="00632B65" w:rsidRPr="001E4B49" w:rsidRDefault="00632B65" w:rsidP="001E4B49">
            <w:pPr>
              <w:rPr>
                <w:rFonts w:ascii="Times New Roman" w:hAnsi="Times New Roman" w:cs="Times New Roman"/>
                <w:i/>
              </w:rPr>
            </w:pPr>
            <w:r w:rsidRPr="001E4B49">
              <w:rPr>
                <w:rFonts w:ascii="Times New Roman" w:hAnsi="Times New Roman" w:cs="Times New Roman"/>
                <w:b/>
                <w:i/>
              </w:rPr>
              <w:t>3.3.4 Súhrnná tabuľka nákladov regulácie</w:t>
            </w:r>
          </w:p>
          <w:p w14:paraId="6A92B821" w14:textId="77777777" w:rsidR="00632B65" w:rsidRPr="001E4B49" w:rsidRDefault="00632B65" w:rsidP="001E4B49">
            <w:pPr>
              <w:rPr>
                <w:rFonts w:ascii="Times New Roman" w:hAnsi="Times New Roman" w:cs="Times New Roman"/>
                <w:i/>
              </w:rPr>
            </w:pPr>
          </w:p>
          <w:tbl>
            <w:tblPr>
              <w:tblStyle w:val="Mriekatabuky"/>
              <w:tblW w:w="0" w:type="auto"/>
              <w:tblLayout w:type="fixed"/>
              <w:tblLook w:val="04A0" w:firstRow="1" w:lastRow="0" w:firstColumn="1" w:lastColumn="0" w:noHBand="0" w:noVBand="1"/>
            </w:tblPr>
            <w:tblGrid>
              <w:gridCol w:w="2993"/>
              <w:gridCol w:w="2994"/>
              <w:gridCol w:w="2994"/>
            </w:tblGrid>
            <w:tr w:rsidR="00632B65" w:rsidRPr="001E4B49" w14:paraId="0E17CB85" w14:textId="77777777" w:rsidTr="001E4B49">
              <w:trPr>
                <w:trHeight w:val="533"/>
              </w:trPr>
              <w:tc>
                <w:tcPr>
                  <w:tcW w:w="2993" w:type="dxa"/>
                </w:tcPr>
                <w:p w14:paraId="19AEA88D" w14:textId="77777777" w:rsidR="00632B65" w:rsidRPr="001E4B49" w:rsidRDefault="00632B65" w:rsidP="001E4B49">
                  <w:pPr>
                    <w:rPr>
                      <w:rFonts w:ascii="Times New Roman" w:hAnsi="Times New Roman" w:cs="Times New Roman"/>
                      <w:i/>
                    </w:rPr>
                  </w:pPr>
                </w:p>
              </w:tc>
              <w:tc>
                <w:tcPr>
                  <w:tcW w:w="2994" w:type="dxa"/>
                </w:tcPr>
                <w:p w14:paraId="5C84E58A" w14:textId="77777777" w:rsidR="00632B65" w:rsidRPr="001E4B49" w:rsidRDefault="00632B65" w:rsidP="001E4B49">
                  <w:pPr>
                    <w:jc w:val="center"/>
                    <w:rPr>
                      <w:rFonts w:ascii="Times New Roman" w:hAnsi="Times New Roman" w:cs="Times New Roman"/>
                      <w:i/>
                    </w:rPr>
                  </w:pPr>
                  <w:r w:rsidRPr="001E4B49">
                    <w:rPr>
                      <w:rFonts w:ascii="Times New Roman" w:hAnsi="Times New Roman" w:cs="Times New Roman"/>
                      <w:i/>
                    </w:rPr>
                    <w:t>Náklady na 1 podnikateľa</w:t>
                  </w:r>
                </w:p>
              </w:tc>
              <w:tc>
                <w:tcPr>
                  <w:tcW w:w="2994" w:type="dxa"/>
                </w:tcPr>
                <w:p w14:paraId="7166C170" w14:textId="77777777" w:rsidR="00632B65" w:rsidRPr="001E4B49" w:rsidRDefault="00632B65" w:rsidP="001E4B49">
                  <w:pPr>
                    <w:jc w:val="center"/>
                    <w:rPr>
                      <w:rFonts w:ascii="Times New Roman" w:hAnsi="Times New Roman" w:cs="Times New Roman"/>
                      <w:i/>
                    </w:rPr>
                  </w:pPr>
                  <w:r w:rsidRPr="001E4B49">
                    <w:rPr>
                      <w:rFonts w:ascii="Times New Roman" w:hAnsi="Times New Roman" w:cs="Times New Roman"/>
                      <w:i/>
                    </w:rPr>
                    <w:t>Náklady na celé podnikateľské prostredie</w:t>
                  </w:r>
                </w:p>
              </w:tc>
            </w:tr>
            <w:tr w:rsidR="00632B65" w:rsidRPr="001E4B49" w14:paraId="33F9E828" w14:textId="77777777" w:rsidTr="001E4B49">
              <w:tc>
                <w:tcPr>
                  <w:tcW w:w="2993" w:type="dxa"/>
                </w:tcPr>
                <w:p w14:paraId="41E75B19"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Priame finančné náklady</w:t>
                  </w:r>
                </w:p>
              </w:tc>
              <w:tc>
                <w:tcPr>
                  <w:tcW w:w="2994" w:type="dxa"/>
                </w:tcPr>
                <w:p w14:paraId="639EA73F" w14:textId="77777777" w:rsidR="00632B65" w:rsidRPr="001E4B49" w:rsidRDefault="00632B65" w:rsidP="001E4B49">
                  <w:pPr>
                    <w:jc w:val="center"/>
                    <w:rPr>
                      <w:rFonts w:ascii="Times New Roman" w:hAnsi="Times New Roman" w:cs="Times New Roman"/>
                      <w:i/>
                    </w:rPr>
                  </w:pPr>
                  <w:r w:rsidRPr="001E4B49">
                    <w:rPr>
                      <w:rFonts w:ascii="Times New Roman" w:hAnsi="Times New Roman" w:cs="Times New Roman"/>
                      <w:i/>
                    </w:rPr>
                    <w:t>N/A</w:t>
                  </w:r>
                </w:p>
              </w:tc>
              <w:tc>
                <w:tcPr>
                  <w:tcW w:w="2994" w:type="dxa"/>
                </w:tcPr>
                <w:p w14:paraId="5882FB92" w14:textId="77777777" w:rsidR="00632B65" w:rsidRPr="001E4B49" w:rsidRDefault="00632B65" w:rsidP="001E4B49">
                  <w:pPr>
                    <w:jc w:val="center"/>
                    <w:rPr>
                      <w:rFonts w:ascii="Times New Roman" w:hAnsi="Times New Roman" w:cs="Times New Roman"/>
                    </w:rPr>
                  </w:pPr>
                  <w:r w:rsidRPr="001E4B49">
                    <w:rPr>
                      <w:rFonts w:ascii="Times New Roman" w:hAnsi="Times New Roman" w:cs="Times New Roman"/>
                      <w:i/>
                    </w:rPr>
                    <w:t>N/A</w:t>
                  </w:r>
                </w:p>
              </w:tc>
            </w:tr>
            <w:tr w:rsidR="00632B65" w:rsidRPr="001E4B49" w14:paraId="48A26CE7" w14:textId="77777777" w:rsidTr="001E4B49">
              <w:tc>
                <w:tcPr>
                  <w:tcW w:w="2993" w:type="dxa"/>
                </w:tcPr>
                <w:p w14:paraId="154C1163"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Nepriame finančné náklady</w:t>
                  </w:r>
                </w:p>
              </w:tc>
              <w:tc>
                <w:tcPr>
                  <w:tcW w:w="2994" w:type="dxa"/>
                </w:tcPr>
                <w:p w14:paraId="2243C80D" w14:textId="77777777" w:rsidR="00632B65" w:rsidRPr="001E4B49" w:rsidRDefault="00632B65" w:rsidP="001E4B49">
                  <w:pPr>
                    <w:jc w:val="center"/>
                    <w:rPr>
                      <w:rFonts w:ascii="Times New Roman" w:hAnsi="Times New Roman" w:cs="Times New Roman"/>
                    </w:rPr>
                  </w:pPr>
                  <w:r w:rsidRPr="001E4B49">
                    <w:rPr>
                      <w:rFonts w:ascii="Times New Roman" w:hAnsi="Times New Roman" w:cs="Times New Roman"/>
                      <w:i/>
                    </w:rPr>
                    <w:t>N/A</w:t>
                  </w:r>
                </w:p>
              </w:tc>
              <w:tc>
                <w:tcPr>
                  <w:tcW w:w="2994" w:type="dxa"/>
                </w:tcPr>
                <w:p w14:paraId="1D5E6055" w14:textId="77777777" w:rsidR="00632B65" w:rsidRPr="001E4B49" w:rsidRDefault="00632B65" w:rsidP="001E4B49">
                  <w:pPr>
                    <w:jc w:val="center"/>
                    <w:rPr>
                      <w:rFonts w:ascii="Times New Roman" w:hAnsi="Times New Roman" w:cs="Times New Roman"/>
                    </w:rPr>
                  </w:pPr>
                  <w:r w:rsidRPr="001E4B49">
                    <w:rPr>
                      <w:rFonts w:ascii="Times New Roman" w:hAnsi="Times New Roman" w:cs="Times New Roman"/>
                      <w:i/>
                    </w:rPr>
                    <w:t>N/A</w:t>
                  </w:r>
                </w:p>
              </w:tc>
            </w:tr>
            <w:tr w:rsidR="00632B65" w:rsidRPr="001E4B49" w14:paraId="596D0D94" w14:textId="77777777" w:rsidTr="001E4B49">
              <w:tc>
                <w:tcPr>
                  <w:tcW w:w="2993" w:type="dxa"/>
                </w:tcPr>
                <w:p w14:paraId="1A38B376"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Administratívne náklady</w:t>
                  </w:r>
                </w:p>
              </w:tc>
              <w:tc>
                <w:tcPr>
                  <w:tcW w:w="2994" w:type="dxa"/>
                </w:tcPr>
                <w:p w14:paraId="0C496BAB" w14:textId="77777777" w:rsidR="00632B65" w:rsidRPr="001E4B49" w:rsidRDefault="00632B65" w:rsidP="001E4B49">
                  <w:pPr>
                    <w:jc w:val="center"/>
                    <w:rPr>
                      <w:rFonts w:ascii="Times New Roman" w:hAnsi="Times New Roman" w:cs="Times New Roman"/>
                    </w:rPr>
                  </w:pPr>
                  <w:r w:rsidRPr="001E4B49">
                    <w:rPr>
                      <w:rFonts w:ascii="Times New Roman" w:hAnsi="Times New Roman" w:cs="Times New Roman"/>
                      <w:i/>
                    </w:rPr>
                    <w:t>N/A</w:t>
                  </w:r>
                </w:p>
              </w:tc>
              <w:tc>
                <w:tcPr>
                  <w:tcW w:w="2994" w:type="dxa"/>
                </w:tcPr>
                <w:p w14:paraId="77B442A1" w14:textId="77777777" w:rsidR="00632B65" w:rsidRPr="001E4B49" w:rsidRDefault="00632B65" w:rsidP="001E4B49">
                  <w:pPr>
                    <w:jc w:val="center"/>
                    <w:rPr>
                      <w:rFonts w:ascii="Times New Roman" w:hAnsi="Times New Roman" w:cs="Times New Roman"/>
                    </w:rPr>
                  </w:pPr>
                  <w:r w:rsidRPr="001E4B49">
                    <w:rPr>
                      <w:rFonts w:ascii="Times New Roman" w:hAnsi="Times New Roman" w:cs="Times New Roman"/>
                      <w:i/>
                    </w:rPr>
                    <w:t>N/A</w:t>
                  </w:r>
                </w:p>
              </w:tc>
            </w:tr>
            <w:tr w:rsidR="00632B65" w:rsidRPr="001E4B49" w14:paraId="46D116A1" w14:textId="77777777" w:rsidTr="001E4B49">
              <w:tc>
                <w:tcPr>
                  <w:tcW w:w="2993" w:type="dxa"/>
                </w:tcPr>
                <w:p w14:paraId="47AEC09B" w14:textId="77777777" w:rsidR="00632B65" w:rsidRPr="001E4B49" w:rsidRDefault="00632B65" w:rsidP="001E4B49">
                  <w:pPr>
                    <w:rPr>
                      <w:rFonts w:ascii="Times New Roman" w:hAnsi="Times New Roman" w:cs="Times New Roman"/>
                      <w:b/>
                      <w:i/>
                    </w:rPr>
                  </w:pPr>
                  <w:r w:rsidRPr="001E4B49">
                    <w:rPr>
                      <w:rFonts w:ascii="Times New Roman" w:hAnsi="Times New Roman" w:cs="Times New Roman"/>
                      <w:b/>
                      <w:i/>
                    </w:rPr>
                    <w:t>Celkové náklady regulácie</w:t>
                  </w:r>
                </w:p>
              </w:tc>
              <w:tc>
                <w:tcPr>
                  <w:tcW w:w="2994" w:type="dxa"/>
                </w:tcPr>
                <w:p w14:paraId="161FCBFC" w14:textId="77777777" w:rsidR="00632B65" w:rsidRPr="001E4B49" w:rsidRDefault="00632B65" w:rsidP="001E4B49">
                  <w:pPr>
                    <w:jc w:val="center"/>
                    <w:rPr>
                      <w:rFonts w:ascii="Times New Roman" w:hAnsi="Times New Roman" w:cs="Times New Roman"/>
                      <w:b/>
                      <w:i/>
                    </w:rPr>
                  </w:pPr>
                  <w:r w:rsidRPr="001E4B49">
                    <w:rPr>
                      <w:rFonts w:ascii="Times New Roman" w:hAnsi="Times New Roman" w:cs="Times New Roman"/>
                      <w:b/>
                      <w:i/>
                    </w:rPr>
                    <w:t>N/A</w:t>
                  </w:r>
                </w:p>
              </w:tc>
              <w:tc>
                <w:tcPr>
                  <w:tcW w:w="2994" w:type="dxa"/>
                </w:tcPr>
                <w:p w14:paraId="5CE13592" w14:textId="77777777" w:rsidR="00632B65" w:rsidRPr="001E4B49" w:rsidRDefault="00632B65" w:rsidP="001E4B49">
                  <w:pPr>
                    <w:jc w:val="center"/>
                    <w:rPr>
                      <w:rFonts w:ascii="Times New Roman" w:hAnsi="Times New Roman" w:cs="Times New Roman"/>
                      <w:b/>
                      <w:i/>
                    </w:rPr>
                  </w:pPr>
                  <w:r w:rsidRPr="001E4B49">
                    <w:rPr>
                      <w:rFonts w:ascii="Times New Roman" w:hAnsi="Times New Roman" w:cs="Times New Roman"/>
                      <w:b/>
                      <w:i/>
                    </w:rPr>
                    <w:t>N/A</w:t>
                  </w:r>
                </w:p>
              </w:tc>
            </w:tr>
          </w:tbl>
          <w:p w14:paraId="5E5DEA3D" w14:textId="77777777" w:rsidR="00632B65" w:rsidRPr="001E4B49" w:rsidRDefault="00632B65" w:rsidP="001E4B49">
            <w:pPr>
              <w:rPr>
                <w:rFonts w:ascii="Times New Roman" w:hAnsi="Times New Roman" w:cs="Times New Roman"/>
                <w:i/>
              </w:rPr>
            </w:pPr>
          </w:p>
        </w:tc>
      </w:tr>
      <w:tr w:rsidR="00632B65" w:rsidRPr="001E4B49" w14:paraId="3057ADE8" w14:textId="77777777" w:rsidTr="00142FD9">
        <w:tc>
          <w:tcPr>
            <w:tcW w:w="9062" w:type="dxa"/>
            <w:shd w:val="clear" w:color="auto" w:fill="D9D9D9" w:themeFill="background1" w:themeFillShade="D9"/>
          </w:tcPr>
          <w:p w14:paraId="3CE8C762" w14:textId="77777777" w:rsidR="00632B65" w:rsidRPr="001E4B49" w:rsidRDefault="00632B65" w:rsidP="001E4B49">
            <w:pPr>
              <w:rPr>
                <w:rFonts w:ascii="Times New Roman" w:hAnsi="Times New Roman" w:cs="Times New Roman"/>
                <w:b/>
                <w:sz w:val="24"/>
              </w:rPr>
            </w:pPr>
            <w:r w:rsidRPr="001E4B49">
              <w:rPr>
                <w:rFonts w:ascii="Times New Roman" w:hAnsi="Times New Roman" w:cs="Times New Roman"/>
                <w:b/>
                <w:sz w:val="24"/>
              </w:rPr>
              <w:t>3.4 Konkurencieschopnosť a správanie sa podnikov na trhu</w:t>
            </w:r>
          </w:p>
          <w:p w14:paraId="4935CF1F" w14:textId="77777777" w:rsidR="00632B65" w:rsidRPr="001E4B49" w:rsidRDefault="00632B65" w:rsidP="001E4B49">
            <w:pPr>
              <w:rPr>
                <w:rFonts w:ascii="Times New Roman" w:hAnsi="Times New Roman" w:cs="Times New Roman"/>
              </w:rPr>
            </w:pPr>
            <w:r w:rsidRPr="001E4B49">
              <w:rPr>
                <w:rFonts w:ascii="Times New Roman" w:hAnsi="Times New Roman" w:cs="Times New Roman"/>
                <w:b/>
                <w:sz w:val="24"/>
              </w:rPr>
              <w:t xml:space="preserve">       </w:t>
            </w:r>
            <w:r w:rsidRPr="001E4B49">
              <w:rPr>
                <w:rFonts w:ascii="Times New Roman" w:hAnsi="Times New Roman" w:cs="Times New Roman"/>
                <w:sz w:val="24"/>
              </w:rPr>
              <w:t xml:space="preserve">- </w:t>
            </w:r>
            <w:r w:rsidRPr="001E4B49">
              <w:rPr>
                <w:rFonts w:ascii="Times New Roman" w:hAnsi="Times New Roman" w:cs="Times New Roman"/>
                <w:b/>
                <w:sz w:val="24"/>
              </w:rPr>
              <w:t>z toho MSP</w:t>
            </w:r>
          </w:p>
        </w:tc>
      </w:tr>
      <w:tr w:rsidR="00632B65" w:rsidRPr="001E4B49" w14:paraId="56A44C50" w14:textId="77777777" w:rsidTr="00142FD9">
        <w:tc>
          <w:tcPr>
            <w:tcW w:w="9062" w:type="dxa"/>
            <w:tcBorders>
              <w:bottom w:val="single" w:sz="4" w:space="0" w:color="auto"/>
            </w:tcBorders>
          </w:tcPr>
          <w:p w14:paraId="2EB7685C"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14:paraId="4D2B6B69"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14:paraId="15C47AC2"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Ako ovplyvní cenu alebo dostupnosť základných zdrojov (suroviny, mechanizmy, pracovná sila, energie atď.)?</w:t>
            </w:r>
          </w:p>
          <w:p w14:paraId="2DA60F43"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Ovplyvňuje prístup k financiám? Ak áno, ako?</w:t>
            </w:r>
          </w:p>
        </w:tc>
      </w:tr>
      <w:tr w:rsidR="00632B65" w:rsidRPr="001E4B49" w14:paraId="5BEEB81F" w14:textId="77777777" w:rsidTr="00142FD9">
        <w:trPr>
          <w:trHeight w:val="1282"/>
        </w:trPr>
        <w:tc>
          <w:tcPr>
            <w:tcW w:w="9062" w:type="dxa"/>
            <w:tcBorders>
              <w:bottom w:val="single" w:sz="4" w:space="0" w:color="auto"/>
            </w:tcBorders>
          </w:tcPr>
          <w:p w14:paraId="78108422" w14:textId="77777777" w:rsidR="00632B65" w:rsidRPr="001E4B49" w:rsidRDefault="00632B65" w:rsidP="001E4B49">
            <w:pPr>
              <w:jc w:val="both"/>
              <w:rPr>
                <w:rFonts w:ascii="Times New Roman" w:hAnsi="Times New Roman" w:cs="Times New Roman"/>
                <w:sz w:val="24"/>
                <w:szCs w:val="22"/>
              </w:rPr>
            </w:pPr>
            <w:r w:rsidRPr="001E4B49">
              <w:rPr>
                <w:rFonts w:ascii="Times New Roman" w:hAnsi="Times New Roman" w:cs="Times New Roman"/>
                <w:sz w:val="24"/>
                <w:szCs w:val="22"/>
              </w:rPr>
              <w:t xml:space="preserve">Návrh novely zákona nepredstavuje zásah štátu smerom k podnikateľom alebo podnikateľskému prostrediu, napr. nevytvára náklady regulácie, nevytvára nové informačné povinnosti a nemá za následok prísnejšiu reguláciu správania sa niektorých podnikov pod. </w:t>
            </w:r>
          </w:p>
          <w:p w14:paraId="2CA9FBD9" w14:textId="77777777" w:rsidR="00632B65" w:rsidRPr="001E4B49" w:rsidRDefault="00632B65" w:rsidP="001E4B49">
            <w:pPr>
              <w:jc w:val="both"/>
              <w:rPr>
                <w:rFonts w:ascii="Times New Roman" w:hAnsi="Times New Roman" w:cs="Times New Roman"/>
                <w:sz w:val="24"/>
                <w:szCs w:val="22"/>
              </w:rPr>
            </w:pPr>
          </w:p>
          <w:p w14:paraId="102F721A" w14:textId="77777777" w:rsidR="00632B65" w:rsidRPr="001E4B49" w:rsidRDefault="00632B65" w:rsidP="001E4B49">
            <w:pPr>
              <w:jc w:val="both"/>
              <w:rPr>
                <w:rFonts w:ascii="Times New Roman" w:hAnsi="Times New Roman" w:cs="Times New Roman"/>
                <w:szCs w:val="22"/>
              </w:rPr>
            </w:pPr>
            <w:r w:rsidRPr="001E4B49">
              <w:rPr>
                <w:rFonts w:ascii="Times New Roman" w:hAnsi="Times New Roman" w:cs="Times New Roman"/>
                <w:sz w:val="24"/>
                <w:szCs w:val="22"/>
              </w:rPr>
              <w:t xml:space="preserve">Návrh novely zákona môže </w:t>
            </w:r>
            <w:r w:rsidRPr="001E4B49">
              <w:rPr>
                <w:rFonts w:ascii="Times New Roman" w:hAnsi="Times New Roman" w:cs="Times New Roman"/>
                <w:szCs w:val="22"/>
              </w:rPr>
              <w:t>zatraktívňovať podnikanie v najmenej rozvinutých okresoch pre určitých podnikateľov tým, že im ponúka možnosti čerpania podpory vo forme regionálneho príspevku. Podpora vo forme regionálneho príspevku zvyšuje  konkurencieschopnosť a atraktívnosť regiónov najmenej rozvinutých okresov v dôsledku napr. rozšírenia výroby, zavedenia novej výroby a služieb.  Regionálny príspevok by mal byť považovaný za nástoj rozvoja lokálnych ekonomík.</w:t>
            </w:r>
          </w:p>
          <w:p w14:paraId="073900C0" w14:textId="77777777" w:rsidR="00632B65" w:rsidRPr="001E4B49" w:rsidRDefault="00632B65" w:rsidP="001E4B49">
            <w:pPr>
              <w:jc w:val="both"/>
              <w:rPr>
                <w:rFonts w:ascii="Times New Roman" w:hAnsi="Times New Roman" w:cs="Times New Roman"/>
                <w:szCs w:val="22"/>
              </w:rPr>
            </w:pPr>
          </w:p>
          <w:p w14:paraId="30DE8D28" w14:textId="77777777" w:rsidR="00632B65" w:rsidRPr="001E4B49" w:rsidRDefault="00632B65" w:rsidP="001E4B49">
            <w:pPr>
              <w:jc w:val="both"/>
              <w:rPr>
                <w:rFonts w:ascii="Times New Roman" w:hAnsi="Times New Roman" w:cs="Times New Roman"/>
                <w:szCs w:val="22"/>
              </w:rPr>
            </w:pPr>
            <w:r w:rsidRPr="001E4B49">
              <w:rPr>
                <w:rFonts w:ascii="Times New Roman" w:hAnsi="Times New Roman" w:cs="Times New Roman"/>
                <w:szCs w:val="22"/>
              </w:rPr>
              <w:t>Nástroj podpory vo forme regionálneho príspevku by mal financovať  rozvojové projekty v regióne, ktoré prispejú k tvorbe podmienok na tvorbu udržateľných pracovných miest.  Treba zdôrazniť, že účelom regionálneho príspevku nie je poskytovanie verejných zdrojov zo štátneho rozpočtu na okamžitú priamu tvorbu pracovných miest, na to má štát iné mechanizmy a zdroje, napr.  prostredníctvom realizácie dopytových výziev pre NRO a pod.</w:t>
            </w:r>
          </w:p>
          <w:p w14:paraId="64DA1557" w14:textId="77777777" w:rsidR="00632B65" w:rsidRPr="001E4B49" w:rsidRDefault="00632B65" w:rsidP="001E4B49">
            <w:pPr>
              <w:jc w:val="both"/>
              <w:rPr>
                <w:rFonts w:ascii="Times New Roman" w:hAnsi="Times New Roman" w:cs="Times New Roman"/>
                <w:szCs w:val="22"/>
              </w:rPr>
            </w:pPr>
          </w:p>
          <w:p w14:paraId="1D719455" w14:textId="77777777" w:rsidR="00632B65" w:rsidRPr="001E4B49" w:rsidRDefault="00632B65" w:rsidP="001E4B49">
            <w:pPr>
              <w:jc w:val="both"/>
              <w:rPr>
                <w:rFonts w:ascii="Times New Roman" w:hAnsi="Times New Roman" w:cs="Times New Roman"/>
                <w:szCs w:val="22"/>
              </w:rPr>
            </w:pPr>
            <w:r w:rsidRPr="001E4B49">
              <w:rPr>
                <w:rFonts w:ascii="Times New Roman" w:hAnsi="Times New Roman" w:cs="Times New Roman"/>
                <w:szCs w:val="22"/>
              </w:rPr>
              <w:t>Regionálny príspevok treba považovať za doplnkový zdroj pre financovanie aktivít uvedených pláne rozvoja,  na ktoré nebolo možné získať iné financie.</w:t>
            </w:r>
          </w:p>
          <w:p w14:paraId="29543FAC" w14:textId="77777777" w:rsidR="00632B65" w:rsidRPr="001E4B49" w:rsidRDefault="00632B65" w:rsidP="001E4B49">
            <w:pPr>
              <w:jc w:val="both"/>
              <w:rPr>
                <w:rFonts w:ascii="Times New Roman" w:hAnsi="Times New Roman" w:cs="Times New Roman"/>
                <w:szCs w:val="22"/>
              </w:rPr>
            </w:pPr>
          </w:p>
          <w:p w14:paraId="201B6534" w14:textId="77777777" w:rsidR="00632B65" w:rsidRPr="001E4B49" w:rsidRDefault="00632B65" w:rsidP="001E4B49">
            <w:pPr>
              <w:jc w:val="both"/>
              <w:rPr>
                <w:rFonts w:ascii="Times New Roman" w:hAnsi="Times New Roman" w:cs="Times New Roman"/>
                <w:szCs w:val="22"/>
              </w:rPr>
            </w:pPr>
            <w:r w:rsidRPr="001E4B49">
              <w:rPr>
                <w:rFonts w:ascii="Times New Roman" w:hAnsi="Times New Roman" w:cs="Times New Roman"/>
                <w:szCs w:val="22"/>
              </w:rPr>
              <w:t>Podmienky čerpania maximálnej intenzity pomoci poskytnutej jednému príjemcovi na hospodársku činnosť sú stanovené podľa podmienok Schémy na podporu lokálnej zamestnanosti a Schémy na podporu najmenej rozvinutých okresov v odvetví poľnohospodárskej prvovýroby. Vďaka schémam pomoci   nedochádza k narušeniu hospodárskej súťaže tým, že zvýhodňuje určitých podnikateľov alebo ich výrobu určitých druhov tovaru.</w:t>
            </w:r>
          </w:p>
          <w:p w14:paraId="56064CD0" w14:textId="77777777" w:rsidR="00632B65" w:rsidRPr="001E4B49" w:rsidRDefault="00632B65" w:rsidP="001E4B49">
            <w:pPr>
              <w:jc w:val="both"/>
              <w:rPr>
                <w:rFonts w:ascii="Times New Roman" w:hAnsi="Times New Roman" w:cs="Times New Roman"/>
                <w:szCs w:val="22"/>
              </w:rPr>
            </w:pPr>
          </w:p>
          <w:p w14:paraId="4ABDA7FF" w14:textId="77777777" w:rsidR="00632B65" w:rsidRPr="001E4B49" w:rsidRDefault="00632B65" w:rsidP="001E4B49">
            <w:pPr>
              <w:jc w:val="both"/>
              <w:rPr>
                <w:rFonts w:ascii="Times New Roman" w:hAnsi="Times New Roman" w:cs="Times New Roman"/>
                <w:szCs w:val="22"/>
              </w:rPr>
            </w:pPr>
            <w:r w:rsidRPr="001E4B49">
              <w:rPr>
                <w:rFonts w:ascii="Times New Roman" w:hAnsi="Times New Roman" w:cs="Times New Roman"/>
                <w:szCs w:val="22"/>
              </w:rPr>
              <w:t xml:space="preserve">Aby sa zabezpečila dlhodobá udržateľnosť tvorby miest je potrebné klásť väčší dôraz na  nastavenie merateľných kritérií výberu projektov a monitorovať ich plnenie, efektivitu a udržateľnosť. </w:t>
            </w:r>
          </w:p>
          <w:p w14:paraId="68E2B2B5" w14:textId="77777777" w:rsidR="00632B65" w:rsidRPr="001E4B49" w:rsidRDefault="00632B65" w:rsidP="001E4B49">
            <w:pPr>
              <w:jc w:val="both"/>
              <w:rPr>
                <w:rFonts w:ascii="Times New Roman" w:hAnsi="Times New Roman" w:cs="Times New Roman"/>
                <w:i/>
              </w:rPr>
            </w:pPr>
          </w:p>
        </w:tc>
      </w:tr>
      <w:tr w:rsidR="00632B65" w:rsidRPr="001E4B49" w14:paraId="0F9B0535" w14:textId="77777777" w:rsidTr="00142FD9">
        <w:tc>
          <w:tcPr>
            <w:tcW w:w="9062" w:type="dxa"/>
            <w:shd w:val="clear" w:color="auto" w:fill="D9D9D9" w:themeFill="background1" w:themeFillShade="D9"/>
          </w:tcPr>
          <w:p w14:paraId="701A6C74" w14:textId="77777777" w:rsidR="00632B65" w:rsidRPr="001E4B49" w:rsidRDefault="00632B65" w:rsidP="001E4B49">
            <w:pPr>
              <w:rPr>
                <w:rFonts w:ascii="Times New Roman" w:hAnsi="Times New Roman" w:cs="Times New Roman"/>
                <w:b/>
                <w:sz w:val="24"/>
              </w:rPr>
            </w:pPr>
            <w:r w:rsidRPr="001E4B49">
              <w:rPr>
                <w:rFonts w:ascii="Times New Roman" w:hAnsi="Times New Roman" w:cs="Times New Roman"/>
                <w:b/>
                <w:sz w:val="24"/>
              </w:rPr>
              <w:t xml:space="preserve">3.5 Inovácie </w:t>
            </w:r>
          </w:p>
          <w:p w14:paraId="40BF8D42" w14:textId="77777777" w:rsidR="00632B65" w:rsidRPr="001E4B49" w:rsidRDefault="00632B65" w:rsidP="001E4B49">
            <w:pPr>
              <w:rPr>
                <w:rFonts w:ascii="Times New Roman" w:hAnsi="Times New Roman" w:cs="Times New Roman"/>
                <w:b/>
              </w:rPr>
            </w:pPr>
            <w:r w:rsidRPr="001E4B49">
              <w:rPr>
                <w:rFonts w:ascii="Times New Roman" w:hAnsi="Times New Roman" w:cs="Times New Roman"/>
                <w:sz w:val="24"/>
              </w:rPr>
              <w:t xml:space="preserve">       - </w:t>
            </w:r>
            <w:r w:rsidRPr="001E4B49">
              <w:rPr>
                <w:rFonts w:ascii="Times New Roman" w:hAnsi="Times New Roman" w:cs="Times New Roman"/>
                <w:b/>
                <w:sz w:val="24"/>
              </w:rPr>
              <w:t>z toho MSP</w:t>
            </w:r>
          </w:p>
        </w:tc>
      </w:tr>
      <w:tr w:rsidR="00632B65" w:rsidRPr="001E4B49" w14:paraId="30A41050" w14:textId="77777777" w:rsidTr="00142FD9">
        <w:tc>
          <w:tcPr>
            <w:tcW w:w="9062" w:type="dxa"/>
          </w:tcPr>
          <w:p w14:paraId="492368C4"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Uveďte, ako podporuje navrhovaná zmena inovácie.</w:t>
            </w:r>
          </w:p>
          <w:p w14:paraId="6E770EFA"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Zjednodušuje uvedenie alebo rozšírenie nových výrobných metód, technológií a výrobkov na trh?</w:t>
            </w:r>
          </w:p>
          <w:p w14:paraId="68867C9C"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Uveďte, ako vplýva navrhovaná zmena na jednotlivé práva duševného vlastníctva (napr. patenty, ochranné známky, autorské práva, vlastníctvo know-how).</w:t>
            </w:r>
          </w:p>
          <w:p w14:paraId="0A676D2D" w14:textId="77777777" w:rsidR="00632B65" w:rsidRPr="001E4B49" w:rsidRDefault="00632B65" w:rsidP="001E4B49">
            <w:pPr>
              <w:rPr>
                <w:rFonts w:ascii="Times New Roman" w:hAnsi="Times New Roman" w:cs="Times New Roman"/>
                <w:i/>
              </w:rPr>
            </w:pPr>
            <w:r w:rsidRPr="001E4B49">
              <w:rPr>
                <w:rFonts w:ascii="Times New Roman" w:hAnsi="Times New Roman" w:cs="Times New Roman"/>
                <w:i/>
              </w:rPr>
              <w:t>Podporuje vyššiu efektivitu výroby/využívania zdrojov? Ak áno, ako?</w:t>
            </w:r>
          </w:p>
          <w:p w14:paraId="3CD41E88" w14:textId="77777777" w:rsidR="00632B65" w:rsidRPr="001E4B49" w:rsidRDefault="00632B65" w:rsidP="001E4B49">
            <w:pPr>
              <w:rPr>
                <w:rFonts w:ascii="Times New Roman" w:hAnsi="Times New Roman" w:cs="Times New Roman"/>
              </w:rPr>
            </w:pPr>
            <w:r w:rsidRPr="001E4B49">
              <w:rPr>
                <w:rFonts w:ascii="Times New Roman" w:hAnsi="Times New Roman" w:cs="Times New Roman"/>
                <w:i/>
              </w:rPr>
              <w:t>Vytvorí zmena nové pracovné miesta pre zamestnancov výskumu a vývoja v SR?</w:t>
            </w:r>
          </w:p>
        </w:tc>
      </w:tr>
      <w:tr w:rsidR="00632B65" w:rsidRPr="001E4B49" w14:paraId="6215AF0C" w14:textId="77777777" w:rsidTr="00142FD9">
        <w:trPr>
          <w:trHeight w:val="1747"/>
        </w:trPr>
        <w:tc>
          <w:tcPr>
            <w:tcW w:w="9062" w:type="dxa"/>
          </w:tcPr>
          <w:p w14:paraId="21129CCA" w14:textId="77777777" w:rsidR="00632B65" w:rsidRPr="001E4B49" w:rsidRDefault="00632B65" w:rsidP="001E4B49">
            <w:pPr>
              <w:jc w:val="both"/>
              <w:rPr>
                <w:rFonts w:ascii="Times New Roman" w:hAnsi="Times New Roman" w:cs="Times New Roman"/>
                <w:bCs/>
                <w:szCs w:val="22"/>
              </w:rPr>
            </w:pPr>
            <w:r w:rsidRPr="001E4B49">
              <w:rPr>
                <w:rFonts w:ascii="Times New Roman" w:hAnsi="Times New Roman" w:cs="Times New Roman"/>
                <w:bCs/>
                <w:szCs w:val="22"/>
              </w:rPr>
              <w:t xml:space="preserve">Rozvojový plán, tzv. plán operácii bude obsahovať zdôvodnenie výberu aktivity pre daný najmenej rozvinutý okres, návrh opatrení a úloh na jej zabezpečenie, očakávané výsledky opatrení a rizikovú analýzu. </w:t>
            </w:r>
          </w:p>
        </w:tc>
      </w:tr>
    </w:tbl>
    <w:p w14:paraId="74E94C01" w14:textId="77777777" w:rsidR="00632B65" w:rsidRPr="001E4B49" w:rsidRDefault="00632B65" w:rsidP="00632B65"/>
    <w:p w14:paraId="3515AABD" w14:textId="77777777" w:rsidR="00632B65" w:rsidRPr="001E4B49" w:rsidRDefault="00632B65" w:rsidP="00632B65"/>
    <w:p w14:paraId="1B43EF8D" w14:textId="77777777" w:rsidR="00632B65" w:rsidRPr="001E4B49" w:rsidRDefault="00632B65" w:rsidP="00632B65"/>
    <w:p w14:paraId="1849B45D" w14:textId="77777777" w:rsidR="00632B65" w:rsidRPr="001E4B49" w:rsidRDefault="00632B65" w:rsidP="00632B65"/>
    <w:p w14:paraId="5E9919D7" w14:textId="77777777" w:rsidR="00632B65" w:rsidRPr="001E4B49" w:rsidRDefault="00632B65" w:rsidP="00632B65"/>
    <w:p w14:paraId="328146F1" w14:textId="77777777" w:rsidR="00632B65" w:rsidRPr="001E4B49" w:rsidRDefault="00632B65" w:rsidP="00632B65"/>
    <w:p w14:paraId="248B4C5E" w14:textId="77777777" w:rsidR="00632B65" w:rsidRPr="001E4B49" w:rsidRDefault="00632B65" w:rsidP="00632B65"/>
    <w:p w14:paraId="0EFD6A33" w14:textId="77777777" w:rsidR="00632B65" w:rsidRPr="001E4B49" w:rsidRDefault="00632B65" w:rsidP="00632B65"/>
    <w:p w14:paraId="2ADFD4E9" w14:textId="77777777" w:rsidR="00632B65" w:rsidRPr="001E4B49" w:rsidRDefault="00632B65" w:rsidP="00632B65">
      <w:pPr>
        <w:rPr>
          <w:b/>
        </w:rPr>
      </w:pPr>
      <w:r w:rsidRPr="001E4B49">
        <w:rPr>
          <w:b/>
        </w:rPr>
        <w:br w:type="page"/>
      </w:r>
    </w:p>
    <w:p w14:paraId="67F7B2D4" w14:textId="77777777" w:rsidR="00632B65" w:rsidRPr="001E4B49" w:rsidRDefault="00632B65" w:rsidP="00632B65">
      <w:pPr>
        <w:spacing w:before="240"/>
        <w:jc w:val="center"/>
        <w:rPr>
          <w:b/>
          <w:sz w:val="28"/>
        </w:rPr>
      </w:pPr>
      <w:r w:rsidRPr="001E4B49">
        <w:rPr>
          <w:b/>
          <w:sz w:val="28"/>
        </w:rPr>
        <w:t>Metodický postup pre analýzu vplyvov na podnikateľské prostredie</w:t>
      </w:r>
    </w:p>
    <w:p w14:paraId="24945419" w14:textId="77777777" w:rsidR="00632B65" w:rsidRPr="001E4B49" w:rsidRDefault="00632B65" w:rsidP="00632B65">
      <w:pPr>
        <w:spacing w:before="240"/>
        <w:jc w:val="both"/>
      </w:pPr>
      <w:r w:rsidRPr="001E4B49">
        <w:t>V členských štátoch EÚ sa neprestajne zvyšuje povedomie o nákladoch spojených s regulačnou záťažou a o potrebe maximálne zjednodušiť požiadavky vyplývajúce z regulácie, pričom je potrebné rešpektovať jej ciele. Zásah štátu predstavuje pre podnikateľov zvyčajne istú sumu nákladov, ktorú musia vynaložiť v snahe naplniť požiadavky implementovaných regulácií, pričom časť z nich predstavujú aj administratívne náklady.</w:t>
      </w:r>
    </w:p>
    <w:p w14:paraId="696AF7D4" w14:textId="77777777" w:rsidR="00632B65" w:rsidRPr="001E4B49" w:rsidRDefault="00632B65" w:rsidP="00632B65">
      <w:pPr>
        <w:jc w:val="both"/>
      </w:pPr>
      <w:r w:rsidRPr="001E4B49">
        <w:t xml:space="preserve">V prvom kroku je potrebné určiť, na ktorú z veľkostných kategórií podnikov bude mať navrhovaný materiál vplyv. V prípade, ak nie je možné určiť, či materiál bude mať vplyv iba na jednu z veľkostných kategórií , treba označiť vplyvy na všetky kategórie. Tento údaj je potrebný pre vypracovanie a vyhodnotenie testu MSP vrátane SZČO. Test MSP tvorí súčasť analýzy vplyvov na podnikateľské prostredie. </w:t>
      </w:r>
    </w:p>
    <w:p w14:paraId="47B27B6C" w14:textId="77777777" w:rsidR="00632B65" w:rsidRPr="001E4B49" w:rsidRDefault="00632B65" w:rsidP="00632B65">
      <w:pPr>
        <w:jc w:val="both"/>
        <w:rPr>
          <w:u w:val="single"/>
        </w:rPr>
      </w:pPr>
    </w:p>
    <w:p w14:paraId="2535BE4B" w14:textId="77777777" w:rsidR="00632B65" w:rsidRPr="001E4B49" w:rsidRDefault="00632B65" w:rsidP="00632B65">
      <w:pPr>
        <w:jc w:val="both"/>
        <w:rPr>
          <w:b/>
          <w:sz w:val="28"/>
          <w:u w:val="single"/>
        </w:rPr>
      </w:pPr>
      <w:r w:rsidRPr="001E4B49">
        <w:rPr>
          <w:b/>
          <w:sz w:val="28"/>
          <w:u w:val="single"/>
        </w:rPr>
        <w:t>3.1 Dotknuté podnikateľské subjekty</w:t>
      </w:r>
    </w:p>
    <w:p w14:paraId="19D217D8" w14:textId="77777777" w:rsidR="00632B65" w:rsidRPr="001E4B49" w:rsidRDefault="00632B65" w:rsidP="00632B65">
      <w:pPr>
        <w:jc w:val="both"/>
      </w:pPr>
      <w:r w:rsidRPr="001E4B49">
        <w:t xml:space="preserve">Pri posudzovaní vplyvov na podnikateľské prostredie je dôležité identifikovať, či sa daný návrh dotýka: </w:t>
      </w:r>
    </w:p>
    <w:p w14:paraId="2BE96FB8" w14:textId="77777777" w:rsidR="00632B65" w:rsidRPr="001E4B49" w:rsidRDefault="00632B65" w:rsidP="00632B65">
      <w:pPr>
        <w:widowControl/>
        <w:numPr>
          <w:ilvl w:val="0"/>
          <w:numId w:val="25"/>
        </w:numPr>
        <w:adjustRightInd/>
        <w:spacing w:after="200" w:line="276" w:lineRule="auto"/>
        <w:ind w:left="714" w:hanging="357"/>
        <w:jc w:val="both"/>
      </w:pPr>
      <w:r w:rsidRPr="001E4B49">
        <w:t>podnikateľského prostredia vo všeobecnosti</w:t>
      </w:r>
    </w:p>
    <w:p w14:paraId="356FACCD" w14:textId="77777777" w:rsidR="00632B65" w:rsidRPr="001E4B49" w:rsidRDefault="00632B65" w:rsidP="00632B65">
      <w:pPr>
        <w:widowControl/>
        <w:numPr>
          <w:ilvl w:val="0"/>
          <w:numId w:val="25"/>
        </w:numPr>
        <w:adjustRightInd/>
        <w:spacing w:after="200" w:line="276" w:lineRule="auto"/>
        <w:ind w:left="714" w:hanging="357"/>
        <w:jc w:val="both"/>
      </w:pPr>
      <w:r w:rsidRPr="001E4B49">
        <w:t>niektorých právnych foriem podnikania (samostatne zárobkovo činná osoba, slobodné povolanie, samostatne hospodáriaci roľník, spoločnosť s ručením obmedzeným, akciová spoločnosť, družstvo, verejná obchodná spoločnosť a iné)</w:t>
      </w:r>
    </w:p>
    <w:p w14:paraId="18450ED7" w14:textId="77777777" w:rsidR="00632B65" w:rsidRPr="001E4B49" w:rsidRDefault="00632B65" w:rsidP="00632B65">
      <w:pPr>
        <w:widowControl/>
        <w:numPr>
          <w:ilvl w:val="0"/>
          <w:numId w:val="25"/>
        </w:numPr>
        <w:adjustRightInd/>
        <w:spacing w:after="200" w:line="276" w:lineRule="auto"/>
        <w:ind w:left="714" w:hanging="357"/>
        <w:jc w:val="both"/>
      </w:pPr>
      <w:r w:rsidRPr="001E4B49">
        <w:t xml:space="preserve">niektorých odvetví hospodárstva (napr. podľa </w:t>
      </w:r>
      <w:hyperlink r:id="rId13" w:history="1">
        <w:r w:rsidRPr="001E4B49">
          <w:t>SK NACE - klasifikácia ekonomických činností</w:t>
        </w:r>
      </w:hyperlink>
      <w:r w:rsidRPr="001E4B49">
        <w:t xml:space="preserve"> dostupnej na stránke Štatistického úradu SR).</w:t>
      </w:r>
    </w:p>
    <w:p w14:paraId="2C5703D5" w14:textId="77777777" w:rsidR="00632B65" w:rsidRPr="001E4B49" w:rsidRDefault="00632B65" w:rsidP="00632B65">
      <w:pPr>
        <w:jc w:val="both"/>
      </w:pPr>
      <w:r w:rsidRPr="001E4B49">
        <w:t xml:space="preserve">Na základe identifikovania dotknutých subjektov je nutné kvantifikovať približný počet dotknutých podnikateľov s využitím dostupných štatistík a evidencií. V prípade špecifickej povinnosti je možné určiť predpokladaný počet dotknutých podnikateľov na základe priemerného počtu podnikateľov za posledné obdobie plniacich podobnú povinnosť. V prípade vzniku úplne novej povinnosti možno určiť očakávané množstvo plnení. </w:t>
      </w:r>
    </w:p>
    <w:p w14:paraId="213ABEEC" w14:textId="77777777" w:rsidR="00632B65" w:rsidRPr="001E4B49" w:rsidRDefault="00632B65" w:rsidP="00632B65">
      <w:pPr>
        <w:jc w:val="both"/>
        <w:rPr>
          <w:b/>
          <w:u w:val="single"/>
        </w:rPr>
      </w:pPr>
    </w:p>
    <w:p w14:paraId="65BB3494" w14:textId="77777777" w:rsidR="00632B65" w:rsidRPr="001E4B49" w:rsidRDefault="00632B65" w:rsidP="00632B65">
      <w:pPr>
        <w:jc w:val="both"/>
        <w:rPr>
          <w:b/>
          <w:sz w:val="28"/>
          <w:u w:val="single"/>
        </w:rPr>
      </w:pPr>
      <w:r w:rsidRPr="001E4B49">
        <w:rPr>
          <w:b/>
          <w:sz w:val="28"/>
          <w:u w:val="single"/>
        </w:rPr>
        <w:t>3.2 Vyhodnotenie konzultácií</w:t>
      </w:r>
    </w:p>
    <w:p w14:paraId="59DD1198" w14:textId="77777777" w:rsidR="00632B65" w:rsidRPr="001E4B49" w:rsidRDefault="00632B65" w:rsidP="00632B65">
      <w:pPr>
        <w:jc w:val="both"/>
      </w:pPr>
      <w:r w:rsidRPr="001E4B49">
        <w:t>Efektívne konzultácie s dotknutými subjektmi zvyšujú transparentnosť prípravy materiálu a tým zvyšujú jeho legitimitu. Pre tento účel je v tejto časti nutné uviesť formu konzultácie, ktorú predkladateľ zvolil spolu s odôvodnením tohto výberu, a subjekty, ktoré boli do konzultácie zapojené. V prípade veľkého počtu zúčastnených ich možno iba typovo popísať.</w:t>
      </w:r>
    </w:p>
    <w:p w14:paraId="10F8C96A" w14:textId="77777777" w:rsidR="00632B65" w:rsidRPr="001E4B49" w:rsidRDefault="00632B65" w:rsidP="00632B65">
      <w:pPr>
        <w:jc w:val="both"/>
      </w:pPr>
      <w:r w:rsidRPr="001E4B49">
        <w:t>Predkladateľ uvedie dĺžku konzultácií v prípade elektronickej konzultácie. V prípade konzultácií osobnou formou (seminár, verejné prerokovania a pod.) uvedie, koľko dní vopred bolo oznámené uskutočnenie konzultácie. Predkladateľ uvedie link na webovú stránku, na ktorej boli konzultácie zverejnené.</w:t>
      </w:r>
    </w:p>
    <w:p w14:paraId="3353AF24" w14:textId="77777777" w:rsidR="00632B65" w:rsidRPr="001E4B49" w:rsidRDefault="00632B65" w:rsidP="00632B65">
      <w:pPr>
        <w:jc w:val="both"/>
      </w:pPr>
      <w:r w:rsidRPr="001E4B49">
        <w:t>Predkladateľ tiež uvedie formulované otázky alebo témy diskusie, ktoré boli predmetom konzultácie a odpovede, prípadne stanoviská zúčastnených strán. Odpovede a názory konzultujúcich je možné uviesť aj v skrátenej forme zo zachovaním hlavnej myšlienky. Podrobnosť tejto časti je potrebné zvoliť s ohľadom na rozsah navrhovaných zmien podľa princípu proporcionality.</w:t>
      </w:r>
    </w:p>
    <w:p w14:paraId="2C72C46E" w14:textId="77777777" w:rsidR="00632B65" w:rsidRPr="001E4B49" w:rsidRDefault="00632B65" w:rsidP="00632B65">
      <w:pPr>
        <w:jc w:val="both"/>
      </w:pPr>
      <w:r w:rsidRPr="001E4B49">
        <w:t>Predkladateľ zhodnotí, či boli splnené ciele, ktoré si stanovil pri príprave konzultácií spolu s odôvodnením, resp. či získal potrebné informácie. Tiež uvedie, ako boli odpovede zúčastnených strán využité pri príprave navrhovaného materiálu. Táto časť slúži ako spätná väzba pre zúčastnených, od ktorej závisí aj ich ochota participovať na ďalších konzultáciách.</w:t>
      </w:r>
    </w:p>
    <w:p w14:paraId="49E68D52" w14:textId="77777777" w:rsidR="00632B65" w:rsidRPr="001E4B49" w:rsidRDefault="00632B65" w:rsidP="00632B65">
      <w:pPr>
        <w:jc w:val="both"/>
      </w:pPr>
      <w:r w:rsidRPr="001E4B49">
        <w:t>Pre uskutočnenie konzultácií je vhodné využiť odporúčania ku konzultáciám v časti III. Jednotnej metodiky.</w:t>
      </w:r>
    </w:p>
    <w:p w14:paraId="2CC86911" w14:textId="77777777" w:rsidR="00632B65" w:rsidRPr="001E4B49" w:rsidRDefault="00632B65" w:rsidP="00632B65">
      <w:pPr>
        <w:jc w:val="both"/>
        <w:rPr>
          <w:b/>
          <w:sz w:val="28"/>
          <w:u w:val="single"/>
        </w:rPr>
      </w:pPr>
    </w:p>
    <w:p w14:paraId="1F7388B2" w14:textId="77777777" w:rsidR="00632B65" w:rsidRPr="001E4B49" w:rsidRDefault="00632B65" w:rsidP="00632B65">
      <w:pPr>
        <w:jc w:val="both"/>
        <w:rPr>
          <w:b/>
          <w:sz w:val="28"/>
          <w:u w:val="single"/>
        </w:rPr>
      </w:pPr>
      <w:r w:rsidRPr="001E4B49">
        <w:rPr>
          <w:b/>
          <w:sz w:val="28"/>
          <w:u w:val="single"/>
        </w:rPr>
        <w:t>3.3 Náklady regulácie</w:t>
      </w:r>
    </w:p>
    <w:p w14:paraId="2E4FCE23" w14:textId="77777777" w:rsidR="00632B65" w:rsidRPr="001E4B49" w:rsidRDefault="00632B65" w:rsidP="00632B65">
      <w:pPr>
        <w:pStyle w:val="BodyText1"/>
        <w:spacing w:line="276" w:lineRule="auto"/>
        <w:jc w:val="both"/>
        <w:rPr>
          <w:rFonts w:ascii="Times New Roman" w:eastAsiaTheme="minorHAnsi" w:hAnsi="Times New Roman"/>
          <w:color w:val="auto"/>
          <w:sz w:val="24"/>
          <w:szCs w:val="24"/>
        </w:rPr>
      </w:pPr>
      <w:r w:rsidRPr="001E4B49">
        <w:rPr>
          <w:rFonts w:ascii="Times New Roman" w:eastAsiaTheme="minorHAnsi" w:hAnsi="Times New Roman"/>
          <w:color w:val="auto"/>
          <w:sz w:val="24"/>
          <w:szCs w:val="24"/>
        </w:rPr>
        <w:t xml:space="preserve">S implementáciou novej regulácie ovplyvňujúcej podnikateľské prostredie sú spojené povinnosti, ktoré musia podnikatelia plniť za účelom zabezpečenia súladu s danou reguláciou. Významnú časť z týchto povinností tvoria tzv. </w:t>
      </w:r>
      <w:r w:rsidRPr="001E4B49">
        <w:rPr>
          <w:rFonts w:ascii="Times New Roman" w:eastAsiaTheme="minorHAnsi" w:hAnsi="Times New Roman"/>
          <w:b/>
          <w:color w:val="auto"/>
          <w:sz w:val="24"/>
          <w:szCs w:val="24"/>
        </w:rPr>
        <w:t>informačné povinnosti (IP)</w:t>
      </w:r>
      <w:r w:rsidRPr="001E4B49">
        <w:rPr>
          <w:rFonts w:ascii="Times New Roman" w:eastAsiaTheme="minorHAnsi" w:hAnsi="Times New Roman"/>
          <w:color w:val="auto"/>
          <w:sz w:val="24"/>
          <w:szCs w:val="24"/>
        </w:rPr>
        <w:t xml:space="preserve"> spojené s  výkonom určitých administratívnych úkonov zo strany podnikateľa na zabezpečenie súladu s reguláciou.  Príkladom IP je povinnosť poskytovať informácie a dáta verejnému sektoru a tretím stranám, povinnosť mať informácie zverejnené či poskytnúť alebo sprístupniť ich na požiadanie, predkladať dokumenty a hlásenia, viesť dokumentáciu, evidovať a archivovať, podať žiadosť, vypracovať správu a pod.</w:t>
      </w:r>
    </w:p>
    <w:p w14:paraId="46A3D467" w14:textId="77777777" w:rsidR="00632B65" w:rsidRPr="001E4B49" w:rsidRDefault="00632B65" w:rsidP="00632B65">
      <w:pPr>
        <w:pStyle w:val="BodyText1"/>
        <w:jc w:val="both"/>
        <w:rPr>
          <w:rFonts w:ascii="Times New Roman" w:eastAsiaTheme="minorHAnsi" w:hAnsi="Times New Roman"/>
          <w:color w:val="auto"/>
          <w:sz w:val="24"/>
          <w:szCs w:val="24"/>
        </w:rPr>
      </w:pPr>
      <w:r w:rsidRPr="001E4B49">
        <w:rPr>
          <w:rFonts w:ascii="Times New Roman" w:eastAsiaTheme="minorHAnsi" w:hAnsi="Times New Roman"/>
          <w:color w:val="auto"/>
          <w:sz w:val="24"/>
          <w:szCs w:val="24"/>
        </w:rPr>
        <w:t xml:space="preserve">Okrem vyššie uvedených informačných povinností vyplývajú podnikateľom z regulácie aj ďalšie, tzv. </w:t>
      </w:r>
      <w:r w:rsidRPr="001E4B49">
        <w:rPr>
          <w:rFonts w:ascii="Times New Roman" w:eastAsiaTheme="minorHAnsi" w:hAnsi="Times New Roman"/>
          <w:b/>
          <w:color w:val="auto"/>
          <w:sz w:val="24"/>
          <w:szCs w:val="24"/>
        </w:rPr>
        <w:t>regulačné povinnosti</w:t>
      </w:r>
      <w:r w:rsidRPr="001E4B49">
        <w:rPr>
          <w:rFonts w:ascii="Times New Roman" w:eastAsiaTheme="minorHAnsi" w:hAnsi="Times New Roman"/>
          <w:color w:val="auto"/>
          <w:sz w:val="24"/>
          <w:szCs w:val="24"/>
        </w:rPr>
        <w:t xml:space="preserve">, vyvolávajúce na strane podnikateľov priame alebo nepriame finančné náklady. Príkladom je povinnosť absolvovať školenie; používať a teda zakúpiť elektronickú registračnú pokladňu, ochranné odevy, uhradiť registračný poplatok, poistné, daň a iné. </w:t>
      </w:r>
    </w:p>
    <w:p w14:paraId="16185C65" w14:textId="77777777" w:rsidR="00632B65" w:rsidRPr="001E4B49" w:rsidRDefault="00632B65" w:rsidP="00632B65">
      <w:pPr>
        <w:jc w:val="both"/>
      </w:pPr>
      <w:r w:rsidRPr="001E4B49">
        <w:t xml:space="preserve">S ohľadom na charakter povinností vyplývajúcich z regulácie členíme náklady spojené s ich plnením do 3 kategórií: </w:t>
      </w:r>
    </w:p>
    <w:p w14:paraId="3F9D5486" w14:textId="77777777" w:rsidR="00632B65" w:rsidRPr="001E4B49" w:rsidRDefault="00632B65" w:rsidP="00632B65">
      <w:pPr>
        <w:pStyle w:val="Odsekzoznamu"/>
        <w:widowControl/>
        <w:numPr>
          <w:ilvl w:val="0"/>
          <w:numId w:val="26"/>
        </w:numPr>
        <w:adjustRightInd/>
        <w:spacing w:after="120" w:line="276" w:lineRule="auto"/>
        <w:ind w:left="714" w:hanging="357"/>
        <w:contextualSpacing w:val="0"/>
        <w:jc w:val="both"/>
      </w:pPr>
      <w:r w:rsidRPr="001E4B49">
        <w:rPr>
          <w:i/>
        </w:rPr>
        <w:t>Administratívne náklady</w:t>
      </w:r>
      <w:r w:rsidRPr="001E4B49">
        <w:t xml:space="preserve"> – náklady spojené s administratívnymi úkonmi pri plnení informačnej povinnosti, ktoré musí podnikateľ vykonať na zabezpečenie súladu s reguláciou. Ide o nákladové vyjadrenie času, ktorý strávi podnikateľ realizáciou konkrétnych činností vyžadovaných reguláciou  (napr. vypracovanie dokumentu, vedenie evidencie a archivácia, oznamovanie skutočností, predloženie dokladov, spracovanie žiadosti a iné).</w:t>
      </w:r>
    </w:p>
    <w:p w14:paraId="11C07D9C" w14:textId="77777777" w:rsidR="00632B65" w:rsidRPr="001E4B49" w:rsidRDefault="00632B65" w:rsidP="00632B65">
      <w:pPr>
        <w:pStyle w:val="Odsekzoznamu"/>
        <w:widowControl/>
        <w:numPr>
          <w:ilvl w:val="0"/>
          <w:numId w:val="26"/>
        </w:numPr>
        <w:adjustRightInd/>
        <w:spacing w:after="120" w:line="276" w:lineRule="auto"/>
        <w:ind w:left="714" w:hanging="357"/>
        <w:contextualSpacing w:val="0"/>
        <w:jc w:val="both"/>
      </w:pPr>
      <w:r w:rsidRPr="001E4B49">
        <w:rPr>
          <w:i/>
        </w:rPr>
        <w:t>Priame finančné náklady</w:t>
      </w:r>
      <w:r w:rsidRPr="001E4B49">
        <w:t xml:space="preserve"> – sú odvodené z konkrétnej priamej povinnosti previesť určitú sumu peňazí štátu alebo príslušnému orgánu verejnej správy (napr. poplatok za vystavenie stavebného povolenia, správne poplatky, registračný poplatok, poistné, dane, clá a iné).</w:t>
      </w:r>
    </w:p>
    <w:p w14:paraId="209F96DA" w14:textId="77777777" w:rsidR="00632B65" w:rsidRPr="001E4B49" w:rsidRDefault="00632B65" w:rsidP="00632B65">
      <w:pPr>
        <w:pStyle w:val="Odsekzoznamu"/>
        <w:widowControl/>
        <w:numPr>
          <w:ilvl w:val="0"/>
          <w:numId w:val="26"/>
        </w:numPr>
        <w:adjustRightInd/>
        <w:spacing w:after="120" w:line="276" w:lineRule="auto"/>
        <w:ind w:left="714" w:hanging="357"/>
        <w:contextualSpacing w:val="0"/>
        <w:jc w:val="both"/>
      </w:pPr>
      <w:r w:rsidRPr="001E4B49">
        <w:rPr>
          <w:i/>
        </w:rPr>
        <w:t>Nepriame finančné náklady</w:t>
      </w:r>
      <w:r w:rsidRPr="001E4B49">
        <w:t xml:space="preserve"> – sú náklady, ktoré musí podnikateľ vynaložiť pre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získanie potrebných vedomostí nevyhnutných pre získanie osvedčenia a iné) a náklady spojené so zamestnávaním.</w:t>
      </w:r>
    </w:p>
    <w:p w14:paraId="256AE01F" w14:textId="77777777" w:rsidR="00632B65" w:rsidRPr="001E4B49" w:rsidRDefault="00632B65" w:rsidP="00632B65">
      <w:pPr>
        <w:pStyle w:val="BodyText1"/>
        <w:jc w:val="both"/>
        <w:rPr>
          <w:rFonts w:ascii="Times New Roman" w:eastAsiaTheme="minorHAnsi" w:hAnsi="Times New Roman"/>
          <w:color w:val="auto"/>
          <w:sz w:val="20"/>
          <w:szCs w:val="22"/>
        </w:rPr>
      </w:pPr>
    </w:p>
    <w:p w14:paraId="1024BE36" w14:textId="77777777" w:rsidR="00632B65" w:rsidRPr="001E4B49" w:rsidRDefault="00632B65" w:rsidP="00632B65">
      <w:pPr>
        <w:pStyle w:val="BodyText1"/>
        <w:rPr>
          <w:rFonts w:ascii="Times New Roman" w:hAnsi="Times New Roman"/>
        </w:rPr>
      </w:pPr>
      <w:r w:rsidRPr="001E4B49">
        <w:rPr>
          <w:rFonts w:ascii="Times New Roman" w:hAnsi="Times New Roman"/>
          <w:noProof/>
          <w:lang w:eastAsia="sk-SK"/>
        </w:rPr>
        <mc:AlternateContent>
          <mc:Choice Requires="wpg">
            <w:drawing>
              <wp:inline distT="0" distB="0" distL="0" distR="0" wp14:anchorId="43EB3F31" wp14:editId="32E4055B">
                <wp:extent cx="4348716" cy="2541181"/>
                <wp:effectExtent l="0" t="0" r="0" b="0"/>
                <wp:docPr id="405" name="Group 4"/>
                <wp:cNvGraphicFramePr/>
                <a:graphic xmlns:a="http://schemas.openxmlformats.org/drawingml/2006/main">
                  <a:graphicData uri="http://schemas.microsoft.com/office/word/2010/wordprocessingGroup">
                    <wpg:wgp>
                      <wpg:cNvGrpSpPr/>
                      <wpg:grpSpPr>
                        <a:xfrm>
                          <a:off x="0" y="0"/>
                          <a:ext cx="4348716" cy="2541181"/>
                          <a:chOff x="0" y="-32276"/>
                          <a:chExt cx="7403620" cy="2469001"/>
                        </a:xfrm>
                      </wpg:grpSpPr>
                      <wps:wsp>
                        <wps:cNvPr id="406" name="Rectangle 14"/>
                        <wps:cNvSpPr>
                          <a:spLocks noChangeArrowheads="1"/>
                        </wps:cNvSpPr>
                        <wps:spPr bwMode="auto">
                          <a:xfrm>
                            <a:off x="0" y="842820"/>
                            <a:ext cx="2003448" cy="710527"/>
                          </a:xfrm>
                          <a:prstGeom prst="rect">
                            <a:avLst/>
                          </a:prstGeom>
                          <a:solidFill>
                            <a:srgbClr val="00A0DE"/>
                          </a:solidFill>
                          <a:ln w="9525">
                            <a:noFill/>
                            <a:miter lim="800000"/>
                            <a:headEnd/>
                            <a:tailEnd/>
                          </a:ln>
                        </wps:spPr>
                        <wps:txbx>
                          <w:txbxContent>
                            <w:p w14:paraId="28447030" w14:textId="77777777" w:rsidR="00142FD9" w:rsidRPr="00042C66" w:rsidRDefault="00142FD9" w:rsidP="00632B65">
                              <w:pPr>
                                <w:pStyle w:val="Normlnywebov"/>
                                <w:jc w:val="center"/>
                                <w:textAlignment w:val="baseline"/>
                              </w:pPr>
                              <w:r w:rsidRPr="00042C66">
                                <w:rPr>
                                  <w:rFonts w:eastAsia="Times New Roman"/>
                                  <w:iCs/>
                                  <w:color w:val="FFFFFF"/>
                                  <w:kern w:val="24"/>
                                  <w:sz w:val="16"/>
                                  <w:szCs w:val="16"/>
                                </w:rPr>
                                <w:t>Celkové</w:t>
                              </w:r>
                              <w:r>
                                <w:rPr>
                                  <w:rFonts w:eastAsia="Times New Roman"/>
                                  <w:iCs/>
                                  <w:color w:val="FFFFFF"/>
                                  <w:kern w:val="24"/>
                                  <w:sz w:val="16"/>
                                  <w:szCs w:val="16"/>
                                </w:rPr>
                                <w:t xml:space="preserve"> </w:t>
                              </w:r>
                              <w:r w:rsidRPr="00042C66">
                                <w:rPr>
                                  <w:rFonts w:eastAsia="Times New Roman"/>
                                  <w:iCs/>
                                  <w:color w:val="FFFFFF"/>
                                  <w:kern w:val="24"/>
                                  <w:sz w:val="16"/>
                                  <w:szCs w:val="16"/>
                                </w:rPr>
                                <w:t>náklady</w:t>
                              </w:r>
                              <w:r>
                                <w:rPr>
                                  <w:rFonts w:eastAsia="Times New Roman"/>
                                  <w:iCs/>
                                  <w:color w:val="FFFFFF"/>
                                  <w:kern w:val="24"/>
                                  <w:sz w:val="16"/>
                                  <w:szCs w:val="16"/>
                                </w:rPr>
                                <w:t xml:space="preserve"> </w:t>
                              </w:r>
                              <w:r w:rsidRPr="00042C66">
                                <w:rPr>
                                  <w:rFonts w:eastAsia="Times New Roman"/>
                                  <w:color w:val="FFFFFF"/>
                                  <w:kern w:val="24"/>
                                  <w:sz w:val="16"/>
                                  <w:szCs w:val="16"/>
                                </w:rPr>
                                <w:t>spojené</w:t>
                              </w:r>
                              <w:r>
                                <w:rPr>
                                  <w:rFonts w:eastAsia="Times New Roman"/>
                                  <w:color w:val="FFFFFF"/>
                                  <w:kern w:val="24"/>
                                  <w:sz w:val="16"/>
                                  <w:szCs w:val="16"/>
                                </w:rPr>
                                <w:t xml:space="preserve"> </w:t>
                              </w:r>
                              <w:r w:rsidRPr="00042C66">
                                <w:rPr>
                                  <w:rFonts w:eastAsia="Times New Roman"/>
                                  <w:color w:val="FFFFFF"/>
                                  <w:kern w:val="24"/>
                                  <w:sz w:val="16"/>
                                  <w:szCs w:val="16"/>
                                </w:rPr>
                                <w:t>s</w:t>
                              </w:r>
                              <w:r>
                                <w:rPr>
                                  <w:rFonts w:eastAsia="Times New Roman"/>
                                  <w:color w:val="FFFFFF"/>
                                  <w:kern w:val="24"/>
                                  <w:sz w:val="16"/>
                                  <w:szCs w:val="16"/>
                                </w:rPr>
                                <w:t xml:space="preserve"> </w:t>
                              </w:r>
                              <w:r w:rsidRPr="00042C66">
                                <w:rPr>
                                  <w:rFonts w:eastAsia="Times New Roman"/>
                                  <w:color w:val="FFFFFF"/>
                                  <w:kern w:val="24"/>
                                  <w:sz w:val="16"/>
                                  <w:szCs w:val="16"/>
                                </w:rPr>
                                <w:t>plnením</w:t>
                              </w:r>
                              <w:r>
                                <w:rPr>
                                  <w:rFonts w:eastAsia="Times New Roman"/>
                                  <w:color w:val="FFFFFF"/>
                                  <w:kern w:val="24"/>
                                  <w:sz w:val="16"/>
                                  <w:szCs w:val="16"/>
                                </w:rPr>
                                <w:t xml:space="preserve"> </w:t>
                              </w:r>
                              <w:r w:rsidRPr="00042C66">
                                <w:rPr>
                                  <w:rFonts w:eastAsia="Times New Roman"/>
                                  <w:color w:val="FFFFFF"/>
                                  <w:kern w:val="24"/>
                                  <w:sz w:val="16"/>
                                  <w:szCs w:val="16"/>
                                </w:rPr>
                                <w:t>povinností</w:t>
                              </w:r>
                              <w:r>
                                <w:rPr>
                                  <w:rFonts w:eastAsia="Times New Roman"/>
                                  <w:color w:val="FFFFFF"/>
                                  <w:kern w:val="24"/>
                                  <w:sz w:val="16"/>
                                  <w:szCs w:val="16"/>
                                </w:rPr>
                                <w:t xml:space="preserve"> </w:t>
                              </w:r>
                              <w:r w:rsidRPr="00042C66">
                                <w:rPr>
                                  <w:rFonts w:eastAsia="Times New Roman"/>
                                  <w:color w:val="FFFFFF"/>
                                  <w:kern w:val="24"/>
                                  <w:sz w:val="16"/>
                                  <w:szCs w:val="16"/>
                                </w:rPr>
                                <w:t>vyplývajúcich</w:t>
                              </w:r>
                              <w:r>
                                <w:rPr>
                                  <w:rFonts w:eastAsia="Times New Roman"/>
                                  <w:color w:val="FFFFFF"/>
                                  <w:kern w:val="24"/>
                                  <w:sz w:val="16"/>
                                  <w:szCs w:val="16"/>
                                </w:rPr>
                                <w:t xml:space="preserve"> </w:t>
                              </w:r>
                              <w:r w:rsidRPr="00042C66">
                                <w:rPr>
                                  <w:rFonts w:eastAsia="Times New Roman"/>
                                  <w:color w:val="FFFFFF"/>
                                  <w:kern w:val="24"/>
                                  <w:sz w:val="16"/>
                                  <w:szCs w:val="16"/>
                                </w:rPr>
                                <w:t>podnikateľom</w:t>
                              </w:r>
                              <w:r>
                                <w:rPr>
                                  <w:rFonts w:eastAsia="Times New Roman"/>
                                  <w:color w:val="FFFFFF"/>
                                  <w:kern w:val="24"/>
                                  <w:sz w:val="16"/>
                                  <w:szCs w:val="16"/>
                                </w:rPr>
                                <w:t xml:space="preserve"> </w:t>
                              </w:r>
                              <w:r w:rsidRPr="00042C66">
                                <w:rPr>
                                  <w:rFonts w:eastAsia="Times New Roman"/>
                                  <w:iCs/>
                                  <w:color w:val="FFFFFF"/>
                                  <w:kern w:val="24"/>
                                  <w:sz w:val="16"/>
                                  <w:szCs w:val="16"/>
                                </w:rPr>
                                <w:t>z</w:t>
                              </w:r>
                              <w:r>
                                <w:rPr>
                                  <w:rFonts w:eastAsia="Times New Roman"/>
                                  <w:iCs/>
                                  <w:color w:val="FFFFFF"/>
                                  <w:kern w:val="24"/>
                                  <w:sz w:val="16"/>
                                  <w:szCs w:val="16"/>
                                </w:rPr>
                                <w:t xml:space="preserve"> </w:t>
                              </w:r>
                              <w:r w:rsidRPr="00042C66">
                                <w:rPr>
                                  <w:rFonts w:eastAsia="Times New Roman"/>
                                  <w:iCs/>
                                  <w:color w:val="FFFFFF"/>
                                  <w:kern w:val="24"/>
                                  <w:sz w:val="16"/>
                                  <w:szCs w:val="16"/>
                                </w:rPr>
                                <w:t>regulácie</w:t>
                              </w:r>
                            </w:p>
                          </w:txbxContent>
                        </wps:txbx>
                        <wps:bodyPr wrap="square" lIns="36000" tIns="36000" rIns="36000" bIns="36000" anchor="ctr"/>
                      </wps:wsp>
                      <wps:wsp>
                        <wps:cNvPr id="407" name="Rectangle 16"/>
                        <wps:cNvSpPr>
                          <a:spLocks noChangeArrowheads="1"/>
                        </wps:cNvSpPr>
                        <wps:spPr bwMode="auto">
                          <a:xfrm>
                            <a:off x="2468955" y="98172"/>
                            <a:ext cx="1837171" cy="457380"/>
                          </a:xfrm>
                          <a:prstGeom prst="rect">
                            <a:avLst/>
                          </a:prstGeom>
                          <a:solidFill>
                            <a:srgbClr val="81BC00"/>
                          </a:solidFill>
                          <a:ln w="9525">
                            <a:noFill/>
                            <a:miter lim="800000"/>
                            <a:headEnd/>
                            <a:tailEnd/>
                          </a:ln>
                        </wps:spPr>
                        <wps:txbx>
                          <w:txbxContent>
                            <w:p w14:paraId="1C1D6A9E"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Administratívne</w:t>
                              </w:r>
                              <w:r>
                                <w:rPr>
                                  <w:rFonts w:eastAsia="Times New Roman"/>
                                  <w:color w:val="FFFFFF"/>
                                  <w:kern w:val="24"/>
                                  <w:sz w:val="16"/>
                                  <w:szCs w:val="16"/>
                                </w:rPr>
                                <w:t xml:space="preserve"> </w:t>
                              </w:r>
                              <w:r w:rsidRPr="00042C66">
                                <w:rPr>
                                  <w:rFonts w:eastAsia="Times New Roman"/>
                                  <w:color w:val="FFFFFF"/>
                                  <w:kern w:val="24"/>
                                  <w:sz w:val="16"/>
                                  <w:szCs w:val="16"/>
                                </w:rPr>
                                <w:t>náklady</w:t>
                              </w:r>
                            </w:p>
                          </w:txbxContent>
                        </wps:txbx>
                        <wps:bodyPr wrap="square" lIns="36000" tIns="36000" rIns="36000" bIns="36000" anchor="ctr"/>
                      </wps:wsp>
                      <wps:wsp>
                        <wps:cNvPr id="408" name="Rectangle 21"/>
                        <wps:cNvSpPr>
                          <a:spLocks noChangeArrowheads="1"/>
                        </wps:cNvSpPr>
                        <wps:spPr bwMode="auto">
                          <a:xfrm>
                            <a:off x="2468954" y="969393"/>
                            <a:ext cx="1837172" cy="457380"/>
                          </a:xfrm>
                          <a:prstGeom prst="rect">
                            <a:avLst/>
                          </a:prstGeom>
                          <a:solidFill>
                            <a:srgbClr val="00A0DE"/>
                          </a:solidFill>
                          <a:ln w="9525">
                            <a:noFill/>
                            <a:miter lim="800000"/>
                            <a:headEnd/>
                            <a:tailEnd/>
                          </a:ln>
                        </wps:spPr>
                        <wps:txbx>
                          <w:txbxContent>
                            <w:p w14:paraId="41E4F02C"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Priame</w:t>
                              </w:r>
                              <w:r>
                                <w:rPr>
                                  <w:rFonts w:eastAsia="Times New Roman"/>
                                  <w:color w:val="FFFFFF"/>
                                  <w:kern w:val="24"/>
                                  <w:sz w:val="16"/>
                                  <w:szCs w:val="16"/>
                                </w:rPr>
                                <w:t xml:space="preserve"> </w:t>
                              </w:r>
                              <w:r w:rsidRPr="00042C66">
                                <w:rPr>
                                  <w:rFonts w:eastAsia="Times New Roman"/>
                                  <w:color w:val="FFFFFF"/>
                                  <w:kern w:val="24"/>
                                  <w:sz w:val="16"/>
                                  <w:szCs w:val="16"/>
                                </w:rPr>
                                <w:t>finančné</w:t>
                              </w:r>
                              <w:r>
                                <w:rPr>
                                  <w:rFonts w:eastAsia="Times New Roman"/>
                                  <w:color w:val="FFFFFF"/>
                                  <w:kern w:val="24"/>
                                  <w:sz w:val="16"/>
                                  <w:szCs w:val="16"/>
                                </w:rPr>
                                <w:t xml:space="preserve"> </w:t>
                              </w:r>
                              <w:r w:rsidRPr="00042C66">
                                <w:rPr>
                                  <w:rFonts w:eastAsia="Times New Roman"/>
                                  <w:color w:val="FFFFFF"/>
                                  <w:kern w:val="24"/>
                                  <w:sz w:val="16"/>
                                  <w:szCs w:val="16"/>
                                </w:rPr>
                                <w:t>náklady</w:t>
                              </w:r>
                            </w:p>
                          </w:txbxContent>
                        </wps:txbx>
                        <wps:bodyPr wrap="square" lIns="36000" tIns="36000" rIns="36000" bIns="36000" anchor="ctr"/>
                      </wps:wsp>
                      <wps:wsp>
                        <wps:cNvPr id="409" name="Rectangle 23"/>
                        <wps:cNvSpPr>
                          <a:spLocks noChangeArrowheads="1"/>
                        </wps:cNvSpPr>
                        <wps:spPr bwMode="auto">
                          <a:xfrm>
                            <a:off x="2468955" y="1873185"/>
                            <a:ext cx="1837171" cy="457380"/>
                          </a:xfrm>
                          <a:prstGeom prst="rect">
                            <a:avLst/>
                          </a:prstGeom>
                          <a:solidFill>
                            <a:srgbClr val="00A0DE"/>
                          </a:solidFill>
                          <a:ln w="9525">
                            <a:noFill/>
                            <a:miter lim="800000"/>
                            <a:headEnd/>
                            <a:tailEnd/>
                          </a:ln>
                        </wps:spPr>
                        <wps:txbx>
                          <w:txbxContent>
                            <w:p w14:paraId="244C6056"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Nepriame</w:t>
                              </w:r>
                              <w:r>
                                <w:rPr>
                                  <w:rFonts w:eastAsia="Times New Roman"/>
                                  <w:color w:val="FFFFFF"/>
                                  <w:kern w:val="24"/>
                                  <w:sz w:val="16"/>
                                  <w:szCs w:val="16"/>
                                </w:rPr>
                                <w:t xml:space="preserve"> </w:t>
                              </w:r>
                              <w:r w:rsidRPr="00042C66">
                                <w:rPr>
                                  <w:rFonts w:eastAsia="Times New Roman"/>
                                  <w:color w:val="FFFFFF"/>
                                  <w:kern w:val="24"/>
                                  <w:sz w:val="16"/>
                                  <w:szCs w:val="16"/>
                                </w:rPr>
                                <w:t>finančné</w:t>
                              </w:r>
                              <w:r>
                                <w:rPr>
                                  <w:rFonts w:eastAsia="Times New Roman"/>
                                  <w:color w:val="FFFFFF"/>
                                  <w:kern w:val="24"/>
                                  <w:sz w:val="16"/>
                                  <w:szCs w:val="16"/>
                                </w:rPr>
                                <w:t xml:space="preserve"> </w:t>
                              </w:r>
                              <w:r w:rsidRPr="00042C66">
                                <w:rPr>
                                  <w:rFonts w:eastAsia="Times New Roman"/>
                                  <w:color w:val="FFFFFF"/>
                                  <w:kern w:val="24"/>
                                  <w:sz w:val="16"/>
                                  <w:szCs w:val="16"/>
                                </w:rPr>
                                <w:t>náklady</w:t>
                              </w:r>
                            </w:p>
                          </w:txbxContent>
                        </wps:txbx>
                        <wps:bodyPr wrap="square" lIns="36000" tIns="36000" rIns="36000" bIns="36000" anchor="ctr"/>
                      </wps:wsp>
                      <wps:wsp>
                        <wps:cNvPr id="410" name="Elbow Connector 24"/>
                        <wps:cNvCnPr>
                          <a:stCxn id="406" idx="3"/>
                          <a:endCxn id="409" idx="1"/>
                        </wps:cNvCnPr>
                        <wps:spPr bwMode="auto">
                          <a:xfrm>
                            <a:off x="2003449" y="1198084"/>
                            <a:ext cx="465506" cy="90379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1" name="Elbow Connector 25"/>
                        <wps:cNvCnPr>
                          <a:stCxn id="406" idx="3"/>
                          <a:endCxn id="408" idx="1"/>
                        </wps:cNvCnPr>
                        <wps:spPr bwMode="auto">
                          <a:xfrm flipV="1">
                            <a:off x="2003448" y="1198083"/>
                            <a:ext cx="465506" cy="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2" name="Elbow Connector 26"/>
                        <wps:cNvCnPr>
                          <a:stCxn id="406" idx="3"/>
                          <a:endCxn id="407" idx="1"/>
                        </wps:cNvCnPr>
                        <wps:spPr bwMode="auto">
                          <a:xfrm flipV="1">
                            <a:off x="2003449" y="326862"/>
                            <a:ext cx="465506" cy="871222"/>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3" name="Rectangle 27"/>
                        <wps:cNvSpPr>
                          <a:spLocks noChangeArrowheads="1"/>
                        </wps:cNvSpPr>
                        <wps:spPr bwMode="auto">
                          <a:xfrm>
                            <a:off x="4477540" y="1680607"/>
                            <a:ext cx="2926080" cy="756118"/>
                          </a:xfrm>
                          <a:prstGeom prst="rect">
                            <a:avLst/>
                          </a:prstGeom>
                          <a:solidFill>
                            <a:srgbClr val="00A0DE"/>
                          </a:solidFill>
                          <a:ln w="9525">
                            <a:noFill/>
                            <a:miter lim="800000"/>
                            <a:headEnd/>
                            <a:tailEnd/>
                          </a:ln>
                        </wps:spPr>
                        <wps:txbx>
                          <w:txbxContent>
                            <w:p w14:paraId="470A2EEA"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Školenia,</w:t>
                              </w:r>
                              <w:r>
                                <w:rPr>
                                  <w:rFonts w:eastAsia="Times New Roman"/>
                                  <w:color w:val="FFFFFF"/>
                                  <w:kern w:val="24"/>
                                  <w:sz w:val="16"/>
                                  <w:szCs w:val="16"/>
                                </w:rPr>
                                <w:t xml:space="preserve"> </w:t>
                              </w:r>
                              <w:r w:rsidRPr="00042C66">
                                <w:rPr>
                                  <w:rFonts w:eastAsia="Times New Roman"/>
                                  <w:color w:val="FFFFFF"/>
                                  <w:kern w:val="24"/>
                                  <w:sz w:val="16"/>
                                  <w:szCs w:val="16"/>
                                </w:rPr>
                                <w:t>investície</w:t>
                              </w:r>
                              <w:r>
                                <w:rPr>
                                  <w:rFonts w:eastAsia="Times New Roman"/>
                                  <w:color w:val="FFFFFF"/>
                                  <w:kern w:val="24"/>
                                  <w:sz w:val="16"/>
                                  <w:szCs w:val="16"/>
                                </w:rPr>
                                <w:t xml:space="preserve"> </w:t>
                              </w:r>
                              <w:r w:rsidRPr="00042C66">
                                <w:rPr>
                                  <w:rFonts w:eastAsia="Times New Roman"/>
                                  <w:color w:val="FFFFFF"/>
                                  <w:kern w:val="24"/>
                                  <w:sz w:val="16"/>
                                  <w:szCs w:val="16"/>
                                </w:rPr>
                                <w:t>do</w:t>
                              </w:r>
                              <w:r>
                                <w:rPr>
                                  <w:rFonts w:eastAsia="Times New Roman"/>
                                  <w:color w:val="FFFFFF"/>
                                  <w:kern w:val="24"/>
                                  <w:sz w:val="16"/>
                                  <w:szCs w:val="16"/>
                                </w:rPr>
                                <w:t xml:space="preserve"> </w:t>
                              </w:r>
                              <w:r w:rsidRPr="00042C66">
                                <w:rPr>
                                  <w:rFonts w:eastAsia="Times New Roman"/>
                                  <w:color w:val="FFFFFF"/>
                                  <w:kern w:val="24"/>
                                  <w:sz w:val="16"/>
                                  <w:szCs w:val="16"/>
                                </w:rPr>
                                <w:t>vybavenia</w:t>
                              </w:r>
                              <w:r>
                                <w:rPr>
                                  <w:rFonts w:eastAsia="Times New Roman"/>
                                  <w:color w:val="FFFFFF"/>
                                  <w:kern w:val="24"/>
                                  <w:sz w:val="16"/>
                                  <w:szCs w:val="16"/>
                                </w:rPr>
                                <w:t xml:space="preserve">  </w:t>
                              </w:r>
                              <w:r w:rsidRPr="00042C66">
                                <w:rPr>
                                  <w:rFonts w:eastAsia="Times New Roman"/>
                                  <w:color w:val="FFFFFF"/>
                                  <w:kern w:val="24"/>
                                  <w:sz w:val="16"/>
                                  <w:szCs w:val="16"/>
                                </w:rPr>
                                <w:t>(registračná</w:t>
                              </w:r>
                              <w:r>
                                <w:rPr>
                                  <w:rFonts w:eastAsia="Times New Roman"/>
                                  <w:color w:val="FFFFFF"/>
                                  <w:kern w:val="24"/>
                                  <w:sz w:val="16"/>
                                  <w:szCs w:val="16"/>
                                </w:rPr>
                                <w:t xml:space="preserve"> </w:t>
                              </w:r>
                              <w:r w:rsidRPr="00042C66">
                                <w:rPr>
                                  <w:rFonts w:eastAsia="Times New Roman"/>
                                  <w:color w:val="FFFFFF"/>
                                  <w:kern w:val="24"/>
                                  <w:sz w:val="16"/>
                                  <w:szCs w:val="16"/>
                                </w:rPr>
                                <w:t>pokladňa,</w:t>
                              </w:r>
                              <w:r>
                                <w:rPr>
                                  <w:rFonts w:eastAsia="Times New Roman"/>
                                  <w:color w:val="FFFFFF"/>
                                  <w:kern w:val="24"/>
                                  <w:sz w:val="16"/>
                                  <w:szCs w:val="16"/>
                                </w:rPr>
                                <w:t xml:space="preserve"> </w:t>
                              </w:r>
                              <w:r w:rsidRPr="00042C66">
                                <w:rPr>
                                  <w:rFonts w:eastAsia="Times New Roman"/>
                                  <w:color w:val="FFFFFF"/>
                                  <w:kern w:val="24"/>
                                  <w:sz w:val="16"/>
                                  <w:szCs w:val="16"/>
                                </w:rPr>
                                <w:t>IT</w:t>
                              </w:r>
                              <w:r>
                                <w:rPr>
                                  <w:rFonts w:eastAsia="Times New Roman"/>
                                  <w:color w:val="FFFFFF"/>
                                  <w:kern w:val="24"/>
                                  <w:sz w:val="16"/>
                                  <w:szCs w:val="16"/>
                                </w:rPr>
                                <w:t xml:space="preserve"> </w:t>
                              </w:r>
                              <w:r w:rsidRPr="00042C66">
                                <w:rPr>
                                  <w:rFonts w:eastAsia="Times New Roman"/>
                                  <w:color w:val="FFFFFF"/>
                                  <w:kern w:val="24"/>
                                  <w:sz w:val="16"/>
                                  <w:szCs w:val="16"/>
                                </w:rPr>
                                <w:t>a</w:t>
                              </w:r>
                              <w:r>
                                <w:rPr>
                                  <w:rFonts w:eastAsia="Times New Roman"/>
                                  <w:color w:val="FFFFFF"/>
                                  <w:kern w:val="24"/>
                                  <w:sz w:val="16"/>
                                  <w:szCs w:val="16"/>
                                </w:rPr>
                                <w:t xml:space="preserve"> </w:t>
                              </w:r>
                              <w:r w:rsidRPr="00042C66">
                                <w:rPr>
                                  <w:rFonts w:eastAsia="Times New Roman"/>
                                  <w:color w:val="FFFFFF"/>
                                  <w:kern w:val="24"/>
                                  <w:sz w:val="16"/>
                                  <w:szCs w:val="16"/>
                                </w:rPr>
                                <w:t>pod.)</w:t>
                              </w:r>
                              <w:r>
                                <w:rPr>
                                  <w:rFonts w:eastAsia="Times New Roman"/>
                                  <w:color w:val="FFFFFF"/>
                                  <w:kern w:val="24"/>
                                  <w:sz w:val="16"/>
                                  <w:szCs w:val="16"/>
                                </w:rPr>
                                <w:t xml:space="preserve"> </w:t>
                              </w:r>
                              <w:r w:rsidRPr="00042C66">
                                <w:rPr>
                                  <w:rFonts w:eastAsia="Times New Roman"/>
                                  <w:color w:val="FFFFFF"/>
                                  <w:kern w:val="24"/>
                                  <w:sz w:val="16"/>
                                  <w:szCs w:val="16"/>
                                </w:rPr>
                                <w:t>,</w:t>
                              </w:r>
                              <w:r>
                                <w:rPr>
                                  <w:rFonts w:eastAsia="Times New Roman"/>
                                  <w:color w:val="FFFFFF"/>
                                  <w:kern w:val="24"/>
                                  <w:sz w:val="16"/>
                                  <w:szCs w:val="16"/>
                                </w:rPr>
                                <w:t xml:space="preserve"> </w:t>
                              </w:r>
                              <w:r w:rsidRPr="00042C66">
                                <w:rPr>
                                  <w:rFonts w:eastAsia="Times New Roman"/>
                                  <w:color w:val="FFFFFF"/>
                                  <w:kern w:val="24"/>
                                  <w:sz w:val="16"/>
                                  <w:szCs w:val="16"/>
                                </w:rPr>
                                <w:t>zabezpečenie</w:t>
                              </w:r>
                              <w:r>
                                <w:rPr>
                                  <w:rFonts w:eastAsia="Times New Roman"/>
                                  <w:color w:val="FFFFFF"/>
                                  <w:kern w:val="24"/>
                                  <w:sz w:val="16"/>
                                  <w:szCs w:val="16"/>
                                </w:rPr>
                                <w:t xml:space="preserve"> </w:t>
                              </w:r>
                              <w:r w:rsidRPr="00042C66">
                                <w:rPr>
                                  <w:rFonts w:eastAsia="Times New Roman"/>
                                  <w:color w:val="FFFFFF"/>
                                  <w:kern w:val="24"/>
                                  <w:sz w:val="16"/>
                                  <w:szCs w:val="16"/>
                                </w:rPr>
                                <w:t>pitného</w:t>
                              </w:r>
                              <w:r>
                                <w:rPr>
                                  <w:rFonts w:eastAsia="Times New Roman"/>
                                  <w:color w:val="FFFFFF"/>
                                  <w:kern w:val="24"/>
                                  <w:sz w:val="16"/>
                                  <w:szCs w:val="16"/>
                                </w:rPr>
                                <w:t xml:space="preserve"> </w:t>
                              </w:r>
                              <w:r w:rsidRPr="00042C66">
                                <w:rPr>
                                  <w:rFonts w:eastAsia="Times New Roman"/>
                                  <w:color w:val="FFFFFF"/>
                                  <w:kern w:val="24"/>
                                  <w:sz w:val="16"/>
                                  <w:szCs w:val="16"/>
                                </w:rPr>
                                <w:t>režimu,</w:t>
                              </w:r>
                              <w:r>
                                <w:rPr>
                                  <w:rFonts w:eastAsia="Times New Roman"/>
                                  <w:color w:val="FFFFFF"/>
                                  <w:kern w:val="24"/>
                                  <w:sz w:val="16"/>
                                  <w:szCs w:val="16"/>
                                </w:rPr>
                                <w:t xml:space="preserve"> </w:t>
                              </w:r>
                              <w:r w:rsidRPr="00042C66">
                                <w:rPr>
                                  <w:rFonts w:eastAsia="Times New Roman"/>
                                  <w:color w:val="FFFFFF"/>
                                  <w:kern w:val="24"/>
                                  <w:sz w:val="16"/>
                                  <w:szCs w:val="16"/>
                                </w:rPr>
                                <w:t>atď.</w:t>
                              </w:r>
                              <w:r>
                                <w:rPr>
                                  <w:rFonts w:eastAsia="Times New Roman"/>
                                  <w:color w:val="FFFFFF"/>
                                  <w:kern w:val="24"/>
                                  <w:sz w:val="16"/>
                                  <w:szCs w:val="16"/>
                                </w:rPr>
                                <w:t xml:space="preserve"> </w:t>
                              </w:r>
                            </w:p>
                          </w:txbxContent>
                        </wps:txbx>
                        <wps:bodyPr wrap="square" lIns="36000" tIns="36000" rIns="36000" bIns="36000" anchor="ctr"/>
                      </wps:wsp>
                      <wps:wsp>
                        <wps:cNvPr id="414" name="Rectangle 28"/>
                        <wps:cNvSpPr>
                          <a:spLocks noChangeArrowheads="1"/>
                        </wps:cNvSpPr>
                        <wps:spPr bwMode="auto">
                          <a:xfrm>
                            <a:off x="4476905" y="820024"/>
                            <a:ext cx="2925446" cy="756118"/>
                          </a:xfrm>
                          <a:prstGeom prst="rect">
                            <a:avLst/>
                          </a:prstGeom>
                          <a:solidFill>
                            <a:srgbClr val="00A0DE"/>
                          </a:solidFill>
                          <a:ln w="9525">
                            <a:noFill/>
                            <a:miter lim="800000"/>
                            <a:headEnd/>
                            <a:tailEnd/>
                          </a:ln>
                        </wps:spPr>
                        <wps:txbx>
                          <w:txbxContent>
                            <w:p w14:paraId="36004E19"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Registračné</w:t>
                              </w:r>
                              <w:r>
                                <w:rPr>
                                  <w:rFonts w:eastAsia="Times New Roman"/>
                                  <w:color w:val="FFFFFF"/>
                                  <w:kern w:val="24"/>
                                  <w:sz w:val="16"/>
                                  <w:szCs w:val="16"/>
                                </w:rPr>
                                <w:t xml:space="preserve"> </w:t>
                              </w:r>
                              <w:r w:rsidRPr="00042C66">
                                <w:rPr>
                                  <w:rFonts w:eastAsia="Times New Roman"/>
                                  <w:color w:val="FFFFFF"/>
                                  <w:kern w:val="24"/>
                                  <w:sz w:val="16"/>
                                  <w:szCs w:val="16"/>
                                </w:rPr>
                                <w:t>poplatky,</w:t>
                              </w:r>
                              <w:r>
                                <w:rPr>
                                  <w:rFonts w:eastAsia="Times New Roman"/>
                                  <w:color w:val="FFFFFF"/>
                                  <w:kern w:val="24"/>
                                  <w:sz w:val="16"/>
                                  <w:szCs w:val="16"/>
                                </w:rPr>
                                <w:t xml:space="preserve"> </w:t>
                              </w:r>
                              <w:r w:rsidRPr="00042C66">
                                <w:rPr>
                                  <w:rFonts w:eastAsia="Times New Roman"/>
                                  <w:color w:val="FFFFFF"/>
                                  <w:kern w:val="24"/>
                                  <w:sz w:val="16"/>
                                  <w:szCs w:val="16"/>
                                </w:rPr>
                                <w:t>správne</w:t>
                              </w:r>
                              <w:r>
                                <w:rPr>
                                  <w:rFonts w:eastAsia="Times New Roman"/>
                                  <w:color w:val="FFFFFF"/>
                                  <w:kern w:val="24"/>
                                  <w:sz w:val="16"/>
                                  <w:szCs w:val="16"/>
                                </w:rPr>
                                <w:t xml:space="preserve"> </w:t>
                              </w:r>
                              <w:r w:rsidRPr="00042C66">
                                <w:rPr>
                                  <w:rFonts w:eastAsia="Times New Roman"/>
                                  <w:color w:val="FFFFFF"/>
                                  <w:kern w:val="24"/>
                                  <w:sz w:val="16"/>
                                  <w:szCs w:val="16"/>
                                </w:rPr>
                                <w:t>poplatky,</w:t>
                              </w:r>
                              <w:r>
                                <w:rPr>
                                  <w:rFonts w:eastAsia="Times New Roman"/>
                                  <w:color w:val="FFFFFF"/>
                                  <w:kern w:val="24"/>
                                  <w:sz w:val="16"/>
                                  <w:szCs w:val="16"/>
                                </w:rPr>
                                <w:t xml:space="preserve"> </w:t>
                              </w:r>
                              <w:r w:rsidRPr="00042C66">
                                <w:rPr>
                                  <w:rFonts w:eastAsia="Times New Roman"/>
                                  <w:color w:val="FFFFFF"/>
                                  <w:kern w:val="24"/>
                                  <w:sz w:val="16"/>
                                  <w:szCs w:val="16"/>
                                </w:rPr>
                                <w:t>kolky,</w:t>
                              </w:r>
                              <w:r>
                                <w:rPr>
                                  <w:rFonts w:eastAsia="Times New Roman"/>
                                  <w:color w:val="FFFFFF"/>
                                  <w:kern w:val="24"/>
                                  <w:sz w:val="16"/>
                                  <w:szCs w:val="16"/>
                                </w:rPr>
                                <w:t xml:space="preserve"> </w:t>
                              </w:r>
                              <w:r w:rsidRPr="00042C66">
                                <w:rPr>
                                  <w:rFonts w:eastAsia="Times New Roman"/>
                                  <w:color w:val="FFFFFF"/>
                                  <w:kern w:val="24"/>
                                  <w:sz w:val="16"/>
                                  <w:szCs w:val="16"/>
                                </w:rPr>
                                <w:t>poistné,</w:t>
                              </w:r>
                              <w:r>
                                <w:rPr>
                                  <w:rFonts w:eastAsia="Times New Roman"/>
                                  <w:color w:val="FFFFFF"/>
                                  <w:kern w:val="24"/>
                                  <w:sz w:val="16"/>
                                  <w:szCs w:val="16"/>
                                </w:rPr>
                                <w:t xml:space="preserve"> </w:t>
                              </w:r>
                              <w:r w:rsidRPr="00042C66">
                                <w:rPr>
                                  <w:rFonts w:eastAsia="Times New Roman"/>
                                  <w:color w:val="FFFFFF"/>
                                  <w:kern w:val="24"/>
                                  <w:sz w:val="16"/>
                                  <w:szCs w:val="16"/>
                                </w:rPr>
                                <w:t>dane,</w:t>
                              </w:r>
                              <w:r>
                                <w:rPr>
                                  <w:rFonts w:eastAsia="Times New Roman"/>
                                  <w:color w:val="FFFFFF"/>
                                  <w:kern w:val="24"/>
                                  <w:sz w:val="16"/>
                                  <w:szCs w:val="16"/>
                                </w:rPr>
                                <w:t xml:space="preserve"> </w:t>
                              </w:r>
                              <w:r w:rsidRPr="00042C66">
                                <w:rPr>
                                  <w:rFonts w:eastAsia="Times New Roman"/>
                                  <w:color w:val="FFFFFF"/>
                                  <w:kern w:val="24"/>
                                  <w:sz w:val="16"/>
                                  <w:szCs w:val="16"/>
                                </w:rPr>
                                <w:t>clá</w:t>
                              </w:r>
                              <w:r>
                                <w:rPr>
                                  <w:rFonts w:eastAsia="Times New Roman"/>
                                  <w:color w:val="FFFFFF"/>
                                  <w:kern w:val="24"/>
                                  <w:sz w:val="16"/>
                                  <w:szCs w:val="16"/>
                                </w:rPr>
                                <w:t xml:space="preserve"> </w:t>
                              </w:r>
                              <w:r w:rsidRPr="00042C66">
                                <w:rPr>
                                  <w:rFonts w:eastAsia="Times New Roman"/>
                                  <w:color w:val="FFFFFF"/>
                                  <w:kern w:val="24"/>
                                  <w:sz w:val="16"/>
                                  <w:szCs w:val="16"/>
                                </w:rPr>
                                <w:t>atď.</w:t>
                              </w:r>
                            </w:p>
                          </w:txbxContent>
                        </wps:txbx>
                        <wps:bodyPr wrap="square" lIns="36000" tIns="36000" rIns="36000" bIns="36000" anchor="ctr"/>
                      </wps:wsp>
                      <wps:wsp>
                        <wps:cNvPr id="415" name="Rectangle 29"/>
                        <wps:cNvSpPr>
                          <a:spLocks noChangeArrowheads="1"/>
                        </wps:cNvSpPr>
                        <wps:spPr bwMode="auto">
                          <a:xfrm>
                            <a:off x="4477540" y="-32276"/>
                            <a:ext cx="2925445" cy="756118"/>
                          </a:xfrm>
                          <a:prstGeom prst="rect">
                            <a:avLst/>
                          </a:prstGeom>
                          <a:solidFill>
                            <a:srgbClr val="81BC00"/>
                          </a:solidFill>
                          <a:ln w="9525">
                            <a:noFill/>
                            <a:miter lim="800000"/>
                            <a:headEnd/>
                            <a:tailEnd/>
                          </a:ln>
                        </wps:spPr>
                        <wps:txbx>
                          <w:txbxContent>
                            <w:p w14:paraId="38A624E4"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Ocenenie</w:t>
                              </w:r>
                              <w:r>
                                <w:rPr>
                                  <w:rFonts w:eastAsia="Times New Roman"/>
                                  <w:color w:val="FFFFFF"/>
                                  <w:kern w:val="24"/>
                                  <w:sz w:val="16"/>
                                  <w:szCs w:val="16"/>
                                </w:rPr>
                                <w:t xml:space="preserve"> </w:t>
                              </w:r>
                              <w:r w:rsidRPr="00042C66">
                                <w:rPr>
                                  <w:rFonts w:eastAsia="Times New Roman"/>
                                  <w:color w:val="FFFFFF"/>
                                  <w:kern w:val="24"/>
                                  <w:sz w:val="16"/>
                                  <w:szCs w:val="16"/>
                                </w:rPr>
                                <w:t>času</w:t>
                              </w:r>
                              <w:r>
                                <w:rPr>
                                  <w:rFonts w:eastAsia="Times New Roman"/>
                                  <w:color w:val="FFFFFF"/>
                                  <w:kern w:val="24"/>
                                  <w:sz w:val="16"/>
                                  <w:szCs w:val="16"/>
                                </w:rPr>
                                <w:t xml:space="preserve"> </w:t>
                              </w:r>
                              <w:r w:rsidRPr="00042C66">
                                <w:rPr>
                                  <w:rFonts w:eastAsia="Times New Roman"/>
                                  <w:color w:val="FFFFFF"/>
                                  <w:kern w:val="24"/>
                                  <w:sz w:val="16"/>
                                  <w:szCs w:val="16"/>
                                </w:rPr>
                                <w:t>stráveného</w:t>
                              </w:r>
                              <w:r>
                                <w:rPr>
                                  <w:rFonts w:eastAsia="Times New Roman"/>
                                  <w:color w:val="FFFFFF"/>
                                  <w:kern w:val="24"/>
                                  <w:sz w:val="16"/>
                                  <w:szCs w:val="16"/>
                                </w:rPr>
                                <w:t xml:space="preserve"> </w:t>
                              </w:r>
                              <w:r w:rsidRPr="00042C66">
                                <w:rPr>
                                  <w:rFonts w:eastAsia="Times New Roman"/>
                                  <w:color w:val="FFFFFF"/>
                                  <w:kern w:val="24"/>
                                  <w:sz w:val="16"/>
                                  <w:szCs w:val="16"/>
                                </w:rPr>
                                <w:t>plnením</w:t>
                              </w:r>
                              <w:r>
                                <w:rPr>
                                  <w:rFonts w:eastAsia="Times New Roman"/>
                                  <w:color w:val="FFFFFF"/>
                                  <w:kern w:val="24"/>
                                  <w:sz w:val="16"/>
                                  <w:szCs w:val="16"/>
                                </w:rPr>
                                <w:t xml:space="preserve"> </w:t>
                              </w:r>
                              <w:r w:rsidRPr="00042C66">
                                <w:rPr>
                                  <w:rFonts w:eastAsia="Times New Roman"/>
                                  <w:color w:val="FFFFFF"/>
                                  <w:kern w:val="24"/>
                                  <w:sz w:val="16"/>
                                  <w:szCs w:val="16"/>
                                </w:rPr>
                                <w:t>administratívnych</w:t>
                              </w:r>
                              <w:r>
                                <w:rPr>
                                  <w:rFonts w:eastAsia="Times New Roman"/>
                                  <w:color w:val="FFFFFF"/>
                                  <w:kern w:val="24"/>
                                  <w:sz w:val="16"/>
                                  <w:szCs w:val="16"/>
                                </w:rPr>
                                <w:t xml:space="preserve"> </w:t>
                              </w:r>
                              <w:r w:rsidRPr="00042C66">
                                <w:rPr>
                                  <w:rFonts w:eastAsia="Times New Roman"/>
                                  <w:color w:val="FFFFFF"/>
                                  <w:kern w:val="24"/>
                                  <w:sz w:val="16"/>
                                  <w:szCs w:val="16"/>
                                </w:rPr>
                                <w:t>úkonov</w:t>
                              </w:r>
                              <w:r>
                                <w:rPr>
                                  <w:rFonts w:eastAsia="Times New Roman"/>
                                  <w:color w:val="FFFFFF"/>
                                  <w:kern w:val="24"/>
                                  <w:sz w:val="16"/>
                                  <w:szCs w:val="16"/>
                                </w:rPr>
                                <w:t xml:space="preserve"> </w:t>
                              </w:r>
                              <w:r w:rsidRPr="00042C66">
                                <w:rPr>
                                  <w:rFonts w:eastAsia="Times New Roman"/>
                                  <w:color w:val="FFFFFF"/>
                                  <w:kern w:val="24"/>
                                  <w:sz w:val="16"/>
                                  <w:szCs w:val="16"/>
                                </w:rPr>
                                <w:t>plynúcich</w:t>
                              </w:r>
                              <w:r>
                                <w:rPr>
                                  <w:rFonts w:eastAsia="Times New Roman"/>
                                  <w:color w:val="FFFFFF"/>
                                  <w:kern w:val="24"/>
                                  <w:sz w:val="16"/>
                                  <w:szCs w:val="16"/>
                                </w:rPr>
                                <w:t xml:space="preserve"> </w:t>
                              </w:r>
                              <w:r w:rsidRPr="00042C66">
                                <w:rPr>
                                  <w:rFonts w:eastAsia="Times New Roman"/>
                                  <w:color w:val="FFFFFF"/>
                                  <w:kern w:val="24"/>
                                  <w:sz w:val="16"/>
                                  <w:szCs w:val="16"/>
                                </w:rPr>
                                <w:t>z</w:t>
                              </w:r>
                              <w:r>
                                <w:rPr>
                                  <w:rFonts w:eastAsia="Times New Roman"/>
                                  <w:color w:val="FFFFFF"/>
                                  <w:kern w:val="24"/>
                                  <w:sz w:val="16"/>
                                  <w:szCs w:val="16"/>
                                </w:rPr>
                                <w:t xml:space="preserve"> </w:t>
                              </w:r>
                              <w:r w:rsidRPr="00042C66">
                                <w:rPr>
                                  <w:rFonts w:eastAsia="Times New Roman"/>
                                  <w:color w:val="FFFFFF"/>
                                  <w:kern w:val="24"/>
                                  <w:sz w:val="16"/>
                                  <w:szCs w:val="16"/>
                                </w:rPr>
                                <w:t>regulácie.</w:t>
                              </w:r>
                            </w:p>
                          </w:txbxContent>
                        </wps:txbx>
                        <wps:bodyPr wrap="square" lIns="36000" tIns="36000" rIns="36000" bIns="36000" anchor="ctr"/>
                      </wps:wsp>
                    </wpg:wgp>
                  </a:graphicData>
                </a:graphic>
              </wp:inline>
            </w:drawing>
          </mc:Choice>
          <mc:Fallback>
            <w:pict>
              <v:group w14:anchorId="43EB3F31" id="Group 4" o:spid="_x0000_s1026" style="width:342.4pt;height:200.1pt;mso-position-horizontal-relative:char;mso-position-vertical-relative:line" coordorigin=",-322" coordsize="74036,2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">
                <v:rect id="Rectangle 14" o:spid="_x0000_s1027" style="position:absolute;top:8428;width:20034;height:7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" fillcolor="#00a0de" stroked="f">
                  <v:textbox inset="1mm,1mm,1mm,1mm">
                    <w:txbxContent>
                      <w:p w14:paraId="28447030" w14:textId="77777777" w:rsidR="00142FD9" w:rsidRPr="00042C66" w:rsidRDefault="00142FD9" w:rsidP="00632B65">
                        <w:pPr>
                          <w:pStyle w:val="Normlnywebov"/>
                          <w:jc w:val="center"/>
                          <w:textAlignment w:val="baseline"/>
                        </w:pPr>
                        <w:r w:rsidRPr="00042C66">
                          <w:rPr>
                            <w:rFonts w:eastAsia="Times New Roman"/>
                            <w:iCs/>
                            <w:color w:val="FFFFFF"/>
                            <w:kern w:val="24"/>
                            <w:sz w:val="16"/>
                            <w:szCs w:val="16"/>
                          </w:rPr>
                          <w:t>Celkové</w:t>
                        </w:r>
                        <w:r>
                          <w:rPr>
                            <w:rFonts w:eastAsia="Times New Roman"/>
                            <w:iCs/>
                            <w:color w:val="FFFFFF"/>
                            <w:kern w:val="24"/>
                            <w:sz w:val="16"/>
                            <w:szCs w:val="16"/>
                          </w:rPr>
                          <w:t xml:space="preserve"> </w:t>
                        </w:r>
                        <w:r w:rsidRPr="00042C66">
                          <w:rPr>
                            <w:rFonts w:eastAsia="Times New Roman"/>
                            <w:iCs/>
                            <w:color w:val="FFFFFF"/>
                            <w:kern w:val="24"/>
                            <w:sz w:val="16"/>
                            <w:szCs w:val="16"/>
                          </w:rPr>
                          <w:t>náklady</w:t>
                        </w:r>
                        <w:r>
                          <w:rPr>
                            <w:rFonts w:eastAsia="Times New Roman"/>
                            <w:iCs/>
                            <w:color w:val="FFFFFF"/>
                            <w:kern w:val="24"/>
                            <w:sz w:val="16"/>
                            <w:szCs w:val="16"/>
                          </w:rPr>
                          <w:t xml:space="preserve"> </w:t>
                        </w:r>
                        <w:r w:rsidRPr="00042C66">
                          <w:rPr>
                            <w:rFonts w:eastAsia="Times New Roman"/>
                            <w:color w:val="FFFFFF"/>
                            <w:kern w:val="24"/>
                            <w:sz w:val="16"/>
                            <w:szCs w:val="16"/>
                          </w:rPr>
                          <w:t>spojené</w:t>
                        </w:r>
                        <w:r>
                          <w:rPr>
                            <w:rFonts w:eastAsia="Times New Roman"/>
                            <w:color w:val="FFFFFF"/>
                            <w:kern w:val="24"/>
                            <w:sz w:val="16"/>
                            <w:szCs w:val="16"/>
                          </w:rPr>
                          <w:t xml:space="preserve"> </w:t>
                        </w:r>
                        <w:r w:rsidRPr="00042C66">
                          <w:rPr>
                            <w:rFonts w:eastAsia="Times New Roman"/>
                            <w:color w:val="FFFFFF"/>
                            <w:kern w:val="24"/>
                            <w:sz w:val="16"/>
                            <w:szCs w:val="16"/>
                          </w:rPr>
                          <w:t>s</w:t>
                        </w:r>
                        <w:r>
                          <w:rPr>
                            <w:rFonts w:eastAsia="Times New Roman"/>
                            <w:color w:val="FFFFFF"/>
                            <w:kern w:val="24"/>
                            <w:sz w:val="16"/>
                            <w:szCs w:val="16"/>
                          </w:rPr>
                          <w:t xml:space="preserve"> </w:t>
                        </w:r>
                        <w:r w:rsidRPr="00042C66">
                          <w:rPr>
                            <w:rFonts w:eastAsia="Times New Roman"/>
                            <w:color w:val="FFFFFF"/>
                            <w:kern w:val="24"/>
                            <w:sz w:val="16"/>
                            <w:szCs w:val="16"/>
                          </w:rPr>
                          <w:t>plnením</w:t>
                        </w:r>
                        <w:r>
                          <w:rPr>
                            <w:rFonts w:eastAsia="Times New Roman"/>
                            <w:color w:val="FFFFFF"/>
                            <w:kern w:val="24"/>
                            <w:sz w:val="16"/>
                            <w:szCs w:val="16"/>
                          </w:rPr>
                          <w:t xml:space="preserve"> </w:t>
                        </w:r>
                        <w:r w:rsidRPr="00042C66">
                          <w:rPr>
                            <w:rFonts w:eastAsia="Times New Roman"/>
                            <w:color w:val="FFFFFF"/>
                            <w:kern w:val="24"/>
                            <w:sz w:val="16"/>
                            <w:szCs w:val="16"/>
                          </w:rPr>
                          <w:t>povinností</w:t>
                        </w:r>
                        <w:r>
                          <w:rPr>
                            <w:rFonts w:eastAsia="Times New Roman"/>
                            <w:color w:val="FFFFFF"/>
                            <w:kern w:val="24"/>
                            <w:sz w:val="16"/>
                            <w:szCs w:val="16"/>
                          </w:rPr>
                          <w:t xml:space="preserve"> </w:t>
                        </w:r>
                        <w:r w:rsidRPr="00042C66">
                          <w:rPr>
                            <w:rFonts w:eastAsia="Times New Roman"/>
                            <w:color w:val="FFFFFF"/>
                            <w:kern w:val="24"/>
                            <w:sz w:val="16"/>
                            <w:szCs w:val="16"/>
                          </w:rPr>
                          <w:t>vyplývajúcich</w:t>
                        </w:r>
                        <w:r>
                          <w:rPr>
                            <w:rFonts w:eastAsia="Times New Roman"/>
                            <w:color w:val="FFFFFF"/>
                            <w:kern w:val="24"/>
                            <w:sz w:val="16"/>
                            <w:szCs w:val="16"/>
                          </w:rPr>
                          <w:t xml:space="preserve"> </w:t>
                        </w:r>
                        <w:r w:rsidRPr="00042C66">
                          <w:rPr>
                            <w:rFonts w:eastAsia="Times New Roman"/>
                            <w:color w:val="FFFFFF"/>
                            <w:kern w:val="24"/>
                            <w:sz w:val="16"/>
                            <w:szCs w:val="16"/>
                          </w:rPr>
                          <w:t>podnikateľom</w:t>
                        </w:r>
                        <w:r>
                          <w:rPr>
                            <w:rFonts w:eastAsia="Times New Roman"/>
                            <w:color w:val="FFFFFF"/>
                            <w:kern w:val="24"/>
                            <w:sz w:val="16"/>
                            <w:szCs w:val="16"/>
                          </w:rPr>
                          <w:t xml:space="preserve"> </w:t>
                        </w:r>
                        <w:r w:rsidRPr="00042C66">
                          <w:rPr>
                            <w:rFonts w:eastAsia="Times New Roman"/>
                            <w:iCs/>
                            <w:color w:val="FFFFFF"/>
                            <w:kern w:val="24"/>
                            <w:sz w:val="16"/>
                            <w:szCs w:val="16"/>
                          </w:rPr>
                          <w:t>z</w:t>
                        </w:r>
                        <w:r>
                          <w:rPr>
                            <w:rFonts w:eastAsia="Times New Roman"/>
                            <w:iCs/>
                            <w:color w:val="FFFFFF"/>
                            <w:kern w:val="24"/>
                            <w:sz w:val="16"/>
                            <w:szCs w:val="16"/>
                          </w:rPr>
                          <w:t xml:space="preserve"> </w:t>
                        </w:r>
                        <w:r w:rsidRPr="00042C66">
                          <w:rPr>
                            <w:rFonts w:eastAsia="Times New Roman"/>
                            <w:iCs/>
                            <w:color w:val="FFFFFF"/>
                            <w:kern w:val="24"/>
                            <w:sz w:val="16"/>
                            <w:szCs w:val="16"/>
                          </w:rPr>
                          <w:t>regulácie</w:t>
                        </w:r>
                      </w:p>
                    </w:txbxContent>
                  </v:textbox>
                </v:rect>
                <v:rect id="Rectangle 16" o:spid="_x0000_s1028" style="position:absolute;left:24689;top:981;width:18372;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" fillcolor="#81bc00" stroked="f">
                  <v:textbox inset="1mm,1mm,1mm,1mm">
                    <w:txbxContent>
                      <w:p w14:paraId="1C1D6A9E"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Administratívne</w:t>
                        </w:r>
                        <w:r>
                          <w:rPr>
                            <w:rFonts w:eastAsia="Times New Roman"/>
                            <w:color w:val="FFFFFF"/>
                            <w:kern w:val="24"/>
                            <w:sz w:val="16"/>
                            <w:szCs w:val="16"/>
                          </w:rPr>
                          <w:t xml:space="preserve"> </w:t>
                        </w:r>
                        <w:r w:rsidRPr="00042C66">
                          <w:rPr>
                            <w:rFonts w:eastAsia="Times New Roman"/>
                            <w:color w:val="FFFFFF"/>
                            <w:kern w:val="24"/>
                            <w:sz w:val="16"/>
                            <w:szCs w:val="16"/>
                          </w:rPr>
                          <w:t>náklady</w:t>
                        </w:r>
                      </w:p>
                    </w:txbxContent>
                  </v:textbox>
                </v:rect>
                <v:rect id="Rectangle 21" o:spid="_x0000_s1029" style="position:absolute;left:24689;top:9693;width:18372;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" fillcolor="#00a0de" stroked="f">
                  <v:textbox inset="1mm,1mm,1mm,1mm">
                    <w:txbxContent>
                      <w:p w14:paraId="41E4F02C"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Priame</w:t>
                        </w:r>
                        <w:r>
                          <w:rPr>
                            <w:rFonts w:eastAsia="Times New Roman"/>
                            <w:color w:val="FFFFFF"/>
                            <w:kern w:val="24"/>
                            <w:sz w:val="16"/>
                            <w:szCs w:val="16"/>
                          </w:rPr>
                          <w:t xml:space="preserve"> </w:t>
                        </w:r>
                        <w:r w:rsidRPr="00042C66">
                          <w:rPr>
                            <w:rFonts w:eastAsia="Times New Roman"/>
                            <w:color w:val="FFFFFF"/>
                            <w:kern w:val="24"/>
                            <w:sz w:val="16"/>
                            <w:szCs w:val="16"/>
                          </w:rPr>
                          <w:t>finančné</w:t>
                        </w:r>
                        <w:r>
                          <w:rPr>
                            <w:rFonts w:eastAsia="Times New Roman"/>
                            <w:color w:val="FFFFFF"/>
                            <w:kern w:val="24"/>
                            <w:sz w:val="16"/>
                            <w:szCs w:val="16"/>
                          </w:rPr>
                          <w:t xml:space="preserve"> </w:t>
                        </w:r>
                        <w:r w:rsidRPr="00042C66">
                          <w:rPr>
                            <w:rFonts w:eastAsia="Times New Roman"/>
                            <w:color w:val="FFFFFF"/>
                            <w:kern w:val="24"/>
                            <w:sz w:val="16"/>
                            <w:szCs w:val="16"/>
                          </w:rPr>
                          <w:t>náklady</w:t>
                        </w:r>
                      </w:p>
                    </w:txbxContent>
                  </v:textbox>
                </v:rect>
                <v:rect id="Rectangle 23" o:spid="_x0000_s1030" style="position:absolute;left:24689;top:18731;width:18372;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" fillcolor="#00a0de" stroked="f">
                  <v:textbox inset="1mm,1mm,1mm,1mm">
                    <w:txbxContent>
                      <w:p w14:paraId="244C6056"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Nepriame</w:t>
                        </w:r>
                        <w:r>
                          <w:rPr>
                            <w:rFonts w:eastAsia="Times New Roman"/>
                            <w:color w:val="FFFFFF"/>
                            <w:kern w:val="24"/>
                            <w:sz w:val="16"/>
                            <w:szCs w:val="16"/>
                          </w:rPr>
                          <w:t xml:space="preserve"> </w:t>
                        </w:r>
                        <w:r w:rsidRPr="00042C66">
                          <w:rPr>
                            <w:rFonts w:eastAsia="Times New Roman"/>
                            <w:color w:val="FFFFFF"/>
                            <w:kern w:val="24"/>
                            <w:sz w:val="16"/>
                            <w:szCs w:val="16"/>
                          </w:rPr>
                          <w:t>finančné</w:t>
                        </w:r>
                        <w:r>
                          <w:rPr>
                            <w:rFonts w:eastAsia="Times New Roman"/>
                            <w:color w:val="FFFFFF"/>
                            <w:kern w:val="24"/>
                            <w:sz w:val="16"/>
                            <w:szCs w:val="16"/>
                          </w:rPr>
                          <w:t xml:space="preserve"> </w:t>
                        </w:r>
                        <w:r w:rsidRPr="00042C66">
                          <w:rPr>
                            <w:rFonts w:eastAsia="Times New Roman"/>
                            <w:color w:val="FFFFFF"/>
                            <w:kern w:val="24"/>
                            <w:sz w:val="16"/>
                            <w:szCs w:val="16"/>
                          </w:rPr>
                          <w:t>náklady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31" type="#_x0000_t34" style="position:absolute;left:20034;top:11980;width:4655;height:90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" strokecolor="#006">
                  <v:stroke endarrow="open" joinstyle="round"/>
                </v:shape>
                <v:shape id="Elbow Connector 25" o:spid="_x0000_s1032" type="#_x0000_t34" style="position:absolute;left:20034;top:11980;width:4655;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" strokecolor="#006">
                  <v:stroke endarrow="open" joinstyle="round"/>
                </v:shape>
                <v:shape id="Elbow Connector 26" o:spid="_x0000_s1033" type="#_x0000_t34" style="position:absolute;left:20034;top:3268;width:4655;height:87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" strokecolor="#006">
                  <v:stroke endarrow="open" joinstyle="round"/>
                </v:shape>
                <v:rect id="Rectangle 27" o:spid="_x0000_s1034" style="position:absolute;left:44775;top:16806;width:29261;height:7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" fillcolor="#00a0de" stroked="f">
                  <v:textbox inset="1mm,1mm,1mm,1mm">
                    <w:txbxContent>
                      <w:p w14:paraId="470A2EEA"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Školenia,</w:t>
                        </w:r>
                        <w:r>
                          <w:rPr>
                            <w:rFonts w:eastAsia="Times New Roman"/>
                            <w:color w:val="FFFFFF"/>
                            <w:kern w:val="24"/>
                            <w:sz w:val="16"/>
                            <w:szCs w:val="16"/>
                          </w:rPr>
                          <w:t xml:space="preserve"> </w:t>
                        </w:r>
                        <w:r w:rsidRPr="00042C66">
                          <w:rPr>
                            <w:rFonts w:eastAsia="Times New Roman"/>
                            <w:color w:val="FFFFFF"/>
                            <w:kern w:val="24"/>
                            <w:sz w:val="16"/>
                            <w:szCs w:val="16"/>
                          </w:rPr>
                          <w:t>investície</w:t>
                        </w:r>
                        <w:r>
                          <w:rPr>
                            <w:rFonts w:eastAsia="Times New Roman"/>
                            <w:color w:val="FFFFFF"/>
                            <w:kern w:val="24"/>
                            <w:sz w:val="16"/>
                            <w:szCs w:val="16"/>
                          </w:rPr>
                          <w:t xml:space="preserve"> </w:t>
                        </w:r>
                        <w:r w:rsidRPr="00042C66">
                          <w:rPr>
                            <w:rFonts w:eastAsia="Times New Roman"/>
                            <w:color w:val="FFFFFF"/>
                            <w:kern w:val="24"/>
                            <w:sz w:val="16"/>
                            <w:szCs w:val="16"/>
                          </w:rPr>
                          <w:t>do</w:t>
                        </w:r>
                        <w:r>
                          <w:rPr>
                            <w:rFonts w:eastAsia="Times New Roman"/>
                            <w:color w:val="FFFFFF"/>
                            <w:kern w:val="24"/>
                            <w:sz w:val="16"/>
                            <w:szCs w:val="16"/>
                          </w:rPr>
                          <w:t xml:space="preserve"> </w:t>
                        </w:r>
                        <w:r w:rsidRPr="00042C66">
                          <w:rPr>
                            <w:rFonts w:eastAsia="Times New Roman"/>
                            <w:color w:val="FFFFFF"/>
                            <w:kern w:val="24"/>
                            <w:sz w:val="16"/>
                            <w:szCs w:val="16"/>
                          </w:rPr>
                          <w:t>vybavenia</w:t>
                        </w:r>
                        <w:r>
                          <w:rPr>
                            <w:rFonts w:eastAsia="Times New Roman"/>
                            <w:color w:val="FFFFFF"/>
                            <w:kern w:val="24"/>
                            <w:sz w:val="16"/>
                            <w:szCs w:val="16"/>
                          </w:rPr>
                          <w:t xml:space="preserve">  </w:t>
                        </w:r>
                        <w:r w:rsidRPr="00042C66">
                          <w:rPr>
                            <w:rFonts w:eastAsia="Times New Roman"/>
                            <w:color w:val="FFFFFF"/>
                            <w:kern w:val="24"/>
                            <w:sz w:val="16"/>
                            <w:szCs w:val="16"/>
                          </w:rPr>
                          <w:t>(registračná</w:t>
                        </w:r>
                        <w:r>
                          <w:rPr>
                            <w:rFonts w:eastAsia="Times New Roman"/>
                            <w:color w:val="FFFFFF"/>
                            <w:kern w:val="24"/>
                            <w:sz w:val="16"/>
                            <w:szCs w:val="16"/>
                          </w:rPr>
                          <w:t xml:space="preserve"> </w:t>
                        </w:r>
                        <w:r w:rsidRPr="00042C66">
                          <w:rPr>
                            <w:rFonts w:eastAsia="Times New Roman"/>
                            <w:color w:val="FFFFFF"/>
                            <w:kern w:val="24"/>
                            <w:sz w:val="16"/>
                            <w:szCs w:val="16"/>
                          </w:rPr>
                          <w:t>pokladňa,</w:t>
                        </w:r>
                        <w:r>
                          <w:rPr>
                            <w:rFonts w:eastAsia="Times New Roman"/>
                            <w:color w:val="FFFFFF"/>
                            <w:kern w:val="24"/>
                            <w:sz w:val="16"/>
                            <w:szCs w:val="16"/>
                          </w:rPr>
                          <w:t xml:space="preserve"> </w:t>
                        </w:r>
                        <w:r w:rsidRPr="00042C66">
                          <w:rPr>
                            <w:rFonts w:eastAsia="Times New Roman"/>
                            <w:color w:val="FFFFFF"/>
                            <w:kern w:val="24"/>
                            <w:sz w:val="16"/>
                            <w:szCs w:val="16"/>
                          </w:rPr>
                          <w:t>IT</w:t>
                        </w:r>
                        <w:r>
                          <w:rPr>
                            <w:rFonts w:eastAsia="Times New Roman"/>
                            <w:color w:val="FFFFFF"/>
                            <w:kern w:val="24"/>
                            <w:sz w:val="16"/>
                            <w:szCs w:val="16"/>
                          </w:rPr>
                          <w:t xml:space="preserve"> </w:t>
                        </w:r>
                        <w:r w:rsidRPr="00042C66">
                          <w:rPr>
                            <w:rFonts w:eastAsia="Times New Roman"/>
                            <w:color w:val="FFFFFF"/>
                            <w:kern w:val="24"/>
                            <w:sz w:val="16"/>
                            <w:szCs w:val="16"/>
                          </w:rPr>
                          <w:t>a</w:t>
                        </w:r>
                        <w:r>
                          <w:rPr>
                            <w:rFonts w:eastAsia="Times New Roman"/>
                            <w:color w:val="FFFFFF"/>
                            <w:kern w:val="24"/>
                            <w:sz w:val="16"/>
                            <w:szCs w:val="16"/>
                          </w:rPr>
                          <w:t xml:space="preserve"> </w:t>
                        </w:r>
                        <w:r w:rsidRPr="00042C66">
                          <w:rPr>
                            <w:rFonts w:eastAsia="Times New Roman"/>
                            <w:color w:val="FFFFFF"/>
                            <w:kern w:val="24"/>
                            <w:sz w:val="16"/>
                            <w:szCs w:val="16"/>
                          </w:rPr>
                          <w:t>pod.)</w:t>
                        </w:r>
                        <w:r>
                          <w:rPr>
                            <w:rFonts w:eastAsia="Times New Roman"/>
                            <w:color w:val="FFFFFF"/>
                            <w:kern w:val="24"/>
                            <w:sz w:val="16"/>
                            <w:szCs w:val="16"/>
                          </w:rPr>
                          <w:t xml:space="preserve"> </w:t>
                        </w:r>
                        <w:r w:rsidRPr="00042C66">
                          <w:rPr>
                            <w:rFonts w:eastAsia="Times New Roman"/>
                            <w:color w:val="FFFFFF"/>
                            <w:kern w:val="24"/>
                            <w:sz w:val="16"/>
                            <w:szCs w:val="16"/>
                          </w:rPr>
                          <w:t>,</w:t>
                        </w:r>
                        <w:r>
                          <w:rPr>
                            <w:rFonts w:eastAsia="Times New Roman"/>
                            <w:color w:val="FFFFFF"/>
                            <w:kern w:val="24"/>
                            <w:sz w:val="16"/>
                            <w:szCs w:val="16"/>
                          </w:rPr>
                          <w:t xml:space="preserve"> </w:t>
                        </w:r>
                        <w:r w:rsidRPr="00042C66">
                          <w:rPr>
                            <w:rFonts w:eastAsia="Times New Roman"/>
                            <w:color w:val="FFFFFF"/>
                            <w:kern w:val="24"/>
                            <w:sz w:val="16"/>
                            <w:szCs w:val="16"/>
                          </w:rPr>
                          <w:t>zabezpečenie</w:t>
                        </w:r>
                        <w:r>
                          <w:rPr>
                            <w:rFonts w:eastAsia="Times New Roman"/>
                            <w:color w:val="FFFFFF"/>
                            <w:kern w:val="24"/>
                            <w:sz w:val="16"/>
                            <w:szCs w:val="16"/>
                          </w:rPr>
                          <w:t xml:space="preserve"> </w:t>
                        </w:r>
                        <w:r w:rsidRPr="00042C66">
                          <w:rPr>
                            <w:rFonts w:eastAsia="Times New Roman"/>
                            <w:color w:val="FFFFFF"/>
                            <w:kern w:val="24"/>
                            <w:sz w:val="16"/>
                            <w:szCs w:val="16"/>
                          </w:rPr>
                          <w:t>pitného</w:t>
                        </w:r>
                        <w:r>
                          <w:rPr>
                            <w:rFonts w:eastAsia="Times New Roman"/>
                            <w:color w:val="FFFFFF"/>
                            <w:kern w:val="24"/>
                            <w:sz w:val="16"/>
                            <w:szCs w:val="16"/>
                          </w:rPr>
                          <w:t xml:space="preserve"> </w:t>
                        </w:r>
                        <w:r w:rsidRPr="00042C66">
                          <w:rPr>
                            <w:rFonts w:eastAsia="Times New Roman"/>
                            <w:color w:val="FFFFFF"/>
                            <w:kern w:val="24"/>
                            <w:sz w:val="16"/>
                            <w:szCs w:val="16"/>
                          </w:rPr>
                          <w:t>režimu,</w:t>
                        </w:r>
                        <w:r>
                          <w:rPr>
                            <w:rFonts w:eastAsia="Times New Roman"/>
                            <w:color w:val="FFFFFF"/>
                            <w:kern w:val="24"/>
                            <w:sz w:val="16"/>
                            <w:szCs w:val="16"/>
                          </w:rPr>
                          <w:t xml:space="preserve"> </w:t>
                        </w:r>
                        <w:r w:rsidRPr="00042C66">
                          <w:rPr>
                            <w:rFonts w:eastAsia="Times New Roman"/>
                            <w:color w:val="FFFFFF"/>
                            <w:kern w:val="24"/>
                            <w:sz w:val="16"/>
                            <w:szCs w:val="16"/>
                          </w:rPr>
                          <w:t>atď.</w:t>
                        </w:r>
                        <w:r>
                          <w:rPr>
                            <w:rFonts w:eastAsia="Times New Roman"/>
                            <w:color w:val="FFFFFF"/>
                            <w:kern w:val="24"/>
                            <w:sz w:val="16"/>
                            <w:szCs w:val="16"/>
                          </w:rPr>
                          <w:t xml:space="preserve"> </w:t>
                        </w:r>
                      </w:p>
                    </w:txbxContent>
                  </v:textbox>
                </v:rect>
                <v:rect id="Rectangle 28" o:spid="_x0000_s1035" style="position:absolute;left:44769;top:8200;width:29254;height:7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" fillcolor="#00a0de" stroked="f">
                  <v:textbox inset="1mm,1mm,1mm,1mm">
                    <w:txbxContent>
                      <w:p w14:paraId="36004E19"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Registračné</w:t>
                        </w:r>
                        <w:r>
                          <w:rPr>
                            <w:rFonts w:eastAsia="Times New Roman"/>
                            <w:color w:val="FFFFFF"/>
                            <w:kern w:val="24"/>
                            <w:sz w:val="16"/>
                            <w:szCs w:val="16"/>
                          </w:rPr>
                          <w:t xml:space="preserve"> </w:t>
                        </w:r>
                        <w:r w:rsidRPr="00042C66">
                          <w:rPr>
                            <w:rFonts w:eastAsia="Times New Roman"/>
                            <w:color w:val="FFFFFF"/>
                            <w:kern w:val="24"/>
                            <w:sz w:val="16"/>
                            <w:szCs w:val="16"/>
                          </w:rPr>
                          <w:t>poplatky,</w:t>
                        </w:r>
                        <w:r>
                          <w:rPr>
                            <w:rFonts w:eastAsia="Times New Roman"/>
                            <w:color w:val="FFFFFF"/>
                            <w:kern w:val="24"/>
                            <w:sz w:val="16"/>
                            <w:szCs w:val="16"/>
                          </w:rPr>
                          <w:t xml:space="preserve"> </w:t>
                        </w:r>
                        <w:r w:rsidRPr="00042C66">
                          <w:rPr>
                            <w:rFonts w:eastAsia="Times New Roman"/>
                            <w:color w:val="FFFFFF"/>
                            <w:kern w:val="24"/>
                            <w:sz w:val="16"/>
                            <w:szCs w:val="16"/>
                          </w:rPr>
                          <w:t>správne</w:t>
                        </w:r>
                        <w:r>
                          <w:rPr>
                            <w:rFonts w:eastAsia="Times New Roman"/>
                            <w:color w:val="FFFFFF"/>
                            <w:kern w:val="24"/>
                            <w:sz w:val="16"/>
                            <w:szCs w:val="16"/>
                          </w:rPr>
                          <w:t xml:space="preserve"> </w:t>
                        </w:r>
                        <w:r w:rsidRPr="00042C66">
                          <w:rPr>
                            <w:rFonts w:eastAsia="Times New Roman"/>
                            <w:color w:val="FFFFFF"/>
                            <w:kern w:val="24"/>
                            <w:sz w:val="16"/>
                            <w:szCs w:val="16"/>
                          </w:rPr>
                          <w:t>poplatky,</w:t>
                        </w:r>
                        <w:r>
                          <w:rPr>
                            <w:rFonts w:eastAsia="Times New Roman"/>
                            <w:color w:val="FFFFFF"/>
                            <w:kern w:val="24"/>
                            <w:sz w:val="16"/>
                            <w:szCs w:val="16"/>
                          </w:rPr>
                          <w:t xml:space="preserve"> </w:t>
                        </w:r>
                        <w:r w:rsidRPr="00042C66">
                          <w:rPr>
                            <w:rFonts w:eastAsia="Times New Roman"/>
                            <w:color w:val="FFFFFF"/>
                            <w:kern w:val="24"/>
                            <w:sz w:val="16"/>
                            <w:szCs w:val="16"/>
                          </w:rPr>
                          <w:t>kolky,</w:t>
                        </w:r>
                        <w:r>
                          <w:rPr>
                            <w:rFonts w:eastAsia="Times New Roman"/>
                            <w:color w:val="FFFFFF"/>
                            <w:kern w:val="24"/>
                            <w:sz w:val="16"/>
                            <w:szCs w:val="16"/>
                          </w:rPr>
                          <w:t xml:space="preserve"> </w:t>
                        </w:r>
                        <w:r w:rsidRPr="00042C66">
                          <w:rPr>
                            <w:rFonts w:eastAsia="Times New Roman"/>
                            <w:color w:val="FFFFFF"/>
                            <w:kern w:val="24"/>
                            <w:sz w:val="16"/>
                            <w:szCs w:val="16"/>
                          </w:rPr>
                          <w:t>poistné,</w:t>
                        </w:r>
                        <w:r>
                          <w:rPr>
                            <w:rFonts w:eastAsia="Times New Roman"/>
                            <w:color w:val="FFFFFF"/>
                            <w:kern w:val="24"/>
                            <w:sz w:val="16"/>
                            <w:szCs w:val="16"/>
                          </w:rPr>
                          <w:t xml:space="preserve"> </w:t>
                        </w:r>
                        <w:r w:rsidRPr="00042C66">
                          <w:rPr>
                            <w:rFonts w:eastAsia="Times New Roman"/>
                            <w:color w:val="FFFFFF"/>
                            <w:kern w:val="24"/>
                            <w:sz w:val="16"/>
                            <w:szCs w:val="16"/>
                          </w:rPr>
                          <w:t>dane,</w:t>
                        </w:r>
                        <w:r>
                          <w:rPr>
                            <w:rFonts w:eastAsia="Times New Roman"/>
                            <w:color w:val="FFFFFF"/>
                            <w:kern w:val="24"/>
                            <w:sz w:val="16"/>
                            <w:szCs w:val="16"/>
                          </w:rPr>
                          <w:t xml:space="preserve"> </w:t>
                        </w:r>
                        <w:r w:rsidRPr="00042C66">
                          <w:rPr>
                            <w:rFonts w:eastAsia="Times New Roman"/>
                            <w:color w:val="FFFFFF"/>
                            <w:kern w:val="24"/>
                            <w:sz w:val="16"/>
                            <w:szCs w:val="16"/>
                          </w:rPr>
                          <w:t>clá</w:t>
                        </w:r>
                        <w:r>
                          <w:rPr>
                            <w:rFonts w:eastAsia="Times New Roman"/>
                            <w:color w:val="FFFFFF"/>
                            <w:kern w:val="24"/>
                            <w:sz w:val="16"/>
                            <w:szCs w:val="16"/>
                          </w:rPr>
                          <w:t xml:space="preserve"> </w:t>
                        </w:r>
                        <w:r w:rsidRPr="00042C66">
                          <w:rPr>
                            <w:rFonts w:eastAsia="Times New Roman"/>
                            <w:color w:val="FFFFFF"/>
                            <w:kern w:val="24"/>
                            <w:sz w:val="16"/>
                            <w:szCs w:val="16"/>
                          </w:rPr>
                          <w:t>atď.</w:t>
                        </w:r>
                      </w:p>
                    </w:txbxContent>
                  </v:textbox>
                </v:rect>
                <v:rect id="Rectangle 29" o:spid="_x0000_s1036" style="position:absolute;left:44775;top:-322;width:29254;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" fillcolor="#81bc00" stroked="f">
                  <v:textbox inset="1mm,1mm,1mm,1mm">
                    <w:txbxContent>
                      <w:p w14:paraId="38A624E4" w14:textId="77777777" w:rsidR="00142FD9" w:rsidRPr="00042C66" w:rsidRDefault="00142FD9" w:rsidP="00632B65">
                        <w:pPr>
                          <w:pStyle w:val="Normlnywebov"/>
                          <w:jc w:val="center"/>
                          <w:textAlignment w:val="baseline"/>
                        </w:pPr>
                        <w:r w:rsidRPr="00042C66">
                          <w:rPr>
                            <w:rFonts w:eastAsia="Times New Roman"/>
                            <w:color w:val="FFFFFF"/>
                            <w:kern w:val="24"/>
                            <w:sz w:val="16"/>
                            <w:szCs w:val="16"/>
                          </w:rPr>
                          <w:t>Ocenenie</w:t>
                        </w:r>
                        <w:r>
                          <w:rPr>
                            <w:rFonts w:eastAsia="Times New Roman"/>
                            <w:color w:val="FFFFFF"/>
                            <w:kern w:val="24"/>
                            <w:sz w:val="16"/>
                            <w:szCs w:val="16"/>
                          </w:rPr>
                          <w:t xml:space="preserve"> </w:t>
                        </w:r>
                        <w:r w:rsidRPr="00042C66">
                          <w:rPr>
                            <w:rFonts w:eastAsia="Times New Roman"/>
                            <w:color w:val="FFFFFF"/>
                            <w:kern w:val="24"/>
                            <w:sz w:val="16"/>
                            <w:szCs w:val="16"/>
                          </w:rPr>
                          <w:t>času</w:t>
                        </w:r>
                        <w:r>
                          <w:rPr>
                            <w:rFonts w:eastAsia="Times New Roman"/>
                            <w:color w:val="FFFFFF"/>
                            <w:kern w:val="24"/>
                            <w:sz w:val="16"/>
                            <w:szCs w:val="16"/>
                          </w:rPr>
                          <w:t xml:space="preserve"> </w:t>
                        </w:r>
                        <w:r w:rsidRPr="00042C66">
                          <w:rPr>
                            <w:rFonts w:eastAsia="Times New Roman"/>
                            <w:color w:val="FFFFFF"/>
                            <w:kern w:val="24"/>
                            <w:sz w:val="16"/>
                            <w:szCs w:val="16"/>
                          </w:rPr>
                          <w:t>stráveného</w:t>
                        </w:r>
                        <w:r>
                          <w:rPr>
                            <w:rFonts w:eastAsia="Times New Roman"/>
                            <w:color w:val="FFFFFF"/>
                            <w:kern w:val="24"/>
                            <w:sz w:val="16"/>
                            <w:szCs w:val="16"/>
                          </w:rPr>
                          <w:t xml:space="preserve"> </w:t>
                        </w:r>
                        <w:r w:rsidRPr="00042C66">
                          <w:rPr>
                            <w:rFonts w:eastAsia="Times New Roman"/>
                            <w:color w:val="FFFFFF"/>
                            <w:kern w:val="24"/>
                            <w:sz w:val="16"/>
                            <w:szCs w:val="16"/>
                          </w:rPr>
                          <w:t>plnením</w:t>
                        </w:r>
                        <w:r>
                          <w:rPr>
                            <w:rFonts w:eastAsia="Times New Roman"/>
                            <w:color w:val="FFFFFF"/>
                            <w:kern w:val="24"/>
                            <w:sz w:val="16"/>
                            <w:szCs w:val="16"/>
                          </w:rPr>
                          <w:t xml:space="preserve"> </w:t>
                        </w:r>
                        <w:r w:rsidRPr="00042C66">
                          <w:rPr>
                            <w:rFonts w:eastAsia="Times New Roman"/>
                            <w:color w:val="FFFFFF"/>
                            <w:kern w:val="24"/>
                            <w:sz w:val="16"/>
                            <w:szCs w:val="16"/>
                          </w:rPr>
                          <w:t>administratívnych</w:t>
                        </w:r>
                        <w:r>
                          <w:rPr>
                            <w:rFonts w:eastAsia="Times New Roman"/>
                            <w:color w:val="FFFFFF"/>
                            <w:kern w:val="24"/>
                            <w:sz w:val="16"/>
                            <w:szCs w:val="16"/>
                          </w:rPr>
                          <w:t xml:space="preserve"> </w:t>
                        </w:r>
                        <w:r w:rsidRPr="00042C66">
                          <w:rPr>
                            <w:rFonts w:eastAsia="Times New Roman"/>
                            <w:color w:val="FFFFFF"/>
                            <w:kern w:val="24"/>
                            <w:sz w:val="16"/>
                            <w:szCs w:val="16"/>
                          </w:rPr>
                          <w:t>úkonov</w:t>
                        </w:r>
                        <w:r>
                          <w:rPr>
                            <w:rFonts w:eastAsia="Times New Roman"/>
                            <w:color w:val="FFFFFF"/>
                            <w:kern w:val="24"/>
                            <w:sz w:val="16"/>
                            <w:szCs w:val="16"/>
                          </w:rPr>
                          <w:t xml:space="preserve"> </w:t>
                        </w:r>
                        <w:r w:rsidRPr="00042C66">
                          <w:rPr>
                            <w:rFonts w:eastAsia="Times New Roman"/>
                            <w:color w:val="FFFFFF"/>
                            <w:kern w:val="24"/>
                            <w:sz w:val="16"/>
                            <w:szCs w:val="16"/>
                          </w:rPr>
                          <w:t>plynúcich</w:t>
                        </w:r>
                        <w:r>
                          <w:rPr>
                            <w:rFonts w:eastAsia="Times New Roman"/>
                            <w:color w:val="FFFFFF"/>
                            <w:kern w:val="24"/>
                            <w:sz w:val="16"/>
                            <w:szCs w:val="16"/>
                          </w:rPr>
                          <w:t xml:space="preserve"> </w:t>
                        </w:r>
                        <w:r w:rsidRPr="00042C66">
                          <w:rPr>
                            <w:rFonts w:eastAsia="Times New Roman"/>
                            <w:color w:val="FFFFFF"/>
                            <w:kern w:val="24"/>
                            <w:sz w:val="16"/>
                            <w:szCs w:val="16"/>
                          </w:rPr>
                          <w:t>z</w:t>
                        </w:r>
                        <w:r>
                          <w:rPr>
                            <w:rFonts w:eastAsia="Times New Roman"/>
                            <w:color w:val="FFFFFF"/>
                            <w:kern w:val="24"/>
                            <w:sz w:val="16"/>
                            <w:szCs w:val="16"/>
                          </w:rPr>
                          <w:t xml:space="preserve"> </w:t>
                        </w:r>
                        <w:r w:rsidRPr="00042C66">
                          <w:rPr>
                            <w:rFonts w:eastAsia="Times New Roman"/>
                            <w:color w:val="FFFFFF"/>
                            <w:kern w:val="24"/>
                            <w:sz w:val="16"/>
                            <w:szCs w:val="16"/>
                          </w:rPr>
                          <w:t>regulácie.</w:t>
                        </w:r>
                      </w:p>
                    </w:txbxContent>
                  </v:textbox>
                </v:rect>
                <w10:anchorlock/>
              </v:group>
            </w:pict>
          </mc:Fallback>
        </mc:AlternateContent>
      </w:r>
    </w:p>
    <w:p w14:paraId="6CA1D2E4" w14:textId="77777777" w:rsidR="00632B65" w:rsidRPr="001E4B49" w:rsidRDefault="00632B65" w:rsidP="00632B65">
      <w:pPr>
        <w:pStyle w:val="BodyText1"/>
        <w:spacing w:line="276" w:lineRule="auto"/>
        <w:jc w:val="both"/>
        <w:rPr>
          <w:rFonts w:ascii="Times New Roman" w:eastAsiaTheme="minorHAnsi" w:hAnsi="Times New Roman"/>
          <w:color w:val="auto"/>
          <w:sz w:val="24"/>
          <w:szCs w:val="22"/>
        </w:rPr>
      </w:pPr>
      <w:r w:rsidRPr="001E4B49">
        <w:rPr>
          <w:rFonts w:ascii="Times New Roman" w:hAnsi="Times New Roman"/>
          <w:sz w:val="24"/>
        </w:rPr>
        <w:t>Kalkulácia nákladov regulácie vychádza z metodiky štandardného nákladového modelu (SCM).</w:t>
      </w:r>
      <w:r w:rsidRPr="001E4B49">
        <w:rPr>
          <w:rFonts w:ascii="Times New Roman" w:eastAsiaTheme="minorHAnsi" w:hAnsi="Times New Roman"/>
          <w:color w:val="auto"/>
          <w:sz w:val="24"/>
          <w:szCs w:val="22"/>
        </w:rPr>
        <w:t xml:space="preserve"> Jej podstatou je rozklad regulácie a paragrafového znenia do súboru menších, ľahšie merateľných komponentov – povinností, s následným nákladovým vyjadrením ich plnenia. </w:t>
      </w:r>
    </w:p>
    <w:p w14:paraId="1724544A" w14:textId="77777777" w:rsidR="00632B65" w:rsidRPr="001E4B49" w:rsidRDefault="00632B65" w:rsidP="00632B65">
      <w:pPr>
        <w:pStyle w:val="BodyText1"/>
        <w:spacing w:after="240" w:line="276" w:lineRule="auto"/>
        <w:jc w:val="both"/>
        <w:rPr>
          <w:rFonts w:ascii="Times New Roman" w:eastAsiaTheme="minorHAnsi" w:hAnsi="Times New Roman"/>
          <w:color w:val="auto"/>
          <w:sz w:val="24"/>
          <w:szCs w:val="22"/>
        </w:rPr>
      </w:pPr>
      <w:r w:rsidRPr="001E4B49">
        <w:rPr>
          <w:rFonts w:ascii="Times New Roman" w:eastAsiaTheme="minorHAnsi" w:hAnsi="Times New Roman"/>
          <w:color w:val="auto"/>
          <w:sz w:val="24"/>
          <w:szCs w:val="22"/>
        </w:rPr>
        <w:t>Vyčíslenie nákladov jednej povinnosti je založené na postupnosti štyroch jednoduchých krokov, ktoré musí predkladateľ v rámci kalkulácie vykonať:</w:t>
      </w:r>
    </w:p>
    <w:p w14:paraId="67C25E3E" w14:textId="77777777" w:rsidR="00632B65" w:rsidRPr="001E4B49" w:rsidRDefault="00632B65" w:rsidP="00632B65">
      <w:pPr>
        <w:pStyle w:val="BodyText1"/>
        <w:spacing w:line="276" w:lineRule="auto"/>
        <w:jc w:val="both"/>
        <w:rPr>
          <w:rFonts w:ascii="Times New Roman" w:eastAsiaTheme="minorHAnsi" w:hAnsi="Times New Roman"/>
          <w:color w:val="auto"/>
          <w:sz w:val="24"/>
          <w:szCs w:val="22"/>
        </w:rPr>
      </w:pPr>
      <w:r w:rsidRPr="001E4B49">
        <w:rPr>
          <w:rFonts w:ascii="Times New Roman" w:eastAsiaTheme="minorHAnsi" w:hAnsi="Times New Roman"/>
          <w:b/>
          <w:color w:val="auto"/>
          <w:sz w:val="24"/>
          <w:szCs w:val="22"/>
        </w:rPr>
        <w:t>Krok 1 – Stanovenie časovej náročnosti plnenia povinností</w:t>
      </w:r>
    </w:p>
    <w:p w14:paraId="26A655AE" w14:textId="77777777" w:rsidR="00632B65" w:rsidRPr="001E4B49" w:rsidRDefault="00632B65" w:rsidP="00632B65">
      <w:pPr>
        <w:pStyle w:val="BodyText1"/>
        <w:jc w:val="both"/>
        <w:rPr>
          <w:rFonts w:ascii="Times New Roman" w:eastAsiaTheme="minorHAnsi" w:hAnsi="Times New Roman"/>
          <w:color w:val="auto"/>
          <w:sz w:val="24"/>
          <w:szCs w:val="22"/>
        </w:rPr>
      </w:pPr>
      <w:r w:rsidRPr="001E4B49">
        <w:rPr>
          <w:rFonts w:ascii="Times New Roman" w:eastAsiaTheme="minorHAnsi" w:hAnsi="Times New Roman"/>
          <w:color w:val="auto"/>
          <w:sz w:val="24"/>
          <w:szCs w:val="22"/>
        </w:rPr>
        <w:t>Pri priraďovaní časovej náročnosti plnenia povinnosti je možné využiť dva základné prístupy:</w:t>
      </w:r>
    </w:p>
    <w:p w14:paraId="5631AFEE" w14:textId="77777777" w:rsidR="00632B65" w:rsidRPr="001E4B49" w:rsidRDefault="00632B65" w:rsidP="00632B65">
      <w:pPr>
        <w:pStyle w:val="BodyText1"/>
        <w:numPr>
          <w:ilvl w:val="0"/>
          <w:numId w:val="29"/>
        </w:numPr>
        <w:jc w:val="both"/>
        <w:rPr>
          <w:rFonts w:ascii="Times New Roman" w:eastAsiaTheme="minorHAnsi" w:hAnsi="Times New Roman"/>
          <w:i/>
          <w:color w:val="auto"/>
          <w:sz w:val="24"/>
          <w:szCs w:val="22"/>
        </w:rPr>
      </w:pPr>
      <w:r w:rsidRPr="001E4B49">
        <w:rPr>
          <w:rFonts w:ascii="Times New Roman" w:eastAsiaTheme="minorHAnsi" w:hAnsi="Times New Roman"/>
          <w:i/>
          <w:color w:val="auto"/>
          <w:sz w:val="24"/>
          <w:szCs w:val="22"/>
        </w:rPr>
        <w:t xml:space="preserve">Štandardná časová náročnosť povinnosti (min.)  </w:t>
      </w:r>
    </w:p>
    <w:p w14:paraId="4B370E62" w14:textId="77777777" w:rsidR="00632B65" w:rsidRPr="001E4B49" w:rsidRDefault="00632B65" w:rsidP="00632B65">
      <w:pPr>
        <w:pStyle w:val="BodyText1"/>
        <w:spacing w:line="276" w:lineRule="auto"/>
        <w:ind w:left="708"/>
        <w:jc w:val="both"/>
        <w:rPr>
          <w:rFonts w:ascii="Times New Roman" w:hAnsi="Times New Roman"/>
          <w:i/>
        </w:rPr>
      </w:pPr>
      <w:r w:rsidRPr="001E4B49">
        <w:rPr>
          <w:rFonts w:ascii="Times New Roman" w:eastAsiaTheme="minorHAnsi" w:hAnsi="Times New Roman"/>
          <w:color w:val="auto"/>
          <w:sz w:val="24"/>
          <w:szCs w:val="22"/>
        </w:rPr>
        <w:t>Predkladateľ vyberie jednu z 10  typických informačných povinností, ktorým sú priradené štandardizované časové náročnosti uvedené v tabuľke. V prípade, že by sa jednalo o obšírnejšiu povinnosť, je možné v rámci jednej povinnosti zvoliť kombináciu až troch typických informačných povinností (napr. povinnosť vypracovania dokumentu a jeho predloženie príslušnému úradu).</w:t>
      </w:r>
      <w:r w:rsidRPr="001E4B49">
        <w:rPr>
          <w:rFonts w:ascii="Times New Roman" w:hAnsi="Times New Roman"/>
          <w:i/>
        </w:rPr>
        <w:br w:type="page"/>
      </w:r>
    </w:p>
    <w:tbl>
      <w:tblPr>
        <w:tblpPr w:leftFromText="181" w:rightFromText="181" w:vertAnchor="page" w:horzAnchor="margin" w:tblpY="1711"/>
        <w:tblOverlap w:val="never"/>
        <w:tblW w:w="5000" w:type="pct"/>
        <w:tblLayout w:type="fixed"/>
        <w:tblCellMar>
          <w:left w:w="28" w:type="dxa"/>
          <w:right w:w="28" w:type="dxa"/>
        </w:tblCellMar>
        <w:tblLook w:val="04A0" w:firstRow="1" w:lastRow="0" w:firstColumn="1" w:lastColumn="0" w:noHBand="0" w:noVBand="1"/>
      </w:tblPr>
      <w:tblGrid>
        <w:gridCol w:w="3701"/>
        <w:gridCol w:w="947"/>
        <w:gridCol w:w="1597"/>
        <w:gridCol w:w="1250"/>
        <w:gridCol w:w="1577"/>
      </w:tblGrid>
      <w:tr w:rsidR="00632B65" w:rsidRPr="001E4B49" w14:paraId="077E8C63" w14:textId="77777777" w:rsidTr="001E4B49">
        <w:trPr>
          <w:trHeight w:val="170"/>
        </w:trPr>
        <w:tc>
          <w:tcPr>
            <w:tcW w:w="2040" w:type="pct"/>
            <w:shd w:val="clear" w:color="auto" w:fill="92D400"/>
            <w:vAlign w:val="center"/>
            <w:hideMark/>
          </w:tcPr>
          <w:p w14:paraId="1A2FA609" w14:textId="77777777" w:rsidR="00632B65" w:rsidRPr="001E4B49" w:rsidRDefault="00632B65" w:rsidP="001E4B49">
            <w:pPr>
              <w:jc w:val="center"/>
              <w:rPr>
                <w:b/>
                <w:color w:val="FFFFFF" w:themeColor="background1"/>
                <w:szCs w:val="16"/>
              </w:rPr>
            </w:pPr>
            <w:r w:rsidRPr="001E4B49">
              <w:rPr>
                <w:b/>
                <w:color w:val="FFFFFF" w:themeColor="background1"/>
                <w:szCs w:val="16"/>
              </w:rPr>
              <w:t>Typické IP</w:t>
            </w:r>
          </w:p>
        </w:tc>
        <w:tc>
          <w:tcPr>
            <w:tcW w:w="522" w:type="pct"/>
            <w:shd w:val="clear" w:color="auto" w:fill="92D400"/>
            <w:vAlign w:val="center"/>
          </w:tcPr>
          <w:p w14:paraId="31017858" w14:textId="77777777" w:rsidR="00632B65" w:rsidRPr="001E4B49" w:rsidRDefault="00632B65" w:rsidP="001E4B49">
            <w:pPr>
              <w:jc w:val="center"/>
              <w:rPr>
                <w:b/>
                <w:color w:val="FFFFFF" w:themeColor="background1"/>
                <w:szCs w:val="16"/>
              </w:rPr>
            </w:pPr>
            <w:r w:rsidRPr="001E4B49">
              <w:rPr>
                <w:b/>
                <w:color w:val="FFFFFF" w:themeColor="background1"/>
                <w:szCs w:val="16"/>
              </w:rPr>
              <w:t>Mikro</w:t>
            </w:r>
          </w:p>
        </w:tc>
        <w:tc>
          <w:tcPr>
            <w:tcW w:w="880" w:type="pct"/>
            <w:shd w:val="clear" w:color="auto" w:fill="92D400"/>
            <w:vAlign w:val="center"/>
          </w:tcPr>
          <w:p w14:paraId="20728FFA" w14:textId="77777777" w:rsidR="00632B65" w:rsidRPr="001E4B49" w:rsidRDefault="00632B65" w:rsidP="001E4B49">
            <w:pPr>
              <w:jc w:val="center"/>
              <w:rPr>
                <w:b/>
                <w:color w:val="FFFFFF" w:themeColor="background1"/>
                <w:szCs w:val="16"/>
              </w:rPr>
            </w:pPr>
            <w:r w:rsidRPr="001E4B49">
              <w:rPr>
                <w:b/>
                <w:color w:val="FFFFFF" w:themeColor="background1"/>
                <w:szCs w:val="16"/>
              </w:rPr>
              <w:t>Malé a stredné</w:t>
            </w:r>
          </w:p>
        </w:tc>
        <w:tc>
          <w:tcPr>
            <w:tcW w:w="689" w:type="pct"/>
            <w:tcBorders>
              <w:right w:val="single" w:sz="8" w:space="0" w:color="92D050"/>
            </w:tcBorders>
            <w:shd w:val="clear" w:color="auto" w:fill="92D400"/>
            <w:vAlign w:val="center"/>
          </w:tcPr>
          <w:p w14:paraId="660A32A6" w14:textId="77777777" w:rsidR="00632B65" w:rsidRPr="001E4B49" w:rsidRDefault="00632B65" w:rsidP="001E4B49">
            <w:pPr>
              <w:jc w:val="center"/>
              <w:rPr>
                <w:b/>
                <w:color w:val="FFFFFF" w:themeColor="background1"/>
                <w:szCs w:val="16"/>
              </w:rPr>
            </w:pPr>
            <w:r w:rsidRPr="001E4B49">
              <w:rPr>
                <w:b/>
                <w:color w:val="FFFFFF" w:themeColor="background1"/>
                <w:szCs w:val="16"/>
              </w:rPr>
              <w:t>Veľké</w:t>
            </w:r>
          </w:p>
        </w:tc>
        <w:tc>
          <w:tcPr>
            <w:tcW w:w="869" w:type="pct"/>
            <w:tcBorders>
              <w:left w:val="single" w:sz="8" w:space="0" w:color="92D050"/>
            </w:tcBorders>
            <w:shd w:val="clear" w:color="auto" w:fill="92D400"/>
            <w:vAlign w:val="center"/>
            <w:hideMark/>
          </w:tcPr>
          <w:p w14:paraId="3045F96D" w14:textId="77777777" w:rsidR="00632B65" w:rsidRPr="001E4B49" w:rsidRDefault="00632B65" w:rsidP="001E4B49">
            <w:pPr>
              <w:jc w:val="center"/>
              <w:rPr>
                <w:b/>
                <w:color w:val="FFFFFF" w:themeColor="background1"/>
                <w:szCs w:val="16"/>
              </w:rPr>
            </w:pPr>
            <w:r w:rsidRPr="001E4B49">
              <w:rPr>
                <w:b/>
                <w:color w:val="FFFFFF" w:themeColor="background1"/>
                <w:szCs w:val="16"/>
              </w:rPr>
              <w:t>Vážený priemer použitý pre kalkuláciu</w:t>
            </w:r>
          </w:p>
        </w:tc>
      </w:tr>
      <w:tr w:rsidR="00632B65" w:rsidRPr="001E4B49" w14:paraId="25F7259B" w14:textId="77777777" w:rsidTr="001E4B49">
        <w:trPr>
          <w:trHeight w:val="170"/>
        </w:trPr>
        <w:tc>
          <w:tcPr>
            <w:tcW w:w="2040" w:type="pct"/>
            <w:tcBorders>
              <w:top w:val="nil"/>
              <w:left w:val="nil"/>
              <w:bottom w:val="single" w:sz="4" w:space="0" w:color="92D400"/>
              <w:right w:val="nil"/>
            </w:tcBorders>
            <w:vAlign w:val="center"/>
            <w:hideMark/>
          </w:tcPr>
          <w:p w14:paraId="1CDC77E0" w14:textId="77777777" w:rsidR="00632B65" w:rsidRPr="001E4B49" w:rsidRDefault="00632B65" w:rsidP="001E4B49">
            <w:pPr>
              <w:rPr>
                <w:sz w:val="16"/>
                <w:szCs w:val="16"/>
              </w:rPr>
            </w:pPr>
            <w:r w:rsidRPr="001E4B49">
              <w:rPr>
                <w:bCs/>
                <w:color w:val="000000"/>
                <w:sz w:val="16"/>
                <w:szCs w:val="16"/>
              </w:rPr>
              <w:t>Archivácia</w:t>
            </w:r>
          </w:p>
        </w:tc>
        <w:tc>
          <w:tcPr>
            <w:tcW w:w="522" w:type="pct"/>
            <w:tcBorders>
              <w:top w:val="nil"/>
              <w:left w:val="nil"/>
              <w:bottom w:val="single" w:sz="4" w:space="0" w:color="92D400"/>
              <w:right w:val="nil"/>
            </w:tcBorders>
            <w:vAlign w:val="center"/>
          </w:tcPr>
          <w:p w14:paraId="50EF91E8" w14:textId="77777777" w:rsidR="00632B65" w:rsidRPr="001E4B49" w:rsidRDefault="00632B65" w:rsidP="001E4B49">
            <w:pPr>
              <w:jc w:val="center"/>
              <w:rPr>
                <w:sz w:val="16"/>
                <w:szCs w:val="16"/>
              </w:rPr>
            </w:pPr>
            <w:r w:rsidRPr="001E4B49">
              <w:rPr>
                <w:sz w:val="16"/>
                <w:szCs w:val="16"/>
              </w:rPr>
              <w:t xml:space="preserve">  45</w:t>
            </w:r>
          </w:p>
        </w:tc>
        <w:tc>
          <w:tcPr>
            <w:tcW w:w="880" w:type="pct"/>
            <w:tcBorders>
              <w:top w:val="nil"/>
              <w:left w:val="nil"/>
              <w:bottom w:val="single" w:sz="4" w:space="0" w:color="92D400"/>
              <w:right w:val="nil"/>
            </w:tcBorders>
            <w:vAlign w:val="center"/>
          </w:tcPr>
          <w:p w14:paraId="11BD60B4" w14:textId="77777777" w:rsidR="00632B65" w:rsidRPr="001E4B49" w:rsidRDefault="00632B65" w:rsidP="001E4B49">
            <w:pPr>
              <w:jc w:val="center"/>
              <w:rPr>
                <w:sz w:val="16"/>
                <w:szCs w:val="16"/>
              </w:rPr>
            </w:pPr>
            <w:r w:rsidRPr="001E4B49">
              <w:rPr>
                <w:sz w:val="16"/>
                <w:szCs w:val="16"/>
              </w:rPr>
              <w:t xml:space="preserve">  90</w:t>
            </w:r>
          </w:p>
        </w:tc>
        <w:tc>
          <w:tcPr>
            <w:tcW w:w="689" w:type="pct"/>
            <w:tcBorders>
              <w:top w:val="nil"/>
              <w:left w:val="nil"/>
              <w:bottom w:val="single" w:sz="4" w:space="0" w:color="92D400"/>
              <w:right w:val="single" w:sz="8" w:space="0" w:color="92D050"/>
            </w:tcBorders>
            <w:vAlign w:val="center"/>
          </w:tcPr>
          <w:p w14:paraId="293390B0" w14:textId="77777777" w:rsidR="00632B65" w:rsidRPr="001E4B49" w:rsidRDefault="00632B65" w:rsidP="001E4B49">
            <w:pPr>
              <w:jc w:val="center"/>
              <w:rPr>
                <w:sz w:val="16"/>
                <w:szCs w:val="16"/>
              </w:rPr>
            </w:pPr>
            <w:r w:rsidRPr="001E4B49">
              <w:rPr>
                <w:sz w:val="16"/>
                <w:szCs w:val="16"/>
              </w:rPr>
              <w:t xml:space="preserve">  180</w:t>
            </w:r>
          </w:p>
        </w:tc>
        <w:tc>
          <w:tcPr>
            <w:tcW w:w="869" w:type="pct"/>
            <w:tcBorders>
              <w:top w:val="nil"/>
              <w:left w:val="single" w:sz="8" w:space="0" w:color="92D050"/>
              <w:bottom w:val="single" w:sz="4" w:space="0" w:color="92D400"/>
              <w:right w:val="nil"/>
            </w:tcBorders>
            <w:vAlign w:val="center"/>
            <w:hideMark/>
          </w:tcPr>
          <w:p w14:paraId="3A428BBA" w14:textId="77777777" w:rsidR="00632B65" w:rsidRPr="001E4B49" w:rsidRDefault="00632B65" w:rsidP="001E4B49">
            <w:pPr>
              <w:jc w:val="center"/>
              <w:rPr>
                <w:b/>
                <w:sz w:val="16"/>
                <w:szCs w:val="16"/>
              </w:rPr>
            </w:pPr>
            <w:r w:rsidRPr="001E4B49">
              <w:rPr>
                <w:b/>
                <w:sz w:val="16"/>
                <w:szCs w:val="16"/>
              </w:rPr>
              <w:t xml:space="preserve">  60 min.</w:t>
            </w:r>
          </w:p>
        </w:tc>
      </w:tr>
      <w:tr w:rsidR="00632B65" w:rsidRPr="001E4B49" w14:paraId="0C0173BC" w14:textId="77777777" w:rsidTr="001E4B49">
        <w:trPr>
          <w:trHeight w:val="170"/>
        </w:trPr>
        <w:tc>
          <w:tcPr>
            <w:tcW w:w="2040" w:type="pct"/>
            <w:tcBorders>
              <w:top w:val="nil"/>
              <w:left w:val="nil"/>
              <w:bottom w:val="single" w:sz="4" w:space="0" w:color="92D400"/>
              <w:right w:val="nil"/>
            </w:tcBorders>
            <w:vAlign w:val="center"/>
          </w:tcPr>
          <w:p w14:paraId="156A6648" w14:textId="77777777" w:rsidR="00632B65" w:rsidRPr="001E4B49" w:rsidRDefault="00632B65" w:rsidP="001E4B49">
            <w:pPr>
              <w:rPr>
                <w:sz w:val="16"/>
                <w:szCs w:val="16"/>
              </w:rPr>
            </w:pPr>
            <w:r w:rsidRPr="001E4B49">
              <w:rPr>
                <w:sz w:val="16"/>
                <w:szCs w:val="16"/>
              </w:rPr>
              <w:t>Evidencia, vedenie dokumentácie</w:t>
            </w:r>
          </w:p>
        </w:tc>
        <w:tc>
          <w:tcPr>
            <w:tcW w:w="522" w:type="pct"/>
            <w:tcBorders>
              <w:top w:val="nil"/>
              <w:left w:val="nil"/>
              <w:bottom w:val="single" w:sz="4" w:space="0" w:color="92D400"/>
              <w:right w:val="nil"/>
            </w:tcBorders>
            <w:vAlign w:val="center"/>
          </w:tcPr>
          <w:p w14:paraId="2DE289C3" w14:textId="77777777" w:rsidR="00632B65" w:rsidRPr="001E4B49" w:rsidRDefault="00632B65" w:rsidP="001E4B49">
            <w:pPr>
              <w:jc w:val="center"/>
              <w:rPr>
                <w:sz w:val="16"/>
                <w:szCs w:val="16"/>
              </w:rPr>
            </w:pPr>
            <w:r w:rsidRPr="001E4B49">
              <w:rPr>
                <w:sz w:val="16"/>
                <w:szCs w:val="16"/>
              </w:rPr>
              <w:t>240</w:t>
            </w:r>
          </w:p>
        </w:tc>
        <w:tc>
          <w:tcPr>
            <w:tcW w:w="880" w:type="pct"/>
            <w:tcBorders>
              <w:top w:val="nil"/>
              <w:left w:val="nil"/>
              <w:bottom w:val="single" w:sz="4" w:space="0" w:color="92D400"/>
              <w:right w:val="nil"/>
            </w:tcBorders>
            <w:vAlign w:val="center"/>
          </w:tcPr>
          <w:p w14:paraId="66CBBAC1" w14:textId="77777777" w:rsidR="00632B65" w:rsidRPr="001E4B49" w:rsidRDefault="00632B65" w:rsidP="001E4B49">
            <w:pPr>
              <w:jc w:val="center"/>
              <w:rPr>
                <w:sz w:val="16"/>
                <w:szCs w:val="16"/>
              </w:rPr>
            </w:pPr>
            <w:r w:rsidRPr="001E4B49">
              <w:rPr>
                <w:sz w:val="16"/>
                <w:szCs w:val="16"/>
              </w:rPr>
              <w:t>480</w:t>
            </w:r>
          </w:p>
        </w:tc>
        <w:tc>
          <w:tcPr>
            <w:tcW w:w="689" w:type="pct"/>
            <w:tcBorders>
              <w:top w:val="nil"/>
              <w:left w:val="nil"/>
              <w:bottom w:val="single" w:sz="4" w:space="0" w:color="92D400"/>
              <w:right w:val="single" w:sz="8" w:space="0" w:color="92D050"/>
            </w:tcBorders>
            <w:vAlign w:val="center"/>
          </w:tcPr>
          <w:p w14:paraId="30C871CE" w14:textId="77777777" w:rsidR="00632B65" w:rsidRPr="001E4B49" w:rsidRDefault="00632B65" w:rsidP="001E4B49">
            <w:pPr>
              <w:jc w:val="center"/>
              <w:rPr>
                <w:sz w:val="16"/>
                <w:szCs w:val="16"/>
              </w:rPr>
            </w:pPr>
            <w:r w:rsidRPr="001E4B49">
              <w:rPr>
                <w:sz w:val="16"/>
                <w:szCs w:val="16"/>
              </w:rPr>
              <w:t xml:space="preserve">  720</w:t>
            </w:r>
          </w:p>
        </w:tc>
        <w:tc>
          <w:tcPr>
            <w:tcW w:w="869" w:type="pct"/>
            <w:tcBorders>
              <w:top w:val="nil"/>
              <w:left w:val="single" w:sz="8" w:space="0" w:color="92D050"/>
              <w:bottom w:val="single" w:sz="4" w:space="0" w:color="92D400"/>
              <w:right w:val="nil"/>
            </w:tcBorders>
            <w:vAlign w:val="center"/>
          </w:tcPr>
          <w:p w14:paraId="14C2B0B3" w14:textId="77777777" w:rsidR="00632B65" w:rsidRPr="001E4B49" w:rsidRDefault="00632B65" w:rsidP="001E4B49">
            <w:pPr>
              <w:jc w:val="center"/>
              <w:rPr>
                <w:b/>
                <w:sz w:val="16"/>
                <w:szCs w:val="16"/>
              </w:rPr>
            </w:pPr>
            <w:r w:rsidRPr="001E4B49">
              <w:rPr>
                <w:b/>
                <w:sz w:val="16"/>
                <w:szCs w:val="16"/>
              </w:rPr>
              <w:t>300 min.</w:t>
            </w:r>
          </w:p>
        </w:tc>
      </w:tr>
      <w:tr w:rsidR="00632B65" w:rsidRPr="001E4B49" w14:paraId="1B4B64DF" w14:textId="77777777" w:rsidTr="001E4B49">
        <w:trPr>
          <w:trHeight w:val="170"/>
        </w:trPr>
        <w:tc>
          <w:tcPr>
            <w:tcW w:w="2040" w:type="pct"/>
            <w:tcBorders>
              <w:top w:val="nil"/>
              <w:left w:val="nil"/>
              <w:bottom w:val="single" w:sz="4" w:space="0" w:color="92D400"/>
              <w:right w:val="nil"/>
            </w:tcBorders>
            <w:vAlign w:val="center"/>
          </w:tcPr>
          <w:p w14:paraId="2EC1A952" w14:textId="77777777" w:rsidR="00632B65" w:rsidRPr="001E4B49" w:rsidRDefault="00632B65" w:rsidP="001E4B49">
            <w:pPr>
              <w:rPr>
                <w:sz w:val="16"/>
                <w:szCs w:val="16"/>
              </w:rPr>
            </w:pPr>
            <w:r w:rsidRPr="001E4B49">
              <w:rPr>
                <w:sz w:val="16"/>
                <w:szCs w:val="16"/>
              </w:rPr>
              <w:t>Inventarizácia</w:t>
            </w:r>
          </w:p>
        </w:tc>
        <w:tc>
          <w:tcPr>
            <w:tcW w:w="522" w:type="pct"/>
            <w:tcBorders>
              <w:top w:val="nil"/>
              <w:left w:val="nil"/>
              <w:bottom w:val="single" w:sz="4" w:space="0" w:color="92D400"/>
              <w:right w:val="nil"/>
            </w:tcBorders>
            <w:vAlign w:val="center"/>
          </w:tcPr>
          <w:p w14:paraId="56898734" w14:textId="77777777" w:rsidR="00632B65" w:rsidRPr="001E4B49" w:rsidRDefault="00632B65" w:rsidP="001E4B49">
            <w:pPr>
              <w:jc w:val="center"/>
              <w:rPr>
                <w:sz w:val="16"/>
                <w:szCs w:val="16"/>
              </w:rPr>
            </w:pPr>
            <w:r w:rsidRPr="001E4B49">
              <w:rPr>
                <w:sz w:val="16"/>
                <w:szCs w:val="16"/>
              </w:rPr>
              <w:t>360</w:t>
            </w:r>
          </w:p>
        </w:tc>
        <w:tc>
          <w:tcPr>
            <w:tcW w:w="880" w:type="pct"/>
            <w:tcBorders>
              <w:top w:val="nil"/>
              <w:left w:val="nil"/>
              <w:bottom w:val="single" w:sz="4" w:space="0" w:color="92D400"/>
              <w:right w:val="nil"/>
            </w:tcBorders>
            <w:vAlign w:val="center"/>
          </w:tcPr>
          <w:p w14:paraId="7514BC9D" w14:textId="77777777" w:rsidR="00632B65" w:rsidRPr="001E4B49" w:rsidRDefault="00632B65" w:rsidP="001E4B49">
            <w:pPr>
              <w:jc w:val="center"/>
              <w:rPr>
                <w:sz w:val="16"/>
                <w:szCs w:val="16"/>
              </w:rPr>
            </w:pPr>
            <w:r w:rsidRPr="001E4B49">
              <w:rPr>
                <w:sz w:val="16"/>
                <w:szCs w:val="16"/>
              </w:rPr>
              <w:t>720</w:t>
            </w:r>
          </w:p>
        </w:tc>
        <w:tc>
          <w:tcPr>
            <w:tcW w:w="689" w:type="pct"/>
            <w:tcBorders>
              <w:top w:val="nil"/>
              <w:left w:val="nil"/>
              <w:bottom w:val="single" w:sz="4" w:space="0" w:color="92D400"/>
              <w:right w:val="single" w:sz="8" w:space="0" w:color="92D050"/>
            </w:tcBorders>
            <w:vAlign w:val="center"/>
          </w:tcPr>
          <w:p w14:paraId="3794D45D" w14:textId="77777777" w:rsidR="00632B65" w:rsidRPr="001E4B49" w:rsidRDefault="00632B65" w:rsidP="001E4B49">
            <w:pPr>
              <w:jc w:val="center"/>
              <w:rPr>
                <w:sz w:val="16"/>
                <w:szCs w:val="16"/>
              </w:rPr>
            </w:pPr>
            <w:r w:rsidRPr="001E4B49">
              <w:rPr>
                <w:sz w:val="16"/>
                <w:szCs w:val="16"/>
              </w:rPr>
              <w:t>1 200</w:t>
            </w:r>
          </w:p>
        </w:tc>
        <w:tc>
          <w:tcPr>
            <w:tcW w:w="869" w:type="pct"/>
            <w:tcBorders>
              <w:top w:val="nil"/>
              <w:left w:val="single" w:sz="8" w:space="0" w:color="92D050"/>
              <w:bottom w:val="single" w:sz="4" w:space="0" w:color="92D400"/>
              <w:right w:val="nil"/>
            </w:tcBorders>
            <w:vAlign w:val="center"/>
          </w:tcPr>
          <w:p w14:paraId="63A3BB0A" w14:textId="77777777" w:rsidR="00632B65" w:rsidRPr="001E4B49" w:rsidRDefault="00632B65" w:rsidP="001E4B49">
            <w:pPr>
              <w:jc w:val="center"/>
              <w:rPr>
                <w:b/>
                <w:sz w:val="16"/>
                <w:szCs w:val="16"/>
              </w:rPr>
            </w:pPr>
            <w:r w:rsidRPr="001E4B49">
              <w:rPr>
                <w:b/>
                <w:sz w:val="16"/>
                <w:szCs w:val="16"/>
              </w:rPr>
              <w:t>460 min.</w:t>
            </w:r>
          </w:p>
        </w:tc>
      </w:tr>
      <w:tr w:rsidR="00632B65" w:rsidRPr="001E4B49" w14:paraId="4BAAA658" w14:textId="77777777" w:rsidTr="001E4B49">
        <w:trPr>
          <w:trHeight w:val="170"/>
        </w:trPr>
        <w:tc>
          <w:tcPr>
            <w:tcW w:w="2040" w:type="pct"/>
            <w:tcBorders>
              <w:top w:val="nil"/>
              <w:left w:val="nil"/>
              <w:bottom w:val="single" w:sz="4" w:space="0" w:color="92D400"/>
              <w:right w:val="nil"/>
            </w:tcBorders>
            <w:vAlign w:val="center"/>
          </w:tcPr>
          <w:p w14:paraId="36698A9E" w14:textId="77777777" w:rsidR="00632B65" w:rsidRPr="001E4B49" w:rsidRDefault="00632B65" w:rsidP="001E4B49">
            <w:pPr>
              <w:rPr>
                <w:sz w:val="16"/>
                <w:szCs w:val="16"/>
              </w:rPr>
            </w:pPr>
            <w:r w:rsidRPr="001E4B49">
              <w:rPr>
                <w:sz w:val="16"/>
                <w:szCs w:val="16"/>
              </w:rPr>
              <w:t>Ohlásenie, oznámenie, poskytnutie informácie</w:t>
            </w:r>
          </w:p>
        </w:tc>
        <w:tc>
          <w:tcPr>
            <w:tcW w:w="522" w:type="pct"/>
            <w:tcBorders>
              <w:top w:val="nil"/>
              <w:left w:val="nil"/>
              <w:bottom w:val="single" w:sz="4" w:space="0" w:color="92D400"/>
              <w:right w:val="nil"/>
            </w:tcBorders>
            <w:vAlign w:val="center"/>
          </w:tcPr>
          <w:p w14:paraId="09F78D71" w14:textId="77777777" w:rsidR="00632B65" w:rsidRPr="001E4B49" w:rsidRDefault="00632B65" w:rsidP="001E4B49">
            <w:pPr>
              <w:jc w:val="center"/>
              <w:rPr>
                <w:sz w:val="16"/>
                <w:szCs w:val="16"/>
              </w:rPr>
            </w:pPr>
            <w:r w:rsidRPr="001E4B49">
              <w:rPr>
                <w:sz w:val="16"/>
                <w:szCs w:val="16"/>
              </w:rPr>
              <w:t xml:space="preserve">  60</w:t>
            </w:r>
          </w:p>
        </w:tc>
        <w:tc>
          <w:tcPr>
            <w:tcW w:w="880" w:type="pct"/>
            <w:tcBorders>
              <w:top w:val="nil"/>
              <w:left w:val="nil"/>
              <w:bottom w:val="single" w:sz="4" w:space="0" w:color="92D400"/>
              <w:right w:val="nil"/>
            </w:tcBorders>
            <w:vAlign w:val="center"/>
          </w:tcPr>
          <w:p w14:paraId="78F9EACF" w14:textId="77777777" w:rsidR="00632B65" w:rsidRPr="001E4B49" w:rsidRDefault="00632B65" w:rsidP="001E4B49">
            <w:pPr>
              <w:jc w:val="center"/>
              <w:rPr>
                <w:sz w:val="16"/>
                <w:szCs w:val="16"/>
              </w:rPr>
            </w:pPr>
            <w:r w:rsidRPr="001E4B49">
              <w:rPr>
                <w:sz w:val="16"/>
                <w:szCs w:val="16"/>
              </w:rPr>
              <w:t xml:space="preserve">  60</w:t>
            </w:r>
          </w:p>
        </w:tc>
        <w:tc>
          <w:tcPr>
            <w:tcW w:w="689" w:type="pct"/>
            <w:tcBorders>
              <w:top w:val="nil"/>
              <w:left w:val="nil"/>
              <w:bottom w:val="single" w:sz="4" w:space="0" w:color="92D400"/>
              <w:right w:val="single" w:sz="8" w:space="0" w:color="92D050"/>
            </w:tcBorders>
            <w:vAlign w:val="center"/>
          </w:tcPr>
          <w:p w14:paraId="26B20156" w14:textId="77777777" w:rsidR="00632B65" w:rsidRPr="001E4B49" w:rsidRDefault="00632B65" w:rsidP="001E4B49">
            <w:pPr>
              <w:jc w:val="center"/>
              <w:rPr>
                <w:sz w:val="16"/>
                <w:szCs w:val="16"/>
              </w:rPr>
            </w:pPr>
            <w:r w:rsidRPr="001E4B49">
              <w:rPr>
                <w:sz w:val="16"/>
                <w:szCs w:val="16"/>
              </w:rPr>
              <w:t xml:space="preserve">    60</w:t>
            </w:r>
          </w:p>
        </w:tc>
        <w:tc>
          <w:tcPr>
            <w:tcW w:w="869" w:type="pct"/>
            <w:tcBorders>
              <w:top w:val="nil"/>
              <w:left w:val="single" w:sz="8" w:space="0" w:color="92D050"/>
              <w:bottom w:val="single" w:sz="4" w:space="0" w:color="92D400"/>
              <w:right w:val="nil"/>
            </w:tcBorders>
            <w:vAlign w:val="center"/>
          </w:tcPr>
          <w:p w14:paraId="15E9F6B8" w14:textId="77777777" w:rsidR="00632B65" w:rsidRPr="001E4B49" w:rsidRDefault="00632B65" w:rsidP="001E4B49">
            <w:pPr>
              <w:jc w:val="center"/>
              <w:rPr>
                <w:b/>
                <w:sz w:val="16"/>
                <w:szCs w:val="16"/>
              </w:rPr>
            </w:pPr>
            <w:r w:rsidRPr="001E4B49">
              <w:rPr>
                <w:b/>
                <w:sz w:val="16"/>
                <w:szCs w:val="16"/>
              </w:rPr>
              <w:t xml:space="preserve">  60 min.</w:t>
            </w:r>
          </w:p>
        </w:tc>
      </w:tr>
      <w:tr w:rsidR="00632B65" w:rsidRPr="001E4B49" w14:paraId="66C9F86C" w14:textId="77777777" w:rsidTr="001E4B49">
        <w:trPr>
          <w:trHeight w:val="170"/>
        </w:trPr>
        <w:tc>
          <w:tcPr>
            <w:tcW w:w="2040" w:type="pct"/>
            <w:tcBorders>
              <w:top w:val="nil"/>
              <w:left w:val="nil"/>
              <w:bottom w:val="single" w:sz="4" w:space="0" w:color="92D400"/>
              <w:right w:val="nil"/>
            </w:tcBorders>
            <w:vAlign w:val="center"/>
          </w:tcPr>
          <w:p w14:paraId="6CBC4BF7" w14:textId="77777777" w:rsidR="00632B65" w:rsidRPr="001E4B49" w:rsidRDefault="00632B65" w:rsidP="001E4B49">
            <w:pPr>
              <w:rPr>
                <w:sz w:val="16"/>
                <w:szCs w:val="16"/>
              </w:rPr>
            </w:pPr>
            <w:r w:rsidRPr="001E4B49">
              <w:rPr>
                <w:sz w:val="16"/>
                <w:szCs w:val="16"/>
              </w:rPr>
              <w:t>Overenie súladu</w:t>
            </w:r>
          </w:p>
        </w:tc>
        <w:tc>
          <w:tcPr>
            <w:tcW w:w="522" w:type="pct"/>
            <w:tcBorders>
              <w:top w:val="nil"/>
              <w:left w:val="nil"/>
              <w:bottom w:val="single" w:sz="4" w:space="0" w:color="92D400"/>
              <w:right w:val="nil"/>
            </w:tcBorders>
            <w:vAlign w:val="center"/>
          </w:tcPr>
          <w:p w14:paraId="0EBB464F" w14:textId="77777777" w:rsidR="00632B65" w:rsidRPr="001E4B49" w:rsidRDefault="00632B65" w:rsidP="001E4B49">
            <w:pPr>
              <w:jc w:val="center"/>
              <w:rPr>
                <w:sz w:val="16"/>
                <w:szCs w:val="16"/>
              </w:rPr>
            </w:pPr>
            <w:r w:rsidRPr="001E4B49">
              <w:rPr>
                <w:sz w:val="16"/>
                <w:szCs w:val="16"/>
              </w:rPr>
              <w:t>120</w:t>
            </w:r>
          </w:p>
        </w:tc>
        <w:tc>
          <w:tcPr>
            <w:tcW w:w="880" w:type="pct"/>
            <w:tcBorders>
              <w:top w:val="nil"/>
              <w:left w:val="nil"/>
              <w:bottom w:val="single" w:sz="4" w:space="0" w:color="92D400"/>
              <w:right w:val="nil"/>
            </w:tcBorders>
            <w:vAlign w:val="center"/>
          </w:tcPr>
          <w:p w14:paraId="4184F6AD" w14:textId="77777777" w:rsidR="00632B65" w:rsidRPr="001E4B49" w:rsidRDefault="00632B65" w:rsidP="001E4B49">
            <w:pPr>
              <w:jc w:val="center"/>
              <w:rPr>
                <w:sz w:val="16"/>
                <w:szCs w:val="16"/>
              </w:rPr>
            </w:pPr>
            <w:r w:rsidRPr="001E4B49">
              <w:rPr>
                <w:sz w:val="16"/>
                <w:szCs w:val="16"/>
              </w:rPr>
              <w:t>480</w:t>
            </w:r>
          </w:p>
        </w:tc>
        <w:tc>
          <w:tcPr>
            <w:tcW w:w="689" w:type="pct"/>
            <w:tcBorders>
              <w:top w:val="nil"/>
              <w:left w:val="nil"/>
              <w:bottom w:val="single" w:sz="4" w:space="0" w:color="92D400"/>
              <w:right w:val="single" w:sz="8" w:space="0" w:color="92D050"/>
            </w:tcBorders>
            <w:vAlign w:val="center"/>
          </w:tcPr>
          <w:p w14:paraId="24F82A9C" w14:textId="77777777" w:rsidR="00632B65" w:rsidRPr="001E4B49" w:rsidRDefault="00632B65" w:rsidP="001E4B49">
            <w:pPr>
              <w:jc w:val="center"/>
              <w:rPr>
                <w:sz w:val="16"/>
                <w:szCs w:val="16"/>
              </w:rPr>
            </w:pPr>
            <w:r w:rsidRPr="001E4B49">
              <w:rPr>
                <w:sz w:val="16"/>
                <w:szCs w:val="16"/>
              </w:rPr>
              <w:t xml:space="preserve">  960</w:t>
            </w:r>
          </w:p>
        </w:tc>
        <w:tc>
          <w:tcPr>
            <w:tcW w:w="869" w:type="pct"/>
            <w:tcBorders>
              <w:top w:val="nil"/>
              <w:left w:val="single" w:sz="8" w:space="0" w:color="92D050"/>
              <w:bottom w:val="single" w:sz="4" w:space="0" w:color="92D400"/>
              <w:right w:val="nil"/>
            </w:tcBorders>
            <w:vAlign w:val="center"/>
          </w:tcPr>
          <w:p w14:paraId="5F875B64" w14:textId="77777777" w:rsidR="00632B65" w:rsidRPr="001E4B49" w:rsidRDefault="00632B65" w:rsidP="001E4B49">
            <w:pPr>
              <w:jc w:val="center"/>
              <w:rPr>
                <w:b/>
                <w:sz w:val="16"/>
                <w:szCs w:val="16"/>
              </w:rPr>
            </w:pPr>
            <w:r w:rsidRPr="001E4B49">
              <w:rPr>
                <w:b/>
                <w:sz w:val="16"/>
                <w:szCs w:val="16"/>
              </w:rPr>
              <w:t>220 min.</w:t>
            </w:r>
          </w:p>
        </w:tc>
      </w:tr>
      <w:tr w:rsidR="00632B65" w:rsidRPr="001E4B49" w14:paraId="2981E18C" w14:textId="77777777" w:rsidTr="001E4B49">
        <w:trPr>
          <w:trHeight w:val="170"/>
        </w:trPr>
        <w:tc>
          <w:tcPr>
            <w:tcW w:w="2040" w:type="pct"/>
            <w:tcBorders>
              <w:top w:val="nil"/>
              <w:left w:val="nil"/>
              <w:bottom w:val="single" w:sz="4" w:space="0" w:color="92D400"/>
              <w:right w:val="nil"/>
            </w:tcBorders>
            <w:vAlign w:val="center"/>
          </w:tcPr>
          <w:p w14:paraId="6D4C330E" w14:textId="77777777" w:rsidR="00632B65" w:rsidRPr="001E4B49" w:rsidRDefault="00632B65" w:rsidP="001E4B49">
            <w:pPr>
              <w:rPr>
                <w:sz w:val="16"/>
                <w:szCs w:val="16"/>
              </w:rPr>
            </w:pPr>
            <w:r w:rsidRPr="001E4B49">
              <w:rPr>
                <w:sz w:val="16"/>
                <w:szCs w:val="16"/>
              </w:rPr>
              <w:t>Poskytnutie súčinnosti</w:t>
            </w:r>
          </w:p>
        </w:tc>
        <w:tc>
          <w:tcPr>
            <w:tcW w:w="522" w:type="pct"/>
            <w:tcBorders>
              <w:top w:val="nil"/>
              <w:left w:val="nil"/>
              <w:bottom w:val="single" w:sz="4" w:space="0" w:color="92D400"/>
              <w:right w:val="nil"/>
            </w:tcBorders>
            <w:vAlign w:val="center"/>
          </w:tcPr>
          <w:p w14:paraId="1F4F888A" w14:textId="77777777" w:rsidR="00632B65" w:rsidRPr="001E4B49" w:rsidRDefault="00632B65" w:rsidP="001E4B49">
            <w:pPr>
              <w:jc w:val="center"/>
              <w:rPr>
                <w:sz w:val="16"/>
                <w:szCs w:val="16"/>
              </w:rPr>
            </w:pPr>
            <w:r w:rsidRPr="001E4B49">
              <w:rPr>
                <w:sz w:val="16"/>
                <w:szCs w:val="16"/>
              </w:rPr>
              <w:t>100</w:t>
            </w:r>
          </w:p>
        </w:tc>
        <w:tc>
          <w:tcPr>
            <w:tcW w:w="880" w:type="pct"/>
            <w:tcBorders>
              <w:top w:val="nil"/>
              <w:left w:val="nil"/>
              <w:bottom w:val="single" w:sz="4" w:space="0" w:color="92D400"/>
              <w:right w:val="nil"/>
            </w:tcBorders>
            <w:vAlign w:val="center"/>
          </w:tcPr>
          <w:p w14:paraId="4935D1B3" w14:textId="77777777" w:rsidR="00632B65" w:rsidRPr="001E4B49" w:rsidRDefault="00632B65" w:rsidP="001E4B49">
            <w:pPr>
              <w:jc w:val="center"/>
              <w:rPr>
                <w:sz w:val="16"/>
                <w:szCs w:val="16"/>
              </w:rPr>
            </w:pPr>
            <w:r w:rsidRPr="001E4B49">
              <w:rPr>
                <w:sz w:val="16"/>
                <w:szCs w:val="16"/>
              </w:rPr>
              <w:t>100</w:t>
            </w:r>
          </w:p>
        </w:tc>
        <w:tc>
          <w:tcPr>
            <w:tcW w:w="689" w:type="pct"/>
            <w:tcBorders>
              <w:top w:val="nil"/>
              <w:left w:val="nil"/>
              <w:bottom w:val="single" w:sz="4" w:space="0" w:color="92D400"/>
              <w:right w:val="single" w:sz="8" w:space="0" w:color="92D050"/>
            </w:tcBorders>
            <w:vAlign w:val="center"/>
          </w:tcPr>
          <w:p w14:paraId="30BAA961" w14:textId="77777777" w:rsidR="00632B65" w:rsidRPr="001E4B49" w:rsidRDefault="00632B65" w:rsidP="001E4B49">
            <w:pPr>
              <w:jc w:val="center"/>
              <w:rPr>
                <w:sz w:val="16"/>
                <w:szCs w:val="16"/>
              </w:rPr>
            </w:pPr>
            <w:r w:rsidRPr="001E4B49">
              <w:rPr>
                <w:sz w:val="16"/>
                <w:szCs w:val="16"/>
              </w:rPr>
              <w:t xml:space="preserve">  100</w:t>
            </w:r>
          </w:p>
        </w:tc>
        <w:tc>
          <w:tcPr>
            <w:tcW w:w="869" w:type="pct"/>
            <w:tcBorders>
              <w:top w:val="nil"/>
              <w:left w:val="single" w:sz="8" w:space="0" w:color="92D050"/>
              <w:bottom w:val="single" w:sz="4" w:space="0" w:color="92D400"/>
              <w:right w:val="nil"/>
            </w:tcBorders>
            <w:vAlign w:val="center"/>
          </w:tcPr>
          <w:p w14:paraId="0400B08E" w14:textId="77777777" w:rsidR="00632B65" w:rsidRPr="001E4B49" w:rsidRDefault="00632B65" w:rsidP="001E4B49">
            <w:pPr>
              <w:jc w:val="center"/>
              <w:rPr>
                <w:b/>
                <w:sz w:val="16"/>
                <w:szCs w:val="16"/>
              </w:rPr>
            </w:pPr>
            <w:r w:rsidRPr="001E4B49">
              <w:rPr>
                <w:b/>
                <w:sz w:val="16"/>
                <w:szCs w:val="16"/>
              </w:rPr>
              <w:t>100 min.</w:t>
            </w:r>
          </w:p>
        </w:tc>
      </w:tr>
      <w:tr w:rsidR="00632B65" w:rsidRPr="001E4B49" w14:paraId="1F1D5510" w14:textId="77777777" w:rsidTr="001E4B49">
        <w:trPr>
          <w:trHeight w:val="170"/>
        </w:trPr>
        <w:tc>
          <w:tcPr>
            <w:tcW w:w="2040" w:type="pct"/>
            <w:tcBorders>
              <w:top w:val="nil"/>
              <w:left w:val="nil"/>
              <w:bottom w:val="single" w:sz="4" w:space="0" w:color="92D400"/>
              <w:right w:val="nil"/>
            </w:tcBorders>
            <w:vAlign w:val="center"/>
          </w:tcPr>
          <w:p w14:paraId="76B686E8" w14:textId="77777777" w:rsidR="00632B65" w:rsidRPr="001E4B49" w:rsidRDefault="00632B65" w:rsidP="001E4B49">
            <w:pPr>
              <w:rPr>
                <w:sz w:val="16"/>
                <w:szCs w:val="16"/>
              </w:rPr>
            </w:pPr>
            <w:r w:rsidRPr="001E4B49">
              <w:rPr>
                <w:sz w:val="16"/>
                <w:szCs w:val="16"/>
              </w:rPr>
              <w:t>Predloženie dokladu/ dokumentu elektronicky</w:t>
            </w:r>
          </w:p>
        </w:tc>
        <w:tc>
          <w:tcPr>
            <w:tcW w:w="522" w:type="pct"/>
            <w:tcBorders>
              <w:top w:val="nil"/>
              <w:left w:val="nil"/>
              <w:bottom w:val="single" w:sz="4" w:space="0" w:color="92D400"/>
              <w:right w:val="nil"/>
            </w:tcBorders>
            <w:vAlign w:val="center"/>
          </w:tcPr>
          <w:p w14:paraId="53626452" w14:textId="77777777" w:rsidR="00632B65" w:rsidRPr="001E4B49" w:rsidRDefault="00632B65" w:rsidP="001E4B49">
            <w:pPr>
              <w:jc w:val="center"/>
              <w:rPr>
                <w:sz w:val="16"/>
                <w:szCs w:val="16"/>
              </w:rPr>
            </w:pPr>
            <w:r w:rsidRPr="001E4B49">
              <w:rPr>
                <w:sz w:val="16"/>
                <w:szCs w:val="16"/>
              </w:rPr>
              <w:t xml:space="preserve">  30</w:t>
            </w:r>
          </w:p>
        </w:tc>
        <w:tc>
          <w:tcPr>
            <w:tcW w:w="880" w:type="pct"/>
            <w:tcBorders>
              <w:top w:val="nil"/>
              <w:left w:val="nil"/>
              <w:bottom w:val="single" w:sz="4" w:space="0" w:color="92D400"/>
              <w:right w:val="nil"/>
            </w:tcBorders>
            <w:vAlign w:val="center"/>
          </w:tcPr>
          <w:p w14:paraId="00AF8951" w14:textId="77777777" w:rsidR="00632B65" w:rsidRPr="001E4B49" w:rsidRDefault="00632B65" w:rsidP="001E4B49">
            <w:pPr>
              <w:jc w:val="center"/>
              <w:rPr>
                <w:sz w:val="16"/>
                <w:szCs w:val="16"/>
              </w:rPr>
            </w:pPr>
            <w:r w:rsidRPr="001E4B49">
              <w:rPr>
                <w:sz w:val="16"/>
                <w:szCs w:val="16"/>
              </w:rPr>
              <w:t xml:space="preserve">  30</w:t>
            </w:r>
          </w:p>
        </w:tc>
        <w:tc>
          <w:tcPr>
            <w:tcW w:w="689" w:type="pct"/>
            <w:tcBorders>
              <w:top w:val="nil"/>
              <w:left w:val="nil"/>
              <w:bottom w:val="single" w:sz="4" w:space="0" w:color="92D400"/>
              <w:right w:val="single" w:sz="8" w:space="0" w:color="92D050"/>
            </w:tcBorders>
            <w:vAlign w:val="center"/>
          </w:tcPr>
          <w:p w14:paraId="69338EA3" w14:textId="77777777" w:rsidR="00632B65" w:rsidRPr="001E4B49" w:rsidRDefault="00632B65" w:rsidP="001E4B49">
            <w:pPr>
              <w:jc w:val="center"/>
              <w:rPr>
                <w:sz w:val="16"/>
                <w:szCs w:val="16"/>
              </w:rPr>
            </w:pPr>
            <w:r w:rsidRPr="001E4B49">
              <w:rPr>
                <w:sz w:val="16"/>
                <w:szCs w:val="16"/>
              </w:rPr>
              <w:t xml:space="preserve">    30</w:t>
            </w:r>
          </w:p>
        </w:tc>
        <w:tc>
          <w:tcPr>
            <w:tcW w:w="869" w:type="pct"/>
            <w:tcBorders>
              <w:top w:val="nil"/>
              <w:left w:val="single" w:sz="8" w:space="0" w:color="92D050"/>
              <w:bottom w:val="single" w:sz="4" w:space="0" w:color="92D400"/>
              <w:right w:val="nil"/>
            </w:tcBorders>
            <w:vAlign w:val="center"/>
          </w:tcPr>
          <w:p w14:paraId="79F3F57A" w14:textId="77777777" w:rsidR="00632B65" w:rsidRPr="001E4B49" w:rsidRDefault="00632B65" w:rsidP="001E4B49">
            <w:pPr>
              <w:jc w:val="center"/>
              <w:rPr>
                <w:b/>
                <w:sz w:val="16"/>
                <w:szCs w:val="16"/>
              </w:rPr>
            </w:pPr>
            <w:r w:rsidRPr="001E4B49">
              <w:rPr>
                <w:b/>
                <w:sz w:val="16"/>
                <w:szCs w:val="16"/>
              </w:rPr>
              <w:t xml:space="preserve">  30 min.</w:t>
            </w:r>
          </w:p>
        </w:tc>
      </w:tr>
      <w:tr w:rsidR="00632B65" w:rsidRPr="001E4B49" w14:paraId="4EEBF106" w14:textId="77777777" w:rsidTr="001E4B49">
        <w:trPr>
          <w:trHeight w:val="170"/>
        </w:trPr>
        <w:tc>
          <w:tcPr>
            <w:tcW w:w="2040" w:type="pct"/>
            <w:tcBorders>
              <w:top w:val="nil"/>
              <w:left w:val="nil"/>
              <w:bottom w:val="single" w:sz="4" w:space="0" w:color="92D400"/>
              <w:right w:val="nil"/>
            </w:tcBorders>
            <w:vAlign w:val="center"/>
          </w:tcPr>
          <w:p w14:paraId="43551783" w14:textId="77777777" w:rsidR="00632B65" w:rsidRPr="001E4B49" w:rsidRDefault="00632B65" w:rsidP="001E4B49">
            <w:pPr>
              <w:rPr>
                <w:sz w:val="16"/>
                <w:szCs w:val="16"/>
              </w:rPr>
            </w:pPr>
            <w:r w:rsidRPr="001E4B49">
              <w:rPr>
                <w:sz w:val="16"/>
                <w:szCs w:val="16"/>
              </w:rPr>
              <w:t>Predloženie dokladu/ dokumentu papierovo</w:t>
            </w:r>
          </w:p>
        </w:tc>
        <w:tc>
          <w:tcPr>
            <w:tcW w:w="522" w:type="pct"/>
            <w:tcBorders>
              <w:top w:val="nil"/>
              <w:left w:val="nil"/>
              <w:bottom w:val="single" w:sz="4" w:space="0" w:color="92D400"/>
              <w:right w:val="nil"/>
            </w:tcBorders>
            <w:vAlign w:val="center"/>
          </w:tcPr>
          <w:p w14:paraId="3273C81E" w14:textId="77777777" w:rsidR="00632B65" w:rsidRPr="001E4B49" w:rsidRDefault="00632B65" w:rsidP="001E4B49">
            <w:pPr>
              <w:jc w:val="center"/>
              <w:rPr>
                <w:sz w:val="16"/>
                <w:szCs w:val="16"/>
              </w:rPr>
            </w:pPr>
            <w:r w:rsidRPr="001E4B49">
              <w:rPr>
                <w:sz w:val="16"/>
                <w:szCs w:val="16"/>
              </w:rPr>
              <w:t xml:space="preserve">  50</w:t>
            </w:r>
          </w:p>
        </w:tc>
        <w:tc>
          <w:tcPr>
            <w:tcW w:w="880" w:type="pct"/>
            <w:tcBorders>
              <w:top w:val="nil"/>
              <w:left w:val="nil"/>
              <w:bottom w:val="single" w:sz="4" w:space="0" w:color="92D400"/>
              <w:right w:val="nil"/>
            </w:tcBorders>
            <w:vAlign w:val="center"/>
          </w:tcPr>
          <w:p w14:paraId="1ED10456" w14:textId="77777777" w:rsidR="00632B65" w:rsidRPr="001E4B49" w:rsidRDefault="00632B65" w:rsidP="001E4B49">
            <w:pPr>
              <w:jc w:val="center"/>
              <w:rPr>
                <w:sz w:val="16"/>
                <w:szCs w:val="16"/>
              </w:rPr>
            </w:pPr>
            <w:r w:rsidRPr="001E4B49">
              <w:rPr>
                <w:sz w:val="16"/>
                <w:szCs w:val="16"/>
              </w:rPr>
              <w:t xml:space="preserve">  50</w:t>
            </w:r>
          </w:p>
        </w:tc>
        <w:tc>
          <w:tcPr>
            <w:tcW w:w="689" w:type="pct"/>
            <w:tcBorders>
              <w:top w:val="nil"/>
              <w:left w:val="nil"/>
              <w:bottom w:val="single" w:sz="4" w:space="0" w:color="92D400"/>
              <w:right w:val="single" w:sz="8" w:space="0" w:color="92D050"/>
            </w:tcBorders>
            <w:vAlign w:val="center"/>
          </w:tcPr>
          <w:p w14:paraId="53A01E20" w14:textId="77777777" w:rsidR="00632B65" w:rsidRPr="001E4B49" w:rsidRDefault="00632B65" w:rsidP="001E4B49">
            <w:pPr>
              <w:jc w:val="center"/>
              <w:rPr>
                <w:sz w:val="16"/>
                <w:szCs w:val="16"/>
              </w:rPr>
            </w:pPr>
            <w:r w:rsidRPr="001E4B49">
              <w:rPr>
                <w:sz w:val="16"/>
                <w:szCs w:val="16"/>
              </w:rPr>
              <w:t xml:space="preserve">    50</w:t>
            </w:r>
          </w:p>
        </w:tc>
        <w:tc>
          <w:tcPr>
            <w:tcW w:w="869" w:type="pct"/>
            <w:tcBorders>
              <w:top w:val="nil"/>
              <w:left w:val="single" w:sz="8" w:space="0" w:color="92D050"/>
              <w:bottom w:val="single" w:sz="4" w:space="0" w:color="92D400"/>
              <w:right w:val="nil"/>
            </w:tcBorders>
            <w:vAlign w:val="center"/>
          </w:tcPr>
          <w:p w14:paraId="40B08505" w14:textId="77777777" w:rsidR="00632B65" w:rsidRPr="001E4B49" w:rsidRDefault="00632B65" w:rsidP="001E4B49">
            <w:pPr>
              <w:jc w:val="center"/>
              <w:rPr>
                <w:b/>
                <w:sz w:val="16"/>
                <w:szCs w:val="16"/>
              </w:rPr>
            </w:pPr>
            <w:r w:rsidRPr="001E4B49">
              <w:rPr>
                <w:b/>
                <w:sz w:val="16"/>
                <w:szCs w:val="16"/>
              </w:rPr>
              <w:t xml:space="preserve">  50 min.</w:t>
            </w:r>
          </w:p>
        </w:tc>
      </w:tr>
      <w:tr w:rsidR="00632B65" w:rsidRPr="001E4B49" w14:paraId="24F7A9AC" w14:textId="77777777" w:rsidTr="001E4B49">
        <w:trPr>
          <w:trHeight w:val="170"/>
        </w:trPr>
        <w:tc>
          <w:tcPr>
            <w:tcW w:w="2040" w:type="pct"/>
            <w:tcBorders>
              <w:top w:val="nil"/>
              <w:left w:val="nil"/>
              <w:bottom w:val="single" w:sz="4" w:space="0" w:color="92D400"/>
              <w:right w:val="nil"/>
            </w:tcBorders>
            <w:vAlign w:val="center"/>
          </w:tcPr>
          <w:p w14:paraId="4C8A55B6" w14:textId="77777777" w:rsidR="00632B65" w:rsidRPr="001E4B49" w:rsidRDefault="00632B65" w:rsidP="001E4B49">
            <w:pPr>
              <w:rPr>
                <w:sz w:val="16"/>
                <w:szCs w:val="16"/>
              </w:rPr>
            </w:pPr>
            <w:r w:rsidRPr="001E4B49">
              <w:rPr>
                <w:sz w:val="16"/>
                <w:szCs w:val="16"/>
              </w:rPr>
              <w:t>Vypracovanie dokumentu/ správy</w:t>
            </w:r>
          </w:p>
        </w:tc>
        <w:tc>
          <w:tcPr>
            <w:tcW w:w="522" w:type="pct"/>
            <w:tcBorders>
              <w:top w:val="nil"/>
              <w:left w:val="nil"/>
              <w:bottom w:val="single" w:sz="4" w:space="0" w:color="92D400"/>
              <w:right w:val="nil"/>
            </w:tcBorders>
            <w:vAlign w:val="center"/>
          </w:tcPr>
          <w:p w14:paraId="7206FB7C" w14:textId="77777777" w:rsidR="00632B65" w:rsidRPr="001E4B49" w:rsidRDefault="00632B65" w:rsidP="001E4B49">
            <w:pPr>
              <w:jc w:val="center"/>
              <w:rPr>
                <w:sz w:val="16"/>
                <w:szCs w:val="16"/>
              </w:rPr>
            </w:pPr>
            <w:r w:rsidRPr="001E4B49">
              <w:rPr>
                <w:sz w:val="16"/>
                <w:szCs w:val="16"/>
              </w:rPr>
              <w:t>480</w:t>
            </w:r>
          </w:p>
        </w:tc>
        <w:tc>
          <w:tcPr>
            <w:tcW w:w="880" w:type="pct"/>
            <w:tcBorders>
              <w:top w:val="nil"/>
              <w:left w:val="nil"/>
              <w:bottom w:val="single" w:sz="4" w:space="0" w:color="92D400"/>
              <w:right w:val="nil"/>
            </w:tcBorders>
            <w:vAlign w:val="center"/>
          </w:tcPr>
          <w:p w14:paraId="10EAB21F" w14:textId="77777777" w:rsidR="00632B65" w:rsidRPr="001E4B49" w:rsidRDefault="00632B65" w:rsidP="001E4B49">
            <w:pPr>
              <w:jc w:val="center"/>
              <w:rPr>
                <w:sz w:val="16"/>
                <w:szCs w:val="16"/>
              </w:rPr>
            </w:pPr>
            <w:r w:rsidRPr="001E4B49">
              <w:rPr>
                <w:sz w:val="16"/>
                <w:szCs w:val="16"/>
              </w:rPr>
              <w:t>960</w:t>
            </w:r>
          </w:p>
        </w:tc>
        <w:tc>
          <w:tcPr>
            <w:tcW w:w="689" w:type="pct"/>
            <w:tcBorders>
              <w:top w:val="nil"/>
              <w:left w:val="nil"/>
              <w:bottom w:val="single" w:sz="4" w:space="0" w:color="92D400"/>
              <w:right w:val="single" w:sz="8" w:space="0" w:color="92D050"/>
            </w:tcBorders>
            <w:vAlign w:val="center"/>
          </w:tcPr>
          <w:p w14:paraId="16BFFC4C" w14:textId="77777777" w:rsidR="00632B65" w:rsidRPr="001E4B49" w:rsidRDefault="00632B65" w:rsidP="001E4B49">
            <w:pPr>
              <w:jc w:val="center"/>
              <w:rPr>
                <w:sz w:val="16"/>
                <w:szCs w:val="16"/>
              </w:rPr>
            </w:pPr>
            <w:r w:rsidRPr="001E4B49">
              <w:rPr>
                <w:sz w:val="16"/>
                <w:szCs w:val="16"/>
              </w:rPr>
              <w:t>2 400</w:t>
            </w:r>
          </w:p>
        </w:tc>
        <w:tc>
          <w:tcPr>
            <w:tcW w:w="869" w:type="pct"/>
            <w:tcBorders>
              <w:top w:val="nil"/>
              <w:left w:val="single" w:sz="8" w:space="0" w:color="92D050"/>
              <w:bottom w:val="single" w:sz="4" w:space="0" w:color="92D400"/>
              <w:right w:val="nil"/>
            </w:tcBorders>
            <w:vAlign w:val="center"/>
          </w:tcPr>
          <w:p w14:paraId="5E3EA974" w14:textId="77777777" w:rsidR="00632B65" w:rsidRPr="001E4B49" w:rsidRDefault="00632B65" w:rsidP="001E4B49">
            <w:pPr>
              <w:jc w:val="center"/>
              <w:rPr>
                <w:b/>
                <w:sz w:val="16"/>
                <w:szCs w:val="16"/>
              </w:rPr>
            </w:pPr>
            <w:r w:rsidRPr="001E4B49">
              <w:rPr>
                <w:b/>
                <w:sz w:val="16"/>
                <w:szCs w:val="16"/>
              </w:rPr>
              <w:t>650 min.</w:t>
            </w:r>
          </w:p>
        </w:tc>
      </w:tr>
      <w:tr w:rsidR="00632B65" w:rsidRPr="001E4B49" w14:paraId="669EA28B" w14:textId="77777777" w:rsidTr="001E4B49">
        <w:trPr>
          <w:trHeight w:val="170"/>
        </w:trPr>
        <w:tc>
          <w:tcPr>
            <w:tcW w:w="2040" w:type="pct"/>
            <w:tcBorders>
              <w:top w:val="single" w:sz="4" w:space="0" w:color="92D400"/>
              <w:left w:val="nil"/>
              <w:bottom w:val="single" w:sz="4" w:space="0" w:color="C0504D" w:themeColor="accent2"/>
              <w:right w:val="nil"/>
            </w:tcBorders>
            <w:vAlign w:val="center"/>
          </w:tcPr>
          <w:p w14:paraId="4C34FFDA" w14:textId="77777777" w:rsidR="00632B65" w:rsidRPr="001E4B49" w:rsidRDefault="00632B65" w:rsidP="001E4B49">
            <w:pPr>
              <w:rPr>
                <w:sz w:val="16"/>
                <w:szCs w:val="16"/>
              </w:rPr>
            </w:pPr>
            <w:r w:rsidRPr="001E4B49">
              <w:rPr>
                <w:sz w:val="16"/>
                <w:szCs w:val="16"/>
              </w:rPr>
              <w:t>Žiadosť/ návrh</w:t>
            </w:r>
          </w:p>
        </w:tc>
        <w:tc>
          <w:tcPr>
            <w:tcW w:w="522" w:type="pct"/>
            <w:tcBorders>
              <w:top w:val="single" w:sz="4" w:space="0" w:color="92D400"/>
              <w:left w:val="nil"/>
              <w:bottom w:val="single" w:sz="4" w:space="0" w:color="C0504D" w:themeColor="accent2"/>
              <w:right w:val="nil"/>
            </w:tcBorders>
            <w:vAlign w:val="center"/>
          </w:tcPr>
          <w:p w14:paraId="28483C44" w14:textId="77777777" w:rsidR="00632B65" w:rsidRPr="001E4B49" w:rsidRDefault="00632B65" w:rsidP="001E4B49">
            <w:pPr>
              <w:jc w:val="center"/>
              <w:rPr>
                <w:sz w:val="16"/>
                <w:szCs w:val="16"/>
              </w:rPr>
            </w:pPr>
            <w:r w:rsidRPr="001E4B49">
              <w:rPr>
                <w:sz w:val="16"/>
                <w:szCs w:val="16"/>
              </w:rPr>
              <w:t>180</w:t>
            </w:r>
          </w:p>
        </w:tc>
        <w:tc>
          <w:tcPr>
            <w:tcW w:w="880" w:type="pct"/>
            <w:tcBorders>
              <w:top w:val="single" w:sz="4" w:space="0" w:color="92D400"/>
              <w:left w:val="nil"/>
              <w:bottom w:val="single" w:sz="4" w:space="0" w:color="C0504D" w:themeColor="accent2"/>
              <w:right w:val="nil"/>
            </w:tcBorders>
            <w:vAlign w:val="center"/>
          </w:tcPr>
          <w:p w14:paraId="763CD005" w14:textId="77777777" w:rsidR="00632B65" w:rsidRPr="001E4B49" w:rsidRDefault="00632B65" w:rsidP="001E4B49">
            <w:pPr>
              <w:jc w:val="center"/>
              <w:rPr>
                <w:sz w:val="16"/>
                <w:szCs w:val="16"/>
              </w:rPr>
            </w:pPr>
            <w:r w:rsidRPr="001E4B49">
              <w:rPr>
                <w:sz w:val="16"/>
                <w:szCs w:val="16"/>
              </w:rPr>
              <w:t>240</w:t>
            </w:r>
          </w:p>
        </w:tc>
        <w:tc>
          <w:tcPr>
            <w:tcW w:w="689" w:type="pct"/>
            <w:tcBorders>
              <w:top w:val="single" w:sz="4" w:space="0" w:color="92D400"/>
              <w:left w:val="nil"/>
              <w:bottom w:val="single" w:sz="4" w:space="0" w:color="C0504D" w:themeColor="accent2"/>
              <w:right w:val="single" w:sz="8" w:space="0" w:color="92D050"/>
            </w:tcBorders>
            <w:vAlign w:val="center"/>
          </w:tcPr>
          <w:p w14:paraId="16054F6C" w14:textId="77777777" w:rsidR="00632B65" w:rsidRPr="001E4B49" w:rsidRDefault="00632B65" w:rsidP="001E4B49">
            <w:pPr>
              <w:jc w:val="center"/>
              <w:rPr>
                <w:sz w:val="16"/>
                <w:szCs w:val="16"/>
              </w:rPr>
            </w:pPr>
            <w:r w:rsidRPr="001E4B49">
              <w:rPr>
                <w:sz w:val="16"/>
                <w:szCs w:val="16"/>
              </w:rPr>
              <w:t xml:space="preserve">  480</w:t>
            </w:r>
          </w:p>
        </w:tc>
        <w:tc>
          <w:tcPr>
            <w:tcW w:w="869" w:type="pct"/>
            <w:tcBorders>
              <w:top w:val="single" w:sz="4" w:space="0" w:color="92D400"/>
              <w:left w:val="single" w:sz="8" w:space="0" w:color="92D050"/>
              <w:bottom w:val="single" w:sz="4" w:space="0" w:color="C0504D" w:themeColor="accent2"/>
              <w:right w:val="nil"/>
            </w:tcBorders>
            <w:vAlign w:val="center"/>
          </w:tcPr>
          <w:p w14:paraId="64C4A299" w14:textId="77777777" w:rsidR="00632B65" w:rsidRPr="001E4B49" w:rsidRDefault="00632B65" w:rsidP="001E4B49">
            <w:pPr>
              <w:jc w:val="center"/>
              <w:rPr>
                <w:b/>
                <w:sz w:val="16"/>
                <w:szCs w:val="16"/>
              </w:rPr>
            </w:pPr>
            <w:r w:rsidRPr="001E4B49">
              <w:rPr>
                <w:b/>
                <w:sz w:val="16"/>
                <w:szCs w:val="16"/>
              </w:rPr>
              <w:t>200 min.</w:t>
            </w:r>
          </w:p>
        </w:tc>
      </w:tr>
    </w:tbl>
    <w:p w14:paraId="6ECE9BF7" w14:textId="77777777" w:rsidR="00632B65" w:rsidRPr="001E4B49" w:rsidRDefault="00632B65" w:rsidP="00632B65">
      <w:pPr>
        <w:pStyle w:val="BodyText1"/>
        <w:spacing w:after="0"/>
        <w:ind w:right="-426"/>
        <w:rPr>
          <w:rFonts w:ascii="Times New Roman" w:hAnsi="Times New Roman"/>
          <w:i/>
          <w:sz w:val="20"/>
          <w:szCs w:val="20"/>
        </w:rPr>
      </w:pPr>
      <w:r w:rsidRPr="001E4B49">
        <w:rPr>
          <w:rFonts w:ascii="Times New Roman" w:hAnsi="Times New Roman"/>
          <w:i/>
          <w:sz w:val="20"/>
          <w:szCs w:val="20"/>
        </w:rPr>
        <w:t>Tabuľka štandardných časových náročností typických informačných povinností podľa veľkosti podniku (v minútach)</w:t>
      </w:r>
    </w:p>
    <w:p w14:paraId="07423B09" w14:textId="77777777" w:rsidR="00632B65" w:rsidRPr="001E4B49" w:rsidRDefault="00632B65" w:rsidP="00632B65">
      <w:pPr>
        <w:pStyle w:val="BodyText1"/>
        <w:spacing w:after="0"/>
        <w:rPr>
          <w:rFonts w:ascii="Times New Roman" w:hAnsi="Times New Roman"/>
          <w:i/>
          <w:sz w:val="20"/>
          <w:szCs w:val="20"/>
        </w:rPr>
      </w:pPr>
    </w:p>
    <w:p w14:paraId="12DF75C1" w14:textId="77777777" w:rsidR="00632B65" w:rsidRPr="001E4B49" w:rsidRDefault="00632B65" w:rsidP="00632B65">
      <w:pPr>
        <w:pStyle w:val="BodyText1"/>
        <w:spacing w:after="0"/>
        <w:rPr>
          <w:rFonts w:ascii="Times New Roman" w:hAnsi="Times New Roman"/>
          <w:i/>
          <w:sz w:val="20"/>
          <w:szCs w:val="20"/>
        </w:rPr>
      </w:pPr>
    </w:p>
    <w:p w14:paraId="21B52A68" w14:textId="77777777" w:rsidR="00632B65" w:rsidRPr="001E4B49" w:rsidRDefault="00632B65" w:rsidP="00632B65">
      <w:pPr>
        <w:pStyle w:val="BodyText1"/>
        <w:spacing w:after="0"/>
        <w:rPr>
          <w:rFonts w:ascii="Times New Roman" w:hAnsi="Times New Roman"/>
          <w:sz w:val="24"/>
          <w:szCs w:val="20"/>
        </w:rPr>
      </w:pPr>
      <w:r w:rsidRPr="001E4B49">
        <w:rPr>
          <w:rFonts w:ascii="Times New Roman" w:hAnsi="Times New Roman"/>
          <w:sz w:val="24"/>
          <w:szCs w:val="20"/>
        </w:rPr>
        <w:t xml:space="preserve">Príklady konkrétnych typických informačných povinností podľa jednotlivých kategórií sú uvedené v nasledovnej tabuľke. </w:t>
      </w:r>
    </w:p>
    <w:p w14:paraId="3E28A196" w14:textId="77777777" w:rsidR="00632B65" w:rsidRPr="001E4B49" w:rsidRDefault="00632B65" w:rsidP="00632B65">
      <w:pPr>
        <w:pStyle w:val="BodyText1"/>
        <w:spacing w:after="0"/>
        <w:rPr>
          <w:rFonts w:ascii="Times New Roman" w:hAnsi="Times New Roman"/>
          <w:i/>
          <w:sz w:val="20"/>
          <w:szCs w:val="20"/>
        </w:rPr>
      </w:pPr>
    </w:p>
    <w:p w14:paraId="37CBCE1C" w14:textId="77777777" w:rsidR="00632B65" w:rsidRPr="001E4B49" w:rsidRDefault="00632B65" w:rsidP="00632B65">
      <w:pPr>
        <w:pStyle w:val="BodyText1"/>
        <w:spacing w:after="0"/>
        <w:rPr>
          <w:rFonts w:ascii="Times New Roman" w:hAnsi="Times New Roman"/>
          <w:i/>
          <w:sz w:val="20"/>
          <w:szCs w:val="20"/>
        </w:rPr>
      </w:pPr>
      <w:r w:rsidRPr="001E4B49">
        <w:rPr>
          <w:rFonts w:ascii="Times New Roman" w:hAnsi="Times New Roman"/>
          <w:i/>
          <w:sz w:val="20"/>
          <w:szCs w:val="20"/>
        </w:rPr>
        <w:t>Prehľad kategórií typických informačných povinností</w:t>
      </w:r>
    </w:p>
    <w:tbl>
      <w:tblPr>
        <w:tblW w:w="5000" w:type="pct"/>
        <w:tblLook w:val="01E0" w:firstRow="1" w:lastRow="1" w:firstColumn="1" w:lastColumn="1" w:noHBand="0" w:noVBand="0"/>
      </w:tblPr>
      <w:tblGrid>
        <w:gridCol w:w="1624"/>
        <w:gridCol w:w="7448"/>
      </w:tblGrid>
      <w:tr w:rsidR="00632B65" w:rsidRPr="001E4B49" w14:paraId="1FF0418B" w14:textId="77777777" w:rsidTr="001E4B49">
        <w:trPr>
          <w:trHeight w:val="288"/>
        </w:trPr>
        <w:tc>
          <w:tcPr>
            <w:tcW w:w="895" w:type="pct"/>
            <w:shd w:val="clear" w:color="auto" w:fill="92D400"/>
            <w:vAlign w:val="center"/>
            <w:hideMark/>
          </w:tcPr>
          <w:p w14:paraId="20AEE11D" w14:textId="77777777" w:rsidR="00632B65" w:rsidRPr="001E4B49" w:rsidRDefault="00632B65" w:rsidP="001E4B49">
            <w:pPr>
              <w:pStyle w:val="TableColumnheader"/>
              <w:spacing w:before="60" w:after="60"/>
              <w:jc w:val="center"/>
              <w:rPr>
                <w:rFonts w:ascii="Times New Roman" w:hAnsi="Times New Roman"/>
                <w:sz w:val="16"/>
                <w:szCs w:val="16"/>
                <w:lang w:val="sk-SK"/>
              </w:rPr>
            </w:pPr>
            <w:r w:rsidRPr="001E4B49">
              <w:rPr>
                <w:rFonts w:ascii="Times New Roman" w:hAnsi="Times New Roman"/>
                <w:sz w:val="16"/>
                <w:szCs w:val="16"/>
                <w:lang w:val="sk-SK"/>
              </w:rPr>
              <w:t>Kategória</w:t>
            </w:r>
          </w:p>
        </w:tc>
        <w:tc>
          <w:tcPr>
            <w:tcW w:w="4105" w:type="pct"/>
            <w:shd w:val="clear" w:color="auto" w:fill="92D400"/>
            <w:vAlign w:val="center"/>
            <w:hideMark/>
          </w:tcPr>
          <w:p w14:paraId="6FFEE050" w14:textId="77777777" w:rsidR="00632B65" w:rsidRPr="001E4B49" w:rsidRDefault="00632B65" w:rsidP="001E4B49">
            <w:pPr>
              <w:pStyle w:val="TableColumnheader"/>
              <w:spacing w:before="60" w:after="60"/>
              <w:jc w:val="center"/>
              <w:rPr>
                <w:rFonts w:ascii="Times New Roman" w:hAnsi="Times New Roman"/>
                <w:sz w:val="16"/>
                <w:szCs w:val="16"/>
                <w:lang w:val="sk-SK"/>
              </w:rPr>
            </w:pPr>
            <w:r w:rsidRPr="001E4B49">
              <w:rPr>
                <w:rFonts w:ascii="Times New Roman" w:hAnsi="Times New Roman"/>
                <w:sz w:val="16"/>
                <w:szCs w:val="16"/>
                <w:lang w:val="sk-SK"/>
              </w:rPr>
              <w:t>Príklad IP</w:t>
            </w:r>
          </w:p>
        </w:tc>
      </w:tr>
      <w:tr w:rsidR="00632B65" w:rsidRPr="001E4B49" w14:paraId="7E6C6117" w14:textId="77777777" w:rsidTr="001E4B49">
        <w:trPr>
          <w:trHeight w:val="288"/>
        </w:trPr>
        <w:tc>
          <w:tcPr>
            <w:tcW w:w="895" w:type="pct"/>
            <w:tcBorders>
              <w:top w:val="nil"/>
              <w:left w:val="nil"/>
              <w:bottom w:val="single" w:sz="4" w:space="0" w:color="92D400"/>
              <w:right w:val="nil"/>
            </w:tcBorders>
            <w:vAlign w:val="center"/>
            <w:hideMark/>
          </w:tcPr>
          <w:p w14:paraId="5F0F3B4D" w14:textId="77777777" w:rsidR="00632B65" w:rsidRPr="001E4B49" w:rsidRDefault="00632B65" w:rsidP="001E4B49">
            <w:pPr>
              <w:rPr>
                <w:b/>
                <w:sz w:val="16"/>
                <w:szCs w:val="16"/>
              </w:rPr>
            </w:pPr>
            <w:r w:rsidRPr="001E4B49">
              <w:rPr>
                <w:b/>
                <w:sz w:val="16"/>
                <w:szCs w:val="16"/>
              </w:rPr>
              <w:t>Archivácia</w:t>
            </w:r>
          </w:p>
        </w:tc>
        <w:tc>
          <w:tcPr>
            <w:tcW w:w="4105" w:type="pct"/>
            <w:tcBorders>
              <w:top w:val="nil"/>
              <w:left w:val="nil"/>
              <w:bottom w:val="single" w:sz="4" w:space="0" w:color="92D400"/>
              <w:right w:val="nil"/>
            </w:tcBorders>
            <w:vAlign w:val="center"/>
          </w:tcPr>
          <w:p w14:paraId="6662CF96"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Uchovávanie dokumentácie po dobu päť rokov po skončení prítomnosti jadrových materiálov;</w:t>
            </w:r>
          </w:p>
          <w:p w14:paraId="77C2ACCB"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Uchovávanie posudkov z posudzovania rizika desať rokov odo dňa zatriedenia do rizikovej triedy;</w:t>
            </w:r>
          </w:p>
          <w:p w14:paraId="026BD8E4"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uchovávať počas desiatich rokov od uvedenia hračky na trh kópiu ES certifikátu;</w:t>
            </w:r>
          </w:p>
        </w:tc>
      </w:tr>
      <w:tr w:rsidR="00632B65" w:rsidRPr="001E4B49" w14:paraId="1F634433" w14:textId="77777777" w:rsidTr="001E4B49">
        <w:trPr>
          <w:trHeight w:val="288"/>
        </w:trPr>
        <w:tc>
          <w:tcPr>
            <w:tcW w:w="895" w:type="pct"/>
            <w:tcBorders>
              <w:top w:val="single" w:sz="4" w:space="0" w:color="92D400"/>
              <w:left w:val="nil"/>
              <w:bottom w:val="single" w:sz="4" w:space="0" w:color="92D400"/>
              <w:right w:val="nil"/>
            </w:tcBorders>
            <w:vAlign w:val="center"/>
            <w:hideMark/>
          </w:tcPr>
          <w:p w14:paraId="1ED5AD64" w14:textId="77777777" w:rsidR="00632B65" w:rsidRPr="001E4B49" w:rsidRDefault="00632B65" w:rsidP="001E4B49">
            <w:pPr>
              <w:rPr>
                <w:b/>
                <w:sz w:val="16"/>
                <w:szCs w:val="16"/>
              </w:rPr>
            </w:pPr>
            <w:r w:rsidRPr="001E4B49">
              <w:rPr>
                <w:b/>
                <w:sz w:val="16"/>
                <w:szCs w:val="16"/>
              </w:rPr>
              <w:t>Evidencia, vedenie dokumentácie</w:t>
            </w:r>
          </w:p>
        </w:tc>
        <w:tc>
          <w:tcPr>
            <w:tcW w:w="4105" w:type="pct"/>
            <w:tcBorders>
              <w:top w:val="single" w:sz="4" w:space="0" w:color="92D400"/>
              <w:left w:val="nil"/>
              <w:bottom w:val="single" w:sz="4" w:space="0" w:color="92D400"/>
              <w:right w:val="nil"/>
            </w:tcBorders>
            <w:vAlign w:val="center"/>
          </w:tcPr>
          <w:p w14:paraId="06698D74"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viesť evidenciu používaných určených meradiel s uvedením dátumov ich overenia;</w:t>
            </w:r>
          </w:p>
          <w:p w14:paraId="1A64507E"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viesť samostatnú evidenciu o zmenách na jadrovom zariadení;</w:t>
            </w:r>
          </w:p>
          <w:p w14:paraId="1570B1D7"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Držiteľ povolenia vedie evidenciu odborne spôsobilých zamestnancov;</w:t>
            </w:r>
          </w:p>
        </w:tc>
      </w:tr>
      <w:tr w:rsidR="00632B65" w:rsidRPr="001E4B49" w14:paraId="69F54571" w14:textId="77777777" w:rsidTr="001E4B49">
        <w:trPr>
          <w:trHeight w:val="288"/>
        </w:trPr>
        <w:tc>
          <w:tcPr>
            <w:tcW w:w="895" w:type="pct"/>
            <w:tcBorders>
              <w:top w:val="single" w:sz="4" w:space="0" w:color="92D400"/>
              <w:left w:val="nil"/>
              <w:bottom w:val="single" w:sz="4" w:space="0" w:color="92D400"/>
              <w:right w:val="nil"/>
            </w:tcBorders>
            <w:vAlign w:val="center"/>
          </w:tcPr>
          <w:p w14:paraId="3E3C09C1" w14:textId="77777777" w:rsidR="00632B65" w:rsidRPr="001E4B49" w:rsidRDefault="00632B65" w:rsidP="001E4B49">
            <w:pPr>
              <w:rPr>
                <w:b/>
                <w:sz w:val="16"/>
                <w:szCs w:val="16"/>
              </w:rPr>
            </w:pPr>
            <w:r w:rsidRPr="001E4B49">
              <w:rPr>
                <w:b/>
                <w:sz w:val="16"/>
                <w:szCs w:val="16"/>
              </w:rPr>
              <w:t>Inventarizácia</w:t>
            </w:r>
          </w:p>
        </w:tc>
        <w:tc>
          <w:tcPr>
            <w:tcW w:w="4105" w:type="pct"/>
            <w:tcBorders>
              <w:top w:val="single" w:sz="4" w:space="0" w:color="92D400"/>
              <w:left w:val="nil"/>
              <w:bottom w:val="single" w:sz="4" w:space="0" w:color="92D400"/>
              <w:right w:val="nil"/>
            </w:tcBorders>
            <w:vAlign w:val="center"/>
          </w:tcPr>
          <w:p w14:paraId="204F17EB"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Vykonať inventarizáciu omamných a psychotropných látok do 31. decembra každého roka;</w:t>
            </w:r>
          </w:p>
          <w:p w14:paraId="15554DF1"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Pri uzatvorení dohody o hmotnej zodpovednosti, pri jej zániku, pri preradení zamestnanca na inú prácu alebo na iné pracovisko, pri jeho preložení a pri skončení pracovného pomeru sa musí vykonať inventarizácia;</w:t>
            </w:r>
          </w:p>
          <w:p w14:paraId="049BD98A"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Účtovná jednotka je povinná inventarizovať majetok, záväzky a rozdiel majetku a záväzkov;</w:t>
            </w:r>
          </w:p>
        </w:tc>
      </w:tr>
      <w:tr w:rsidR="00632B65" w:rsidRPr="001E4B49" w14:paraId="44530F16" w14:textId="77777777" w:rsidTr="001E4B49">
        <w:trPr>
          <w:trHeight w:val="288"/>
        </w:trPr>
        <w:tc>
          <w:tcPr>
            <w:tcW w:w="895" w:type="pct"/>
            <w:tcBorders>
              <w:top w:val="single" w:sz="4" w:space="0" w:color="92D400"/>
              <w:left w:val="nil"/>
              <w:bottom w:val="single" w:sz="4" w:space="0" w:color="92D400"/>
              <w:right w:val="nil"/>
            </w:tcBorders>
            <w:vAlign w:val="center"/>
          </w:tcPr>
          <w:p w14:paraId="0175F6BE" w14:textId="77777777" w:rsidR="00632B65" w:rsidRPr="001E4B49" w:rsidRDefault="00632B65" w:rsidP="001E4B49">
            <w:pPr>
              <w:rPr>
                <w:b/>
                <w:sz w:val="16"/>
                <w:szCs w:val="16"/>
              </w:rPr>
            </w:pPr>
            <w:r w:rsidRPr="001E4B49">
              <w:rPr>
                <w:b/>
                <w:sz w:val="16"/>
                <w:szCs w:val="16"/>
              </w:rPr>
              <w:t>Ohlásenie, oznámenie, poskytnutie informácie</w:t>
            </w:r>
          </w:p>
        </w:tc>
        <w:tc>
          <w:tcPr>
            <w:tcW w:w="4105" w:type="pct"/>
            <w:tcBorders>
              <w:top w:val="single" w:sz="4" w:space="0" w:color="92D400"/>
              <w:left w:val="nil"/>
              <w:bottom w:val="single" w:sz="4" w:space="0" w:color="92D400"/>
              <w:right w:val="nil"/>
            </w:tcBorders>
            <w:vAlign w:val="center"/>
          </w:tcPr>
          <w:p w14:paraId="25877FB6"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Oznámenie o zmene údajov uvedených v ohlásení živnosti;</w:t>
            </w:r>
          </w:p>
          <w:p w14:paraId="5A3B34CB"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Bezodkladne informovať orgán dohľadu, že zariadenie sprístupnené na trhu nespĺňa technické požiadavky;</w:t>
            </w:r>
          </w:p>
          <w:p w14:paraId="2C65469F"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Informovať o pripravovanej zmene druhu opakovane použiteľného obalu najmenej tri mesiace pred vykonaním takejto zmeny;</w:t>
            </w:r>
          </w:p>
        </w:tc>
      </w:tr>
      <w:tr w:rsidR="00632B65" w:rsidRPr="001E4B49" w14:paraId="248E4CB5" w14:textId="77777777" w:rsidTr="001E4B49">
        <w:trPr>
          <w:trHeight w:val="288"/>
        </w:trPr>
        <w:tc>
          <w:tcPr>
            <w:tcW w:w="895" w:type="pct"/>
            <w:tcBorders>
              <w:top w:val="single" w:sz="4" w:space="0" w:color="92D400"/>
              <w:left w:val="nil"/>
              <w:bottom w:val="single" w:sz="4" w:space="0" w:color="92D400"/>
              <w:right w:val="nil"/>
            </w:tcBorders>
            <w:vAlign w:val="center"/>
          </w:tcPr>
          <w:p w14:paraId="4176AA37" w14:textId="77777777" w:rsidR="00632B65" w:rsidRPr="001E4B49" w:rsidRDefault="00632B65" w:rsidP="001E4B49">
            <w:pPr>
              <w:rPr>
                <w:b/>
                <w:sz w:val="16"/>
                <w:szCs w:val="16"/>
              </w:rPr>
            </w:pPr>
            <w:r w:rsidRPr="001E4B49">
              <w:rPr>
                <w:b/>
                <w:sz w:val="16"/>
                <w:szCs w:val="16"/>
              </w:rPr>
              <w:t>Overenie súladu</w:t>
            </w:r>
          </w:p>
        </w:tc>
        <w:tc>
          <w:tcPr>
            <w:tcW w:w="4105" w:type="pct"/>
            <w:tcBorders>
              <w:top w:val="single" w:sz="4" w:space="0" w:color="92D400"/>
              <w:left w:val="nil"/>
              <w:bottom w:val="single" w:sz="4" w:space="0" w:color="92D400"/>
              <w:right w:val="nil"/>
            </w:tcBorders>
            <w:vAlign w:val="center"/>
          </w:tcPr>
          <w:p w14:paraId="006CD70D"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 xml:space="preserve">Vykonávať pravidelné kontroly výrobnej činnosti na zistenie koncentrácie ťažkých kovov; </w:t>
            </w:r>
          </w:p>
          <w:p w14:paraId="6A82C3BE"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 xml:space="preserve">Osoba, ktorá podpisuje návrh na zápis elektronickým podpisom, je povinná zabezpečiť overenie svojich osobných údajov na účely elektronického konania; </w:t>
            </w:r>
          </w:p>
          <w:p w14:paraId="359C4ECE"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 xml:space="preserve">Pred začiatkom spúšťania musí držiteľ povolenia skontrolovať pripravenosť jadrového zariadenia na spúšťanie tak, že preverí a protokolárne zaznamená splnenie kritérií úspešnosti pomontážnych skúšok systémov, konštrukcií a komponentov; </w:t>
            </w:r>
          </w:p>
          <w:p w14:paraId="488800AA"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Prehodnocovať a aktualizovať bezpečnostnú správu najmenej raz za päť rokov ako aj pri závažnej zmene v podniku;</w:t>
            </w:r>
          </w:p>
        </w:tc>
      </w:tr>
      <w:tr w:rsidR="00632B65" w:rsidRPr="001E4B49" w14:paraId="6434228D" w14:textId="77777777" w:rsidTr="001E4B49">
        <w:trPr>
          <w:trHeight w:val="288"/>
        </w:trPr>
        <w:tc>
          <w:tcPr>
            <w:tcW w:w="895" w:type="pct"/>
            <w:tcBorders>
              <w:top w:val="single" w:sz="4" w:space="0" w:color="92D400"/>
              <w:left w:val="nil"/>
              <w:bottom w:val="single" w:sz="4" w:space="0" w:color="92D400"/>
              <w:right w:val="nil"/>
            </w:tcBorders>
            <w:vAlign w:val="center"/>
          </w:tcPr>
          <w:p w14:paraId="02217228" w14:textId="77777777" w:rsidR="00632B65" w:rsidRPr="001E4B49" w:rsidRDefault="00632B65" w:rsidP="001E4B49">
            <w:pPr>
              <w:rPr>
                <w:b/>
                <w:sz w:val="16"/>
                <w:szCs w:val="16"/>
              </w:rPr>
            </w:pPr>
            <w:r w:rsidRPr="001E4B49">
              <w:rPr>
                <w:b/>
                <w:sz w:val="16"/>
                <w:szCs w:val="16"/>
              </w:rPr>
              <w:t>Poskytnutie súčinnosti</w:t>
            </w:r>
          </w:p>
        </w:tc>
        <w:tc>
          <w:tcPr>
            <w:tcW w:w="4105" w:type="pct"/>
            <w:tcBorders>
              <w:top w:val="single" w:sz="4" w:space="0" w:color="92D400"/>
              <w:left w:val="nil"/>
              <w:bottom w:val="single" w:sz="4" w:space="0" w:color="92D400"/>
              <w:right w:val="nil"/>
            </w:tcBorders>
            <w:vAlign w:val="center"/>
          </w:tcPr>
          <w:p w14:paraId="58251710"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Prijímateľ, partner a osoba k nim majúca vzťah dodávateľa je povinná poskytnúť súčinnosť riadiacemu orgánu;</w:t>
            </w:r>
          </w:p>
          <w:p w14:paraId="21F292F0"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Na základe vyžiadania dodať príslušné materiály a technickú dokumentáciu o meradle v štátnom jazyku;</w:t>
            </w:r>
          </w:p>
          <w:p w14:paraId="71FBCEA9"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poskytnúť súčinnosť správe katastra pri revízii údajov katastra;</w:t>
            </w:r>
          </w:p>
        </w:tc>
      </w:tr>
      <w:tr w:rsidR="00632B65" w:rsidRPr="001E4B49" w14:paraId="004519D1" w14:textId="77777777" w:rsidTr="001E4B49">
        <w:trPr>
          <w:trHeight w:val="288"/>
        </w:trPr>
        <w:tc>
          <w:tcPr>
            <w:tcW w:w="895" w:type="pct"/>
            <w:tcBorders>
              <w:top w:val="single" w:sz="4" w:space="0" w:color="92D400"/>
              <w:left w:val="nil"/>
              <w:bottom w:val="single" w:sz="4" w:space="0" w:color="92D400"/>
              <w:right w:val="nil"/>
            </w:tcBorders>
            <w:vAlign w:val="center"/>
          </w:tcPr>
          <w:p w14:paraId="3F1E707C" w14:textId="77777777" w:rsidR="00632B65" w:rsidRPr="001E4B49" w:rsidRDefault="00632B65" w:rsidP="001E4B49">
            <w:pPr>
              <w:rPr>
                <w:b/>
                <w:sz w:val="16"/>
                <w:szCs w:val="16"/>
              </w:rPr>
            </w:pPr>
            <w:r w:rsidRPr="001E4B49">
              <w:rPr>
                <w:b/>
                <w:sz w:val="16"/>
                <w:szCs w:val="16"/>
              </w:rPr>
              <w:t>Predloženie dokladu/ dokumentu elektronicky</w:t>
            </w:r>
          </w:p>
        </w:tc>
        <w:tc>
          <w:tcPr>
            <w:tcW w:w="4105" w:type="pct"/>
            <w:tcBorders>
              <w:top w:val="single" w:sz="4" w:space="0" w:color="92D400"/>
              <w:left w:val="nil"/>
              <w:bottom w:val="single" w:sz="4" w:space="0" w:color="92D400"/>
              <w:right w:val="nil"/>
            </w:tcBorders>
            <w:vAlign w:val="center"/>
          </w:tcPr>
          <w:p w14:paraId="0DCE2928"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Poskytnúť elektronickú verziu technickej dokumentácie do desiatich pracovných dní od doručenia žiadosti orgánu dohľadu nad trhom;</w:t>
            </w:r>
          </w:p>
          <w:p w14:paraId="390D8A6B"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Odovzdanie štatistických údajov spravodajskou jednotkou;</w:t>
            </w:r>
          </w:p>
          <w:p w14:paraId="57840F20"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zasielať zoznamy vydaných a zoznamy zrušených kvalifikovaných certifikátov;</w:t>
            </w:r>
          </w:p>
        </w:tc>
      </w:tr>
      <w:tr w:rsidR="00632B65" w:rsidRPr="001E4B49" w14:paraId="6D738862" w14:textId="77777777" w:rsidTr="001E4B49">
        <w:trPr>
          <w:trHeight w:val="288"/>
        </w:trPr>
        <w:tc>
          <w:tcPr>
            <w:tcW w:w="895" w:type="pct"/>
            <w:tcBorders>
              <w:top w:val="single" w:sz="4" w:space="0" w:color="92D400"/>
              <w:left w:val="nil"/>
              <w:bottom w:val="single" w:sz="4" w:space="0" w:color="92D400"/>
              <w:right w:val="nil"/>
            </w:tcBorders>
            <w:vAlign w:val="center"/>
          </w:tcPr>
          <w:p w14:paraId="75FC1C92" w14:textId="77777777" w:rsidR="00632B65" w:rsidRPr="001E4B49" w:rsidRDefault="00632B65" w:rsidP="001E4B49">
            <w:pPr>
              <w:rPr>
                <w:b/>
                <w:sz w:val="16"/>
                <w:szCs w:val="16"/>
              </w:rPr>
            </w:pPr>
            <w:r w:rsidRPr="001E4B49">
              <w:rPr>
                <w:b/>
                <w:sz w:val="16"/>
                <w:szCs w:val="16"/>
              </w:rPr>
              <w:t>Predloženie dokladu/ dokumentu papierovo</w:t>
            </w:r>
          </w:p>
        </w:tc>
        <w:tc>
          <w:tcPr>
            <w:tcW w:w="4105" w:type="pct"/>
            <w:tcBorders>
              <w:top w:val="single" w:sz="4" w:space="0" w:color="92D400"/>
              <w:left w:val="nil"/>
              <w:bottom w:val="single" w:sz="4" w:space="0" w:color="92D400"/>
              <w:right w:val="nil"/>
            </w:tcBorders>
            <w:vAlign w:val="center"/>
          </w:tcPr>
          <w:p w14:paraId="63E10F57"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pri skončení činnosti, ktorá je predmetom registrácie, odovzdať úradu rozhodnutie o registrácii;</w:t>
            </w:r>
          </w:p>
          <w:p w14:paraId="4C166009"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Predloženie auditnej správy ako náhrady kontroly;</w:t>
            </w:r>
          </w:p>
          <w:p w14:paraId="116F1489"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Predkladať NBS výkaz o vykonávaní finančného sprostredkovania a výkaz o vykonávaní finančného poradenstva;</w:t>
            </w:r>
          </w:p>
        </w:tc>
      </w:tr>
      <w:tr w:rsidR="00632B65" w:rsidRPr="001E4B49" w14:paraId="7F48E8E9" w14:textId="77777777" w:rsidTr="001E4B49">
        <w:trPr>
          <w:trHeight w:val="288"/>
        </w:trPr>
        <w:tc>
          <w:tcPr>
            <w:tcW w:w="895" w:type="pct"/>
            <w:tcBorders>
              <w:top w:val="single" w:sz="4" w:space="0" w:color="92D400"/>
              <w:left w:val="nil"/>
              <w:bottom w:val="single" w:sz="4" w:space="0" w:color="92D400"/>
              <w:right w:val="nil"/>
            </w:tcBorders>
            <w:vAlign w:val="center"/>
          </w:tcPr>
          <w:p w14:paraId="044415C9" w14:textId="77777777" w:rsidR="00632B65" w:rsidRPr="001E4B49" w:rsidRDefault="00632B65" w:rsidP="001E4B49">
            <w:pPr>
              <w:rPr>
                <w:b/>
                <w:sz w:val="16"/>
                <w:szCs w:val="16"/>
              </w:rPr>
            </w:pPr>
            <w:r w:rsidRPr="001E4B49">
              <w:rPr>
                <w:b/>
                <w:sz w:val="16"/>
                <w:szCs w:val="16"/>
              </w:rPr>
              <w:t>Vypracovanie dokumentu/ správy</w:t>
            </w:r>
          </w:p>
        </w:tc>
        <w:tc>
          <w:tcPr>
            <w:tcW w:w="4105" w:type="pct"/>
            <w:tcBorders>
              <w:top w:val="single" w:sz="4" w:space="0" w:color="92D400"/>
              <w:left w:val="nil"/>
              <w:bottom w:val="single" w:sz="4" w:space="0" w:color="92D400"/>
              <w:right w:val="nil"/>
            </w:tcBorders>
            <w:vAlign w:val="center"/>
          </w:tcPr>
          <w:p w14:paraId="43046F00"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zostaviť konsolidovanú účtovnú závierku;</w:t>
            </w:r>
          </w:p>
          <w:p w14:paraId="1C232892"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podať daňové priznanie k dani z motorových vozidiel</w:t>
            </w:r>
          </w:p>
          <w:p w14:paraId="0BD82D27"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Vypracovanie písomného dokumentu o posúdení rizika pri všetkých činnostiach vykonávaných zamestnancami;</w:t>
            </w:r>
          </w:p>
        </w:tc>
      </w:tr>
      <w:tr w:rsidR="00632B65" w:rsidRPr="001E4B49" w14:paraId="2AFDC35F" w14:textId="77777777" w:rsidTr="001E4B49">
        <w:trPr>
          <w:trHeight w:val="288"/>
        </w:trPr>
        <w:tc>
          <w:tcPr>
            <w:tcW w:w="895" w:type="pct"/>
            <w:tcBorders>
              <w:top w:val="single" w:sz="4" w:space="0" w:color="92D400"/>
              <w:left w:val="nil"/>
              <w:bottom w:val="single" w:sz="4" w:space="0" w:color="92D400"/>
              <w:right w:val="nil"/>
            </w:tcBorders>
            <w:vAlign w:val="center"/>
          </w:tcPr>
          <w:p w14:paraId="2B1C383E" w14:textId="77777777" w:rsidR="00632B65" w:rsidRPr="001E4B49" w:rsidRDefault="00632B65" w:rsidP="001E4B49">
            <w:pPr>
              <w:rPr>
                <w:b/>
                <w:sz w:val="16"/>
                <w:szCs w:val="16"/>
              </w:rPr>
            </w:pPr>
            <w:r w:rsidRPr="001E4B49">
              <w:rPr>
                <w:b/>
                <w:sz w:val="16"/>
                <w:szCs w:val="16"/>
              </w:rPr>
              <w:t>Žiadosť/ návrh</w:t>
            </w:r>
          </w:p>
        </w:tc>
        <w:tc>
          <w:tcPr>
            <w:tcW w:w="4105" w:type="pct"/>
            <w:tcBorders>
              <w:top w:val="single" w:sz="4" w:space="0" w:color="92D400"/>
              <w:left w:val="nil"/>
              <w:bottom w:val="single" w:sz="4" w:space="0" w:color="92D400"/>
              <w:right w:val="nil"/>
            </w:tcBorders>
            <w:vAlign w:val="center"/>
          </w:tcPr>
          <w:p w14:paraId="74A67744"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podať žiadosť o akreditáciu;</w:t>
            </w:r>
          </w:p>
          <w:p w14:paraId="313A5641"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Žiadosť o schválenie systému odbornej prípravy zamestnancov držiteľov povolenia;</w:t>
            </w:r>
          </w:p>
          <w:p w14:paraId="260BBA7B" w14:textId="77777777" w:rsidR="00632B65" w:rsidRPr="001E4B49" w:rsidRDefault="00632B65" w:rsidP="00632B65">
            <w:pPr>
              <w:pStyle w:val="Deloittebodytext"/>
              <w:numPr>
                <w:ilvl w:val="0"/>
                <w:numId w:val="30"/>
              </w:numPr>
              <w:spacing w:before="60" w:after="60" w:line="240" w:lineRule="auto"/>
              <w:ind w:left="170" w:hanging="170"/>
              <w:jc w:val="left"/>
              <w:rPr>
                <w:rFonts w:ascii="Times New Roman" w:hAnsi="Times New Roman"/>
                <w:sz w:val="16"/>
                <w:szCs w:val="16"/>
              </w:rPr>
            </w:pPr>
            <w:r w:rsidRPr="001E4B49">
              <w:rPr>
                <w:rFonts w:ascii="Times New Roman" w:hAnsi="Times New Roman"/>
                <w:sz w:val="16"/>
                <w:szCs w:val="16"/>
              </w:rPr>
              <w:t>Povinnosť podať žiadosť o povolenie na vypúšťanie skleníkových plynov do ovzdušia.</w:t>
            </w:r>
          </w:p>
        </w:tc>
      </w:tr>
    </w:tbl>
    <w:p w14:paraId="643CE050" w14:textId="77777777" w:rsidR="00632B65" w:rsidRPr="001E4B49" w:rsidRDefault="00632B65" w:rsidP="00632B65">
      <w:pPr>
        <w:pStyle w:val="BodyText1"/>
        <w:rPr>
          <w:rFonts w:ascii="Times New Roman" w:hAnsi="Times New Roman"/>
          <w:i/>
        </w:rPr>
      </w:pPr>
    </w:p>
    <w:p w14:paraId="0E763DE0" w14:textId="77777777" w:rsidR="00632B65" w:rsidRPr="001E4B49" w:rsidRDefault="00632B65" w:rsidP="00632B65">
      <w:pPr>
        <w:pStyle w:val="BodyText1"/>
        <w:numPr>
          <w:ilvl w:val="0"/>
          <w:numId w:val="29"/>
        </w:numPr>
        <w:rPr>
          <w:rFonts w:ascii="Times New Roman" w:eastAsiaTheme="minorHAnsi" w:hAnsi="Times New Roman"/>
          <w:i/>
          <w:color w:val="auto"/>
          <w:sz w:val="24"/>
          <w:szCs w:val="22"/>
        </w:rPr>
      </w:pPr>
      <w:r w:rsidRPr="001E4B49">
        <w:rPr>
          <w:rFonts w:ascii="Times New Roman" w:eastAsiaTheme="minorHAnsi" w:hAnsi="Times New Roman"/>
          <w:i/>
          <w:color w:val="auto"/>
          <w:sz w:val="24"/>
          <w:szCs w:val="22"/>
        </w:rPr>
        <w:t xml:space="preserve">Expertný odhad trvania povinnosti (v min.) </w:t>
      </w:r>
    </w:p>
    <w:p w14:paraId="6930618F" w14:textId="77777777" w:rsidR="00632B65" w:rsidRPr="001E4B49" w:rsidRDefault="00632B65" w:rsidP="00632B65">
      <w:pPr>
        <w:pStyle w:val="BodyText1"/>
        <w:spacing w:line="276" w:lineRule="auto"/>
        <w:ind w:left="720"/>
        <w:jc w:val="both"/>
        <w:rPr>
          <w:rFonts w:ascii="Times New Roman" w:hAnsi="Times New Roman"/>
          <w:sz w:val="24"/>
          <w:szCs w:val="20"/>
        </w:rPr>
      </w:pPr>
      <w:r w:rsidRPr="001E4B49">
        <w:rPr>
          <w:rFonts w:ascii="Times New Roman" w:hAnsi="Times New Roman"/>
          <w:sz w:val="24"/>
          <w:szCs w:val="20"/>
        </w:rPr>
        <w:t xml:space="preserve">V prípade, že predkladateľ disponuje presnejšími údajmi o trvaní povinnosti získanými na základe vlastných meraní, diskusie so zainteresovanými subjektmi, prípadne vlastným expertným odhadom trvania povinnosti, môže použiť pre výpočet nákladov regulácie tieto údaje. Rovnako postupuje v prípade, že identifikuje špecifické povinnosti, ku ktorým nie je možné priradiť žiadnu z vyššie uvedených typických informačných povinností. </w:t>
      </w:r>
    </w:p>
    <w:p w14:paraId="001BAB15" w14:textId="77777777" w:rsidR="00632B65" w:rsidRPr="001E4B49" w:rsidRDefault="00632B65" w:rsidP="00632B65">
      <w:pPr>
        <w:pStyle w:val="BodyText1"/>
        <w:spacing w:line="276" w:lineRule="auto"/>
        <w:ind w:left="720"/>
        <w:jc w:val="both"/>
        <w:rPr>
          <w:rFonts w:ascii="Times New Roman" w:hAnsi="Times New Roman"/>
          <w:color w:val="auto"/>
          <w:sz w:val="24"/>
          <w:szCs w:val="20"/>
        </w:rPr>
      </w:pPr>
      <w:r w:rsidRPr="001E4B49">
        <w:rPr>
          <w:rFonts w:ascii="Times New Roman" w:hAnsi="Times New Roman"/>
          <w:sz w:val="24"/>
          <w:szCs w:val="20"/>
        </w:rPr>
        <w:t>Pri definovaní časovej náročnosti povinnosti je potrebné klásť dôraz na to, aby v rámci expertného odhadu časovej náročnosti bolo zohľadnené trvanie všetkých čiastkových administratívnych úkonov, ktoré musí podnikateľ vykonať, aby riadne splnil danú povinnosť (tak ako tomu je aj v prípade štand</w:t>
      </w:r>
      <w:r w:rsidRPr="001E4B49">
        <w:rPr>
          <w:rFonts w:ascii="Times New Roman" w:hAnsi="Times New Roman"/>
          <w:color w:val="auto"/>
          <w:sz w:val="24"/>
          <w:szCs w:val="20"/>
        </w:rPr>
        <w:t xml:space="preserve">ardizovaných časov uvedených pri typických informačných povinnostiach). Medzi čiastkové administratívne úkony, ktoré podnikateľ zvyčajne vykonáva pri plnení jednotlivých informačných povinností, patrí najmä oboznámenie sa s IP, vyhľadávanie a výber informácií, spracovanie vstupných informácií, výpočty, spracovanie číselných údajov, kontrola, korekcia, vyúčtovanie/platba, interné stretnutia, externé stretnutia, inšpekcia zo strany verejných orgánov, korekcia vyplývajúca z výsledku inšpekcie, kopírovanie a skenovanie.  </w:t>
      </w:r>
    </w:p>
    <w:p w14:paraId="407EE8F8" w14:textId="77777777" w:rsidR="00632B65" w:rsidRPr="001E4B49" w:rsidRDefault="00632B65" w:rsidP="00632B65">
      <w:pPr>
        <w:pStyle w:val="BodyText1"/>
        <w:spacing w:line="276" w:lineRule="auto"/>
        <w:ind w:firstLine="340"/>
        <w:jc w:val="both"/>
        <w:rPr>
          <w:rFonts w:ascii="Times New Roman" w:eastAsiaTheme="minorHAnsi" w:hAnsi="Times New Roman"/>
          <w:color w:val="auto"/>
          <w:sz w:val="24"/>
          <w:szCs w:val="22"/>
        </w:rPr>
      </w:pPr>
    </w:p>
    <w:p w14:paraId="5FBC4F9B" w14:textId="77777777" w:rsidR="00632B65" w:rsidRPr="001E4B49" w:rsidRDefault="00632B65" w:rsidP="00632B65">
      <w:pPr>
        <w:pStyle w:val="BodyText1"/>
        <w:spacing w:line="276" w:lineRule="auto"/>
        <w:jc w:val="both"/>
        <w:rPr>
          <w:rFonts w:ascii="Times New Roman" w:eastAsiaTheme="minorHAnsi" w:hAnsi="Times New Roman"/>
          <w:b/>
          <w:color w:val="auto"/>
          <w:sz w:val="24"/>
          <w:szCs w:val="22"/>
        </w:rPr>
      </w:pPr>
      <w:r w:rsidRPr="001E4B49">
        <w:rPr>
          <w:rFonts w:ascii="Times New Roman" w:eastAsiaTheme="minorHAnsi" w:hAnsi="Times New Roman"/>
          <w:b/>
          <w:color w:val="auto"/>
          <w:sz w:val="24"/>
          <w:szCs w:val="22"/>
        </w:rPr>
        <w:t>Krok 2 – Určenie výšky súvisiacich priamych a nepriamych finančných nákladov na splnenie povinnosti jedným podnikom, resp. na jedno plnenie</w:t>
      </w:r>
    </w:p>
    <w:p w14:paraId="5646C98B" w14:textId="77777777" w:rsidR="00632B65" w:rsidRPr="001E4B49" w:rsidRDefault="00632B65" w:rsidP="00632B65">
      <w:pPr>
        <w:pStyle w:val="BodyText1"/>
        <w:spacing w:line="276" w:lineRule="auto"/>
        <w:jc w:val="both"/>
        <w:rPr>
          <w:rFonts w:ascii="Times New Roman" w:eastAsiaTheme="minorHAnsi" w:hAnsi="Times New Roman"/>
          <w:color w:val="auto"/>
          <w:sz w:val="24"/>
          <w:szCs w:val="22"/>
        </w:rPr>
      </w:pPr>
      <w:r w:rsidRPr="001E4B49">
        <w:rPr>
          <w:rFonts w:ascii="Times New Roman" w:eastAsiaTheme="minorHAnsi" w:hAnsi="Times New Roman"/>
          <w:color w:val="auto"/>
          <w:sz w:val="24"/>
          <w:szCs w:val="22"/>
        </w:rPr>
        <w:t>V prípade, že plnenie povinnosti je spojené taktiež/výhradne s priamymi alebo nepriamymi finančnými nákladmi na strane podnikateľa, určí/odhadne predkladateľ výšku týchto nákladov na jedného podnikateľa, resp. jedno plnenie. Ide buď o náklady priame – poplatky za vystavenie dokladu/výpisu, kolky, správne poplatky, poistné alebo náklady nepriame – náklady na povinné školenia, testy, kontroly, investície do softvéru, zabezpečenie súladu s reguláciou technickým vybavením prevádzky, a pod.</w:t>
      </w:r>
    </w:p>
    <w:p w14:paraId="74AECA56" w14:textId="77777777" w:rsidR="00632B65" w:rsidRPr="001E4B49" w:rsidRDefault="00632B65" w:rsidP="00632B65">
      <w:pPr>
        <w:pStyle w:val="BodyText1"/>
        <w:spacing w:after="240" w:line="276" w:lineRule="auto"/>
        <w:jc w:val="both"/>
        <w:rPr>
          <w:rFonts w:ascii="Times New Roman" w:eastAsiaTheme="minorHAnsi" w:hAnsi="Times New Roman"/>
          <w:color w:val="auto"/>
          <w:sz w:val="24"/>
          <w:szCs w:val="22"/>
        </w:rPr>
      </w:pPr>
      <w:r w:rsidRPr="001E4B49">
        <w:rPr>
          <w:rFonts w:ascii="Times New Roman" w:eastAsiaTheme="minorHAnsi" w:hAnsi="Times New Roman"/>
          <w:color w:val="auto"/>
          <w:sz w:val="24"/>
          <w:szCs w:val="22"/>
        </w:rPr>
        <w:t xml:space="preserve">V prípade, že povinnosť je na strane podnikateľa spojená so </w:t>
      </w:r>
      <w:r w:rsidRPr="001E4B49">
        <w:rPr>
          <w:rFonts w:ascii="Times New Roman" w:eastAsiaTheme="minorHAnsi" w:hAnsi="Times New Roman"/>
          <w:b/>
          <w:color w:val="auto"/>
          <w:sz w:val="24"/>
          <w:szCs w:val="22"/>
        </w:rPr>
        <w:t>zaplatením dane, cla alebo odvodov</w:t>
      </w:r>
      <w:r w:rsidRPr="001E4B49">
        <w:rPr>
          <w:rFonts w:ascii="Times New Roman" w:eastAsiaTheme="minorHAnsi" w:hAnsi="Times New Roman"/>
          <w:color w:val="auto"/>
          <w:sz w:val="24"/>
          <w:szCs w:val="22"/>
        </w:rPr>
        <w:t>, opiera sa predkladateľ o analýzu vplyvu predkladaného materiálu na verejné financie. Súvisiaci vyvolaný dopad na verejné financie  vydelí spracovateľ počtom podnikateľov, ktorých sa povinnosť týka.  Tým získava údaj o vplyve daňového/odvodového/colného zaťaženia na jedného podnikateľa v súvislosti s plnením povinnosti. Informáciu, že ide o výšku odvedenej dane/cla/odvodov zároveň uvedie predkladateľ spolu s komentárom.</w:t>
      </w:r>
    </w:p>
    <w:p w14:paraId="70953435" w14:textId="77777777" w:rsidR="00632B65" w:rsidRPr="001E4B49" w:rsidRDefault="00632B65" w:rsidP="00632B65">
      <w:pPr>
        <w:rPr>
          <w:b/>
        </w:rPr>
      </w:pPr>
      <w:r w:rsidRPr="001E4B49">
        <w:rPr>
          <w:b/>
        </w:rPr>
        <w:br w:type="page"/>
      </w:r>
    </w:p>
    <w:p w14:paraId="2700D5E8" w14:textId="77777777" w:rsidR="00632B65" w:rsidRPr="001E4B49" w:rsidRDefault="00632B65" w:rsidP="00632B65">
      <w:pPr>
        <w:pStyle w:val="BodyText1"/>
        <w:spacing w:line="276" w:lineRule="auto"/>
        <w:jc w:val="both"/>
        <w:rPr>
          <w:rFonts w:ascii="Times New Roman" w:eastAsiaTheme="minorHAnsi" w:hAnsi="Times New Roman"/>
          <w:color w:val="auto"/>
          <w:sz w:val="24"/>
          <w:szCs w:val="22"/>
        </w:rPr>
      </w:pPr>
      <w:r w:rsidRPr="001E4B49">
        <w:rPr>
          <w:rFonts w:ascii="Times New Roman" w:eastAsiaTheme="minorHAnsi" w:hAnsi="Times New Roman"/>
          <w:b/>
          <w:color w:val="auto"/>
          <w:sz w:val="24"/>
          <w:szCs w:val="22"/>
        </w:rPr>
        <w:t>Krok 3 – Určenie počtu dotknutých podnikateľov</w:t>
      </w:r>
      <w:r w:rsidRPr="001E4B49">
        <w:rPr>
          <w:rFonts w:ascii="Times New Roman" w:eastAsiaTheme="minorHAnsi" w:hAnsi="Times New Roman"/>
          <w:color w:val="auto"/>
          <w:sz w:val="24"/>
          <w:szCs w:val="22"/>
        </w:rPr>
        <w:t xml:space="preserve"> – populácie, resp. počtu plnení</w:t>
      </w:r>
    </w:p>
    <w:p w14:paraId="661AFA79" w14:textId="77777777" w:rsidR="00632B65" w:rsidRPr="001E4B49" w:rsidRDefault="00632B65" w:rsidP="00632B65">
      <w:pPr>
        <w:pStyle w:val="BodyText1"/>
        <w:spacing w:line="276" w:lineRule="auto"/>
        <w:jc w:val="both"/>
        <w:rPr>
          <w:rFonts w:ascii="Times New Roman" w:eastAsiaTheme="minorHAnsi" w:hAnsi="Times New Roman"/>
          <w:color w:val="auto"/>
          <w:sz w:val="24"/>
          <w:szCs w:val="22"/>
        </w:rPr>
      </w:pPr>
      <w:r w:rsidRPr="001E4B49">
        <w:rPr>
          <w:rFonts w:ascii="Times New Roman" w:eastAsiaTheme="minorHAnsi" w:hAnsi="Times New Roman"/>
          <w:color w:val="auto"/>
          <w:sz w:val="24"/>
          <w:szCs w:val="22"/>
        </w:rPr>
        <w:t>Populácia predstavuje počet podnikateľov, na ktorých sa daná povinnosť vzťahuje resp. počet podnikateľov ovplyvnených predkladanou reguláciou. Tento údaj môže byť určený presne na základe evidencie zodpovedných útvarov za predošlé obdobia, odhadom prostredníctvom údajov za predchádzajúce obdobie, prostredníctvom štatistík podľa SK NACE klasifikácie alebo expertným odhadom.</w:t>
      </w:r>
    </w:p>
    <w:p w14:paraId="3407E1F4" w14:textId="77777777" w:rsidR="00632B65" w:rsidRPr="001E4B49" w:rsidRDefault="00632B65" w:rsidP="00632B65">
      <w:pPr>
        <w:pStyle w:val="BodyText1"/>
        <w:jc w:val="both"/>
        <w:rPr>
          <w:rFonts w:ascii="Times New Roman" w:eastAsiaTheme="minorHAnsi" w:hAnsi="Times New Roman"/>
          <w:color w:val="auto"/>
          <w:sz w:val="24"/>
          <w:szCs w:val="22"/>
        </w:rPr>
      </w:pPr>
      <w:r w:rsidRPr="001E4B49">
        <w:rPr>
          <w:rFonts w:ascii="Times New Roman" w:eastAsiaTheme="minorHAnsi" w:hAnsi="Times New Roman"/>
          <w:color w:val="auto"/>
          <w:sz w:val="24"/>
          <w:szCs w:val="22"/>
        </w:rPr>
        <w:t>V prípade, že predkladateľ disponuje údajom o presnom počte plnení povinností za rok, postupuje pri vypĺňaní tohto kroku nasledovne:</w:t>
      </w:r>
    </w:p>
    <w:p w14:paraId="2D7419FE" w14:textId="77777777" w:rsidR="00632B65" w:rsidRPr="001E4B49" w:rsidRDefault="00632B65" w:rsidP="00632B65">
      <w:pPr>
        <w:pStyle w:val="BodyText1"/>
        <w:numPr>
          <w:ilvl w:val="0"/>
          <w:numId w:val="28"/>
        </w:numPr>
        <w:spacing w:line="276" w:lineRule="auto"/>
        <w:jc w:val="both"/>
        <w:rPr>
          <w:rFonts w:ascii="Times New Roman" w:eastAsiaTheme="minorHAnsi" w:hAnsi="Times New Roman"/>
          <w:color w:val="auto"/>
          <w:sz w:val="24"/>
          <w:szCs w:val="22"/>
        </w:rPr>
      </w:pPr>
      <w:r w:rsidRPr="001E4B49">
        <w:rPr>
          <w:rFonts w:ascii="Times New Roman" w:eastAsiaTheme="minorHAnsi" w:hAnsi="Times New Roman"/>
          <w:color w:val="auto"/>
          <w:sz w:val="24"/>
          <w:szCs w:val="22"/>
        </w:rPr>
        <w:t>v prípade povinnosti s frekvenciou plnenia menšou ako 1 krát ročne, t.j. nepravidelne/ jednorázovo  alebo raz za niekoľko rokov (napr. počet žiadostí o registráciu, povinnosť periodického obnovenia odbornej spôsobilosti zamestnanca po 5 rokoch a pod.) uvedie predkladateľ v rámci tohto poľa údaj o presnom počte plnení v danom roku. S ohľadom na potrebu kalkulácie nákladov povinnosti na ročnej báze v takomto prípade následne používa v Kroku 4 – Stanovenie frekvencie plnenia povinnosti možnosť 1-krát ročne (koeficient frekvencie 0,1).</w:t>
      </w:r>
    </w:p>
    <w:p w14:paraId="5A1602A2" w14:textId="77777777" w:rsidR="00632B65" w:rsidRPr="001E4B49" w:rsidRDefault="00632B65" w:rsidP="00632B65">
      <w:pPr>
        <w:pStyle w:val="BodyText1"/>
        <w:numPr>
          <w:ilvl w:val="0"/>
          <w:numId w:val="28"/>
        </w:numPr>
        <w:spacing w:after="240" w:line="276" w:lineRule="auto"/>
        <w:ind w:left="714" w:hanging="357"/>
        <w:jc w:val="both"/>
        <w:rPr>
          <w:rFonts w:ascii="Times New Roman" w:eastAsiaTheme="minorHAnsi" w:hAnsi="Times New Roman"/>
          <w:color w:val="auto"/>
          <w:sz w:val="24"/>
          <w:szCs w:val="22"/>
        </w:rPr>
      </w:pPr>
      <w:r w:rsidRPr="001E4B49">
        <w:rPr>
          <w:rFonts w:ascii="Times New Roman" w:eastAsiaTheme="minorHAnsi" w:hAnsi="Times New Roman"/>
          <w:color w:val="auto"/>
          <w:sz w:val="24"/>
          <w:szCs w:val="22"/>
        </w:rPr>
        <w:t>v prípade povinnosti s frekvenciou plnenia niekoľkokrát za rok (napr. podávanie kvartálnych/mesačných výkazov DPH, predkladanie polročných štatistických výkazov a pod.), vydelí predkladateľ počet plnení v danom roku frekvenciou plnenia povinnosti (mesačne – 12, kvartálne – 4, polročne – 2, atď.), čím dostáva dáta o počte dotknutých podnikateľov, s ktorými uvažuje ďalej vo výpočte. V následnom Kroku 4 – Stanovenie frekvencie plnenia povinnosti – postupuje v súlade s nižšie uvedeným popisom/tabuľkou, t.j. uvádza skutočnú  frekvenciu plnenia povinnosti za rok.</w:t>
      </w:r>
    </w:p>
    <w:p w14:paraId="196FE722" w14:textId="77777777" w:rsidR="00632B65" w:rsidRPr="001E4B49" w:rsidRDefault="00632B65" w:rsidP="00632B65">
      <w:pPr>
        <w:pStyle w:val="BodyText1"/>
        <w:spacing w:line="276" w:lineRule="auto"/>
        <w:jc w:val="both"/>
        <w:rPr>
          <w:rFonts w:ascii="Times New Roman" w:eastAsiaTheme="minorHAnsi" w:hAnsi="Times New Roman"/>
          <w:b/>
          <w:color w:val="auto"/>
          <w:sz w:val="24"/>
          <w:szCs w:val="22"/>
        </w:rPr>
      </w:pPr>
      <w:r w:rsidRPr="001E4B49">
        <w:rPr>
          <w:rFonts w:ascii="Times New Roman" w:eastAsiaTheme="minorHAnsi" w:hAnsi="Times New Roman"/>
          <w:b/>
          <w:color w:val="auto"/>
          <w:sz w:val="24"/>
          <w:szCs w:val="22"/>
        </w:rPr>
        <w:t>Krok 4 – Stanovenie frekvencie plnenia povinnosti, ktorá sa určí pomocou nasledovných koeficientov:</w:t>
      </w:r>
    </w:p>
    <w:p w14:paraId="7502B480" w14:textId="77777777" w:rsidR="00632B65" w:rsidRPr="001E4B49" w:rsidRDefault="00632B65" w:rsidP="00632B65">
      <w:pPr>
        <w:pStyle w:val="BodyText1"/>
        <w:spacing w:after="240" w:line="276" w:lineRule="auto"/>
        <w:jc w:val="both"/>
        <w:rPr>
          <w:rFonts w:ascii="Times New Roman" w:eastAsiaTheme="minorHAnsi" w:hAnsi="Times New Roman"/>
          <w:color w:val="auto"/>
          <w:sz w:val="24"/>
          <w:szCs w:val="22"/>
        </w:rPr>
      </w:pPr>
      <w:r w:rsidRPr="001E4B49">
        <w:rPr>
          <w:rFonts w:ascii="Times New Roman" w:eastAsiaTheme="minorHAnsi" w:hAnsi="Times New Roman"/>
          <w:color w:val="auto"/>
          <w:sz w:val="24"/>
          <w:szCs w:val="22"/>
        </w:rPr>
        <w:t>V štvrtom kroku predkladateľ stanoví frekvenciu plnenia povinnosti, teda početnosť plnení danej povinnosti jedným podnikateľom za určité obdobie. Bázou, voči ktorej je stanovovaná frekvencia,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w:t>
      </w:r>
    </w:p>
    <w:p w14:paraId="03D398B3" w14:textId="77777777" w:rsidR="00632B65" w:rsidRPr="001E4B49" w:rsidRDefault="00632B65" w:rsidP="00632B65">
      <w:pPr>
        <w:pStyle w:val="BodyText1"/>
        <w:spacing w:after="0" w:line="276" w:lineRule="auto"/>
        <w:ind w:left="1134"/>
        <w:rPr>
          <w:rFonts w:ascii="Times New Roman" w:hAnsi="Times New Roman"/>
          <w:i/>
          <w:sz w:val="20"/>
          <w:szCs w:val="20"/>
        </w:rPr>
      </w:pPr>
      <w:r w:rsidRPr="001E4B49">
        <w:rPr>
          <w:rFonts w:ascii="Times New Roman" w:hAnsi="Times New Roman"/>
          <w:i/>
          <w:sz w:val="20"/>
          <w:szCs w:val="2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632B65" w:rsidRPr="001E4B49" w14:paraId="58E79566" w14:textId="77777777" w:rsidTr="001E4B49">
        <w:trPr>
          <w:trHeight w:val="459"/>
          <w:jc w:val="center"/>
        </w:trPr>
        <w:tc>
          <w:tcPr>
            <w:tcW w:w="2292" w:type="dxa"/>
            <w:tcBorders>
              <w:top w:val="single" w:sz="2" w:space="0" w:color="81BC00"/>
              <w:left w:val="single" w:sz="2" w:space="0" w:color="81BC00"/>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14:paraId="6795CACA" w14:textId="77777777" w:rsidR="00632B65" w:rsidRPr="001E4B49" w:rsidRDefault="00632B65" w:rsidP="001E4B49">
            <w:pPr>
              <w:pStyle w:val="BodyText1"/>
              <w:spacing w:after="0"/>
              <w:jc w:val="center"/>
              <w:rPr>
                <w:rFonts w:ascii="Times New Roman" w:hAnsi="Times New Roman"/>
                <w:color w:val="FFFFFF" w:themeColor="background1"/>
                <w:sz w:val="16"/>
                <w:szCs w:val="16"/>
                <w:lang w:val="en-US"/>
              </w:rPr>
            </w:pPr>
            <w:r w:rsidRPr="001E4B49">
              <w:rPr>
                <w:rFonts w:ascii="Times New Roman" w:hAnsi="Times New Roman"/>
                <w:bCs/>
                <w:color w:val="FFFFFF" w:themeColor="background1"/>
                <w:sz w:val="16"/>
                <w:szCs w:val="16"/>
              </w:rPr>
              <w:t>Frekvencia plnenia povinnosti</w:t>
            </w:r>
          </w:p>
        </w:tc>
        <w:tc>
          <w:tcPr>
            <w:tcW w:w="1138"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14:paraId="78919753" w14:textId="77777777" w:rsidR="00632B65" w:rsidRPr="001E4B49" w:rsidRDefault="00632B65" w:rsidP="001E4B49">
            <w:pPr>
              <w:pStyle w:val="BodyText1"/>
              <w:spacing w:after="0"/>
              <w:jc w:val="center"/>
              <w:rPr>
                <w:rFonts w:ascii="Times New Roman" w:hAnsi="Times New Roman"/>
                <w:color w:val="FFFFFF" w:themeColor="background1"/>
                <w:sz w:val="16"/>
                <w:szCs w:val="16"/>
                <w:lang w:val="en-US"/>
              </w:rPr>
            </w:pPr>
            <w:r w:rsidRPr="001E4B49">
              <w:rPr>
                <w:rFonts w:ascii="Times New Roman" w:hAnsi="Times New Roman"/>
                <w:bCs/>
                <w:color w:val="FFFFFF" w:themeColor="background1"/>
                <w:sz w:val="16"/>
                <w:szCs w:val="16"/>
              </w:rPr>
              <w:t>Koeficient frekvencie</w:t>
            </w:r>
          </w:p>
        </w:tc>
        <w:tc>
          <w:tcPr>
            <w:tcW w:w="2411"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14:paraId="0467333B" w14:textId="77777777" w:rsidR="00632B65" w:rsidRPr="001E4B49" w:rsidRDefault="00632B65" w:rsidP="001E4B49">
            <w:pPr>
              <w:pStyle w:val="BodyText1"/>
              <w:spacing w:after="0"/>
              <w:jc w:val="center"/>
              <w:rPr>
                <w:rFonts w:ascii="Times New Roman" w:hAnsi="Times New Roman"/>
                <w:color w:val="FFFFFF" w:themeColor="background1"/>
                <w:sz w:val="16"/>
                <w:szCs w:val="16"/>
                <w:lang w:val="en-US"/>
              </w:rPr>
            </w:pPr>
            <w:r w:rsidRPr="001E4B49">
              <w:rPr>
                <w:rFonts w:ascii="Times New Roman" w:hAnsi="Times New Roman"/>
                <w:bCs/>
                <w:color w:val="FFFFFF" w:themeColor="background1"/>
                <w:sz w:val="16"/>
                <w:szCs w:val="16"/>
              </w:rPr>
              <w:t>Frekvencia plnenia povinnosti</w:t>
            </w:r>
          </w:p>
        </w:tc>
        <w:tc>
          <w:tcPr>
            <w:tcW w:w="1079" w:type="dxa"/>
            <w:tcBorders>
              <w:top w:val="single" w:sz="2" w:space="0" w:color="81BC00"/>
              <w:left w:val="single" w:sz="4" w:space="0" w:color="FFFFFF" w:themeColor="background1"/>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6251D74" w14:textId="77777777" w:rsidR="00632B65" w:rsidRPr="001E4B49" w:rsidRDefault="00632B65" w:rsidP="001E4B49">
            <w:pPr>
              <w:pStyle w:val="BodyText1"/>
              <w:spacing w:after="0"/>
              <w:jc w:val="center"/>
              <w:rPr>
                <w:rFonts w:ascii="Times New Roman" w:hAnsi="Times New Roman"/>
                <w:color w:val="FFFFFF" w:themeColor="background1"/>
                <w:sz w:val="16"/>
                <w:szCs w:val="16"/>
                <w:lang w:val="en-US"/>
              </w:rPr>
            </w:pPr>
            <w:r w:rsidRPr="001E4B49">
              <w:rPr>
                <w:rFonts w:ascii="Times New Roman" w:hAnsi="Times New Roman"/>
                <w:bCs/>
                <w:color w:val="FFFFFF" w:themeColor="background1"/>
                <w:sz w:val="16"/>
                <w:szCs w:val="16"/>
              </w:rPr>
              <w:t>Koeficient frekvencie</w:t>
            </w:r>
          </w:p>
        </w:tc>
      </w:tr>
      <w:tr w:rsidR="00632B65" w:rsidRPr="001E4B49" w14:paraId="6887AFC9" w14:textId="77777777" w:rsidTr="001E4B49">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14:paraId="475B54FA"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bCs/>
                <w:sz w:val="16"/>
                <w:szCs w:val="16"/>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5D7DC61" w14:textId="77777777" w:rsidR="00632B65" w:rsidRPr="001E4B49" w:rsidRDefault="00632B65" w:rsidP="001E4B49">
            <w:pPr>
              <w:pStyle w:val="BodyText1"/>
              <w:spacing w:after="0"/>
              <w:jc w:val="right"/>
              <w:rPr>
                <w:rFonts w:ascii="Times New Roman" w:hAnsi="Times New Roman"/>
                <w:sz w:val="16"/>
                <w:szCs w:val="16"/>
                <w:lang w:val="en-US"/>
              </w:rPr>
            </w:pPr>
            <w:r w:rsidRPr="001E4B49">
              <w:rPr>
                <w:rFonts w:ascii="Times New Roman" w:hAnsi="Times New Roman"/>
                <w:sz w:val="16"/>
                <w:szCs w:val="16"/>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152E3BC0"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sz w:val="16"/>
                <w:szCs w:val="16"/>
              </w:rPr>
              <w:t>každé 2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14:paraId="29B6E54E" w14:textId="77777777" w:rsidR="00632B65" w:rsidRPr="001E4B49" w:rsidRDefault="00632B65" w:rsidP="001E4B49">
            <w:pPr>
              <w:pStyle w:val="BodyText1"/>
              <w:spacing w:after="0"/>
              <w:jc w:val="right"/>
              <w:rPr>
                <w:rFonts w:ascii="Times New Roman" w:hAnsi="Times New Roman"/>
                <w:sz w:val="16"/>
                <w:szCs w:val="16"/>
                <w:lang w:val="en-US"/>
              </w:rPr>
            </w:pPr>
            <w:r w:rsidRPr="001E4B49">
              <w:rPr>
                <w:rFonts w:ascii="Times New Roman" w:hAnsi="Times New Roman"/>
                <w:sz w:val="16"/>
                <w:szCs w:val="16"/>
              </w:rPr>
              <w:t>0,5</w:t>
            </w:r>
            <w:r w:rsidRPr="001E4B49">
              <w:rPr>
                <w:rFonts w:ascii="Times New Roman" w:hAnsi="Times New Roman"/>
                <w:sz w:val="16"/>
                <w:szCs w:val="16"/>
                <w:lang w:val="en-US"/>
              </w:rPr>
              <w:t>0</w:t>
            </w:r>
          </w:p>
        </w:tc>
      </w:tr>
      <w:tr w:rsidR="00632B65" w:rsidRPr="001E4B49" w14:paraId="79578FE2" w14:textId="77777777" w:rsidTr="001E4B49">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14:paraId="386F92AE"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bCs/>
                <w:sz w:val="16"/>
                <w:szCs w:val="16"/>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B5ADCD4" w14:textId="77777777" w:rsidR="00632B65" w:rsidRPr="001E4B49" w:rsidRDefault="00632B65" w:rsidP="001E4B49">
            <w:pPr>
              <w:pStyle w:val="BodyText1"/>
              <w:spacing w:after="0"/>
              <w:jc w:val="right"/>
              <w:rPr>
                <w:rFonts w:ascii="Times New Roman" w:hAnsi="Times New Roman"/>
                <w:sz w:val="16"/>
                <w:szCs w:val="16"/>
                <w:lang w:val="en-US"/>
              </w:rPr>
            </w:pPr>
            <w:r w:rsidRPr="001E4B49">
              <w:rPr>
                <w:rFonts w:ascii="Times New Roman" w:hAnsi="Times New Roman"/>
                <w:sz w:val="16"/>
                <w:szCs w:val="16"/>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7D66CA8"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sz w:val="16"/>
                <w:szCs w:val="16"/>
              </w:rPr>
              <w:t>každé 3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14:paraId="58135959" w14:textId="77777777" w:rsidR="00632B65" w:rsidRPr="001E4B49" w:rsidRDefault="00632B65" w:rsidP="001E4B49">
            <w:pPr>
              <w:pStyle w:val="BodyText1"/>
              <w:spacing w:after="0"/>
              <w:jc w:val="right"/>
              <w:rPr>
                <w:rFonts w:ascii="Times New Roman" w:hAnsi="Times New Roman"/>
                <w:sz w:val="16"/>
                <w:szCs w:val="16"/>
              </w:rPr>
            </w:pPr>
            <w:r w:rsidRPr="001E4B49">
              <w:rPr>
                <w:rFonts w:ascii="Times New Roman" w:hAnsi="Times New Roman"/>
                <w:sz w:val="16"/>
                <w:szCs w:val="16"/>
              </w:rPr>
              <w:t>0,33</w:t>
            </w:r>
          </w:p>
        </w:tc>
      </w:tr>
      <w:tr w:rsidR="00632B65" w:rsidRPr="001E4B49" w14:paraId="1D823E91" w14:textId="77777777" w:rsidTr="001E4B49">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14:paraId="2F37C82A"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bCs/>
                <w:sz w:val="16"/>
                <w:szCs w:val="16"/>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0A06BEDD" w14:textId="77777777" w:rsidR="00632B65" w:rsidRPr="001E4B49" w:rsidRDefault="00632B65" w:rsidP="001E4B49">
            <w:pPr>
              <w:pStyle w:val="BodyText1"/>
              <w:spacing w:after="0"/>
              <w:jc w:val="right"/>
              <w:rPr>
                <w:rFonts w:ascii="Times New Roman" w:hAnsi="Times New Roman"/>
                <w:sz w:val="16"/>
                <w:szCs w:val="16"/>
                <w:lang w:val="en-US"/>
              </w:rPr>
            </w:pPr>
            <w:r w:rsidRPr="001E4B49">
              <w:rPr>
                <w:rFonts w:ascii="Times New Roman" w:hAnsi="Times New Roman"/>
                <w:sz w:val="16"/>
                <w:szCs w:val="16"/>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FD4E253"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sz w:val="16"/>
                <w:szCs w:val="16"/>
              </w:rPr>
              <w:t>každé 4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14:paraId="64FB7346" w14:textId="77777777" w:rsidR="00632B65" w:rsidRPr="001E4B49" w:rsidRDefault="00632B65" w:rsidP="001E4B49">
            <w:pPr>
              <w:pStyle w:val="BodyText1"/>
              <w:spacing w:after="0"/>
              <w:jc w:val="right"/>
              <w:rPr>
                <w:rFonts w:ascii="Times New Roman" w:hAnsi="Times New Roman"/>
                <w:sz w:val="16"/>
                <w:szCs w:val="16"/>
              </w:rPr>
            </w:pPr>
            <w:r w:rsidRPr="001E4B49">
              <w:rPr>
                <w:rFonts w:ascii="Times New Roman" w:hAnsi="Times New Roman"/>
                <w:sz w:val="16"/>
                <w:szCs w:val="16"/>
              </w:rPr>
              <w:t>0,25</w:t>
            </w:r>
          </w:p>
        </w:tc>
      </w:tr>
      <w:tr w:rsidR="00632B65" w:rsidRPr="001E4B49" w14:paraId="391D4B8F" w14:textId="77777777" w:rsidTr="001E4B49">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14:paraId="28A6F700"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bCs/>
                <w:sz w:val="16"/>
                <w:szCs w:val="16"/>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85E88ED" w14:textId="77777777" w:rsidR="00632B65" w:rsidRPr="001E4B49" w:rsidRDefault="00632B65" w:rsidP="001E4B49">
            <w:pPr>
              <w:pStyle w:val="BodyText1"/>
              <w:spacing w:after="0"/>
              <w:jc w:val="right"/>
              <w:rPr>
                <w:rFonts w:ascii="Times New Roman" w:hAnsi="Times New Roman"/>
                <w:sz w:val="16"/>
                <w:szCs w:val="16"/>
                <w:lang w:val="en-US"/>
              </w:rPr>
            </w:pPr>
            <w:r w:rsidRPr="001E4B49">
              <w:rPr>
                <w:rFonts w:ascii="Times New Roman" w:hAnsi="Times New Roman"/>
                <w:sz w:val="16"/>
                <w:szCs w:val="16"/>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4DB7C257"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sz w:val="16"/>
                <w:szCs w:val="16"/>
              </w:rPr>
              <w:t>každých 5 rokov</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14:paraId="1DA76012" w14:textId="77777777" w:rsidR="00632B65" w:rsidRPr="001E4B49" w:rsidRDefault="00632B65" w:rsidP="001E4B49">
            <w:pPr>
              <w:pStyle w:val="BodyText1"/>
              <w:spacing w:after="0"/>
              <w:jc w:val="right"/>
              <w:rPr>
                <w:rFonts w:ascii="Times New Roman" w:hAnsi="Times New Roman"/>
                <w:sz w:val="16"/>
                <w:szCs w:val="16"/>
              </w:rPr>
            </w:pPr>
            <w:r w:rsidRPr="001E4B49">
              <w:rPr>
                <w:rFonts w:ascii="Times New Roman" w:hAnsi="Times New Roman"/>
                <w:sz w:val="16"/>
                <w:szCs w:val="16"/>
              </w:rPr>
              <w:t>0,20</w:t>
            </w:r>
          </w:p>
        </w:tc>
      </w:tr>
      <w:tr w:rsidR="00632B65" w:rsidRPr="001E4B49" w14:paraId="452DCD87" w14:textId="77777777" w:rsidTr="001E4B49">
        <w:trPr>
          <w:trHeight w:val="170"/>
          <w:jc w:val="center"/>
        </w:trPr>
        <w:tc>
          <w:tcPr>
            <w:tcW w:w="2292" w:type="dxa"/>
            <w:tcBorders>
              <w:top w:val="single" w:sz="2" w:space="0" w:color="81BC00"/>
              <w:left w:val="single" w:sz="4" w:space="0" w:color="FFFFFF" w:themeColor="background1"/>
              <w:bottom w:val="single" w:sz="2" w:space="0" w:color="81BC00"/>
              <w:right w:val="nil"/>
            </w:tcBorders>
            <w:shd w:val="clear" w:color="auto" w:fill="auto"/>
            <w:tcMar>
              <w:top w:w="28" w:type="dxa"/>
              <w:left w:w="28" w:type="dxa"/>
              <w:bottom w:w="28" w:type="dxa"/>
              <w:right w:w="28" w:type="dxa"/>
            </w:tcMar>
            <w:vAlign w:val="center"/>
            <w:hideMark/>
          </w:tcPr>
          <w:p w14:paraId="33E88F8E"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bCs/>
                <w:sz w:val="16"/>
                <w:szCs w:val="16"/>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7BD815EC" w14:textId="77777777" w:rsidR="00632B65" w:rsidRPr="001E4B49" w:rsidRDefault="00632B65" w:rsidP="001E4B49">
            <w:pPr>
              <w:pStyle w:val="BodyText1"/>
              <w:spacing w:after="0"/>
              <w:jc w:val="right"/>
              <w:rPr>
                <w:rFonts w:ascii="Times New Roman" w:hAnsi="Times New Roman"/>
                <w:sz w:val="16"/>
                <w:szCs w:val="16"/>
                <w:lang w:val="en-US"/>
              </w:rPr>
            </w:pPr>
            <w:r w:rsidRPr="001E4B49">
              <w:rPr>
                <w:rFonts w:ascii="Times New Roman" w:hAnsi="Times New Roman"/>
                <w:sz w:val="16"/>
                <w:szCs w:val="16"/>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2BCDE8AF" w14:textId="77777777" w:rsidR="00632B65" w:rsidRPr="001E4B49" w:rsidRDefault="00632B65" w:rsidP="001E4B49">
            <w:pPr>
              <w:pStyle w:val="BodyText1"/>
              <w:spacing w:after="0"/>
              <w:rPr>
                <w:rFonts w:ascii="Times New Roman" w:hAnsi="Times New Roman"/>
                <w:sz w:val="16"/>
                <w:szCs w:val="16"/>
                <w:lang w:val="en-US"/>
              </w:rPr>
            </w:pPr>
            <w:r w:rsidRPr="001E4B49">
              <w:rPr>
                <w:rFonts w:ascii="Times New Roman" w:hAnsi="Times New Roman"/>
                <w:sz w:val="16"/>
                <w:szCs w:val="16"/>
              </w:rPr>
              <w:t>nepravidelne/ jednorazovo</w:t>
            </w:r>
          </w:p>
        </w:tc>
        <w:tc>
          <w:tcPr>
            <w:tcW w:w="1079" w:type="dxa"/>
            <w:tcBorders>
              <w:top w:val="single" w:sz="2" w:space="0" w:color="81BC00"/>
              <w:left w:val="nil"/>
              <w:bottom w:val="single" w:sz="2" w:space="0" w:color="81BC00"/>
              <w:right w:val="single" w:sz="4" w:space="0" w:color="FFFFFF" w:themeColor="background1"/>
            </w:tcBorders>
            <w:shd w:val="clear" w:color="auto" w:fill="D8E7CB"/>
            <w:tcMar>
              <w:top w:w="28" w:type="dxa"/>
              <w:left w:w="28" w:type="dxa"/>
              <w:bottom w:w="28" w:type="dxa"/>
              <w:right w:w="397" w:type="dxa"/>
            </w:tcMar>
            <w:vAlign w:val="center"/>
            <w:hideMark/>
          </w:tcPr>
          <w:p w14:paraId="1564556C" w14:textId="77777777" w:rsidR="00632B65" w:rsidRPr="001E4B49" w:rsidRDefault="00632B65" w:rsidP="001E4B49">
            <w:pPr>
              <w:pStyle w:val="BodyText1"/>
              <w:spacing w:after="0"/>
              <w:jc w:val="right"/>
              <w:rPr>
                <w:rFonts w:ascii="Times New Roman" w:hAnsi="Times New Roman"/>
                <w:sz w:val="16"/>
                <w:szCs w:val="16"/>
              </w:rPr>
            </w:pPr>
            <w:r w:rsidRPr="001E4B49">
              <w:rPr>
                <w:rFonts w:ascii="Times New Roman" w:hAnsi="Times New Roman"/>
                <w:sz w:val="16"/>
                <w:szCs w:val="16"/>
              </w:rPr>
              <w:t>0,10</w:t>
            </w:r>
          </w:p>
        </w:tc>
      </w:tr>
    </w:tbl>
    <w:p w14:paraId="09327DDA" w14:textId="77777777" w:rsidR="00632B65" w:rsidRPr="001E4B49" w:rsidRDefault="00632B65" w:rsidP="00632B65">
      <w:pPr>
        <w:pStyle w:val="BodyText1"/>
        <w:spacing w:after="0" w:line="276" w:lineRule="auto"/>
        <w:ind w:left="1134"/>
        <w:rPr>
          <w:rFonts w:ascii="Times New Roman" w:eastAsiaTheme="minorHAnsi" w:hAnsi="Times New Roman"/>
          <w:color w:val="auto"/>
          <w:sz w:val="20"/>
          <w:szCs w:val="22"/>
        </w:rPr>
      </w:pPr>
    </w:p>
    <w:p w14:paraId="7112C472" w14:textId="77777777" w:rsidR="00632B65" w:rsidRPr="001E4B49" w:rsidRDefault="00632B65" w:rsidP="00632B65">
      <w:pPr>
        <w:pStyle w:val="BodyText1"/>
        <w:spacing w:line="276" w:lineRule="auto"/>
        <w:jc w:val="both"/>
        <w:rPr>
          <w:rFonts w:ascii="Times New Roman" w:hAnsi="Times New Roman"/>
          <w:sz w:val="24"/>
          <w:szCs w:val="20"/>
        </w:rPr>
      </w:pPr>
    </w:p>
    <w:p w14:paraId="780748B7" w14:textId="77777777" w:rsidR="00632B65" w:rsidRPr="001E4B49" w:rsidRDefault="00632B65" w:rsidP="00632B65">
      <w:pPr>
        <w:pStyle w:val="BodyText1"/>
        <w:spacing w:line="276" w:lineRule="auto"/>
        <w:jc w:val="both"/>
        <w:rPr>
          <w:rFonts w:ascii="Times New Roman" w:hAnsi="Times New Roman"/>
          <w:sz w:val="24"/>
        </w:rPr>
      </w:pPr>
      <w:r w:rsidRPr="001E4B49">
        <w:rPr>
          <w:rFonts w:ascii="Times New Roman" w:hAnsi="Times New Roman"/>
          <w:sz w:val="24"/>
          <w:szCs w:val="20"/>
        </w:rPr>
        <w:t xml:space="preserve">Jednotlivé položky nákladov sú na úrovni 1 povinnosti kalkulované na základe nasledovných princípov: </w:t>
      </w:r>
    </w:p>
    <w:p w14:paraId="4A7D85B2" w14:textId="77777777" w:rsidR="00632B65" w:rsidRPr="001E4B49" w:rsidRDefault="00632B65" w:rsidP="00632B65">
      <w:pPr>
        <w:pStyle w:val="BodyText1"/>
        <w:rPr>
          <w:rFonts w:ascii="Times New Roman" w:eastAsiaTheme="minorHAnsi" w:hAnsi="Times New Roman"/>
          <w:b/>
          <w:i/>
          <w:color w:val="auto"/>
          <w:sz w:val="24"/>
          <w:szCs w:val="20"/>
        </w:rPr>
      </w:pPr>
      <w:r w:rsidRPr="001E4B49">
        <w:rPr>
          <w:rFonts w:ascii="Times New Roman" w:eastAsiaTheme="minorHAnsi" w:hAnsi="Times New Roman"/>
          <w:b/>
          <w:i/>
          <w:color w:val="auto"/>
          <w:sz w:val="24"/>
          <w:szCs w:val="20"/>
        </w:rPr>
        <w:t>Náklady na 1 podnikateľa</w:t>
      </w:r>
    </w:p>
    <w:p w14:paraId="4C7EE930" w14:textId="77777777" w:rsidR="00632B65" w:rsidRPr="001E4B49" w:rsidRDefault="00632B65" w:rsidP="00632B65">
      <w:pPr>
        <w:pStyle w:val="BodyText1"/>
        <w:rPr>
          <w:rFonts w:ascii="Times New Roman" w:eastAsiaTheme="minorHAnsi" w:hAnsi="Times New Roman"/>
          <w:color w:val="auto"/>
          <w:sz w:val="24"/>
          <w:szCs w:val="20"/>
        </w:rPr>
      </w:pPr>
      <w:r w:rsidRPr="001E4B49">
        <w:rPr>
          <w:rFonts w:ascii="Times New Roman" w:eastAsiaTheme="minorHAnsi" w:hAnsi="Times New Roman"/>
          <w:i/>
          <w:color w:val="auto"/>
          <w:sz w:val="24"/>
          <w:szCs w:val="20"/>
        </w:rPr>
        <w:t xml:space="preserve">Priame a nepriame náklady na 1 podnikateľa - </w:t>
      </w:r>
      <w:r w:rsidRPr="001E4B49">
        <w:rPr>
          <w:rFonts w:ascii="Times New Roman" w:eastAsiaTheme="minorHAnsi" w:hAnsi="Times New Roman"/>
          <w:color w:val="auto"/>
          <w:sz w:val="24"/>
          <w:szCs w:val="20"/>
        </w:rPr>
        <w:t>výška priamych a nepriamych nákladov povinnosti na 1 podnikateľa je vyčíslená na základe vzorca:</w:t>
      </w:r>
    </w:p>
    <w:p w14:paraId="3BC4A304" w14:textId="77777777" w:rsidR="00632B65" w:rsidRPr="001E4B49" w:rsidRDefault="00632B65" w:rsidP="00632B65">
      <w:pPr>
        <w:pStyle w:val="BodyText1"/>
        <w:rPr>
          <w:rFonts w:ascii="Times New Roman" w:hAnsi="Times New Roman"/>
        </w:rPr>
      </w:pPr>
      <w:r w:rsidRPr="001E4B49">
        <w:rPr>
          <w:rFonts w:ascii="Times New Roman" w:hAnsi="Times New Roman"/>
          <w:noProof/>
          <w:lang w:eastAsia="sk-SK"/>
        </w:rPr>
        <mc:AlternateContent>
          <mc:Choice Requires="wps">
            <w:drawing>
              <wp:anchor distT="0" distB="0" distL="114300" distR="114300" simplePos="0" relativeHeight="251660288" behindDoc="0" locked="0" layoutInCell="1" allowOverlap="1" wp14:anchorId="70AE43A1" wp14:editId="686573F1">
                <wp:simplePos x="0" y="0"/>
                <wp:positionH relativeFrom="column">
                  <wp:posOffset>1871980</wp:posOffset>
                </wp:positionH>
                <wp:positionV relativeFrom="paragraph">
                  <wp:posOffset>650875</wp:posOffset>
                </wp:positionV>
                <wp:extent cx="152400" cy="76200"/>
                <wp:effectExtent l="0" t="0" r="19050" b="19050"/>
                <wp:wrapNone/>
                <wp:docPr id="26" name="Obdĺžnik 26"/>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69D22" id="Obdĺžnik 26" o:spid="_x0000_s1026" style="position:absolute;margin-left:147.4pt;margin-top:51.25pt;width:12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" fillcolor="#19a2ff" strokecolor="#19a2ff" strokeweight="2pt"/>
            </w:pict>
          </mc:Fallback>
        </mc:AlternateContent>
      </w:r>
      <w:r w:rsidRPr="001E4B49">
        <w:rPr>
          <w:rFonts w:ascii="Times New Roman" w:hAnsi="Times New Roman"/>
          <w:noProof/>
          <w:lang w:eastAsia="sk-SK"/>
        </w:rPr>
        <mc:AlternateContent>
          <mc:Choice Requires="wps">
            <w:drawing>
              <wp:anchor distT="0" distB="0" distL="114300" distR="114300" simplePos="0" relativeHeight="251659264" behindDoc="0" locked="0" layoutInCell="1" allowOverlap="1" wp14:anchorId="171DD984" wp14:editId="6F2E652E">
                <wp:simplePos x="0" y="0"/>
                <wp:positionH relativeFrom="column">
                  <wp:posOffset>1871980</wp:posOffset>
                </wp:positionH>
                <wp:positionV relativeFrom="paragraph">
                  <wp:posOffset>98425</wp:posOffset>
                </wp:positionV>
                <wp:extent cx="152400" cy="76200"/>
                <wp:effectExtent l="0" t="0" r="19050" b="19050"/>
                <wp:wrapNone/>
                <wp:docPr id="25" name="Obdĺžnik 25"/>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EF0E7" id="Obdĺžnik 25" o:spid="_x0000_s1026" style="position:absolute;margin-left:147.4pt;margin-top:7.75pt;width:12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" fillcolor="#19a2ff" strokecolor="#19a2ff" strokeweight="2pt"/>
            </w:pict>
          </mc:Fallback>
        </mc:AlternateContent>
      </w:r>
      <w:r w:rsidRPr="001E4B49">
        <w:rPr>
          <w:rFonts w:ascii="Times New Roman" w:hAnsi="Times New Roman"/>
          <w:noProof/>
          <w:lang w:eastAsia="sk-SK"/>
        </w:rPr>
        <w:drawing>
          <wp:inline distT="0" distB="0" distL="0" distR="0" wp14:anchorId="61EC99CF" wp14:editId="4CD57D07">
            <wp:extent cx="2085975" cy="885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979" cy="884128"/>
                    </a:xfrm>
                    <a:prstGeom prst="rect">
                      <a:avLst/>
                    </a:prstGeom>
                    <a:noFill/>
                    <a:ln>
                      <a:noFill/>
                    </a:ln>
                  </pic:spPr>
                </pic:pic>
              </a:graphicData>
            </a:graphic>
          </wp:inline>
        </w:drawing>
      </w:r>
    </w:p>
    <w:p w14:paraId="01AE9C5C" w14:textId="77777777" w:rsidR="00632B65" w:rsidRPr="001E4B49" w:rsidRDefault="00632B65" w:rsidP="00632B65">
      <w:pPr>
        <w:pStyle w:val="BodyText1"/>
        <w:rPr>
          <w:rFonts w:ascii="Times New Roman" w:hAnsi="Times New Roman"/>
          <w:b/>
        </w:rPr>
      </w:pPr>
    </w:p>
    <w:p w14:paraId="22B128FA" w14:textId="77777777" w:rsidR="00632B65" w:rsidRPr="001E4B49" w:rsidRDefault="00632B65" w:rsidP="00632B65">
      <w:pPr>
        <w:pStyle w:val="BodyText1"/>
        <w:rPr>
          <w:rFonts w:ascii="Times New Roman" w:eastAsiaTheme="minorHAnsi" w:hAnsi="Times New Roman"/>
          <w:color w:val="auto"/>
          <w:sz w:val="24"/>
          <w:szCs w:val="24"/>
        </w:rPr>
      </w:pPr>
      <w:r w:rsidRPr="001E4B49">
        <w:rPr>
          <w:rFonts w:ascii="Times New Roman" w:eastAsiaTheme="minorHAnsi" w:hAnsi="Times New Roman"/>
          <w:i/>
          <w:color w:val="auto"/>
          <w:sz w:val="24"/>
          <w:szCs w:val="24"/>
        </w:rPr>
        <w:t xml:space="preserve">Administratívne náklady na 1 podnikateľa - </w:t>
      </w:r>
      <w:r w:rsidRPr="001E4B49">
        <w:rPr>
          <w:rFonts w:ascii="Times New Roman" w:eastAsiaTheme="minorHAnsi" w:hAnsi="Times New Roman"/>
          <w:color w:val="auto"/>
          <w:sz w:val="24"/>
          <w:szCs w:val="24"/>
        </w:rPr>
        <w:t>výška administratívnych nákladov povinnosti na 1 podnikateľa je vyčíslená na základe vzorca:</w:t>
      </w:r>
    </w:p>
    <w:p w14:paraId="017DB11B" w14:textId="77777777" w:rsidR="00632B65" w:rsidRPr="001E4B49" w:rsidRDefault="00632B65" w:rsidP="00632B65">
      <w:pPr>
        <w:pStyle w:val="BodyText1"/>
        <w:rPr>
          <w:rFonts w:ascii="Times New Roman" w:hAnsi="Times New Roman"/>
        </w:rPr>
      </w:pPr>
      <w:r w:rsidRPr="001E4B49">
        <w:rPr>
          <w:rFonts w:ascii="Times New Roman" w:hAnsi="Times New Roman"/>
          <w:noProof/>
          <w:lang w:eastAsia="sk-SK"/>
        </w:rPr>
        <mc:AlternateContent>
          <mc:Choice Requires="wps">
            <w:drawing>
              <wp:anchor distT="0" distB="0" distL="114300" distR="114300" simplePos="0" relativeHeight="251661312" behindDoc="0" locked="0" layoutInCell="1" allowOverlap="1" wp14:anchorId="352A65C9" wp14:editId="368FAD9B">
                <wp:simplePos x="0" y="0"/>
                <wp:positionH relativeFrom="column">
                  <wp:posOffset>3195955</wp:posOffset>
                </wp:positionH>
                <wp:positionV relativeFrom="paragraph">
                  <wp:posOffset>123824</wp:posOffset>
                </wp:positionV>
                <wp:extent cx="123825" cy="85725"/>
                <wp:effectExtent l="0" t="0" r="28575" b="28575"/>
                <wp:wrapNone/>
                <wp:docPr id="27" name="Obdĺžnik 27"/>
                <wp:cNvGraphicFramePr/>
                <a:graphic xmlns:a="http://schemas.openxmlformats.org/drawingml/2006/main">
                  <a:graphicData uri="http://schemas.microsoft.com/office/word/2010/wordprocessingShape">
                    <wps:wsp>
                      <wps:cNvSpPr/>
                      <wps:spPr>
                        <a:xfrm flipV="1">
                          <a:off x="0" y="0"/>
                          <a:ext cx="123825" cy="85725"/>
                        </a:xfrm>
                        <a:prstGeom prst="rect">
                          <a:avLst/>
                        </a:prstGeom>
                        <a:solidFill>
                          <a:srgbClr val="7CBF33"/>
                        </a:solidFill>
                        <a:ln>
                          <a:solidFill>
                            <a:srgbClr val="7CB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D837C" id="Obdĺžnik 27" o:spid="_x0000_s1026" style="position:absolute;margin-left:251.65pt;margin-top:9.75pt;width:9.75pt;height:6.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" fillcolor="#7cbf33" strokecolor="#7cbf33" strokeweight="2pt"/>
            </w:pict>
          </mc:Fallback>
        </mc:AlternateContent>
      </w:r>
      <w:r w:rsidRPr="001E4B49">
        <w:rPr>
          <w:rFonts w:ascii="Times New Roman" w:hAnsi="Times New Roman"/>
          <w:noProof/>
          <w:lang w:eastAsia="sk-SK"/>
        </w:rPr>
        <w:drawing>
          <wp:inline distT="0" distB="0" distL="0" distR="0" wp14:anchorId="4103E821" wp14:editId="4DED0524">
            <wp:extent cx="3390898" cy="371475"/>
            <wp:effectExtent l="0" t="0" r="63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90898" cy="371475"/>
                    </a:xfrm>
                    <a:prstGeom prst="rect">
                      <a:avLst/>
                    </a:prstGeom>
                    <a:noFill/>
                    <a:ln>
                      <a:noFill/>
                    </a:ln>
                  </pic:spPr>
                </pic:pic>
              </a:graphicData>
            </a:graphic>
          </wp:inline>
        </w:drawing>
      </w:r>
    </w:p>
    <w:p w14:paraId="4DFFF85A" w14:textId="77777777" w:rsidR="00632B65" w:rsidRPr="001E4B49" w:rsidRDefault="00632B65" w:rsidP="00632B65">
      <w:pPr>
        <w:pStyle w:val="BodyText1"/>
        <w:rPr>
          <w:rFonts w:ascii="Times New Roman" w:hAnsi="Times New Roman"/>
          <w:i/>
          <w:sz w:val="16"/>
          <w:szCs w:val="16"/>
        </w:rPr>
      </w:pPr>
      <w:r w:rsidRPr="001E4B49">
        <w:rPr>
          <w:rFonts w:ascii="Times New Roman" w:hAnsi="Times New Roman"/>
          <w:i/>
          <w:sz w:val="16"/>
          <w:szCs w:val="16"/>
          <w:lang w:val="en-US"/>
        </w:rPr>
        <w:t>*</w:t>
      </w:r>
      <w:r w:rsidRPr="001E4B49">
        <w:rPr>
          <w:rFonts w:ascii="Times New Roman" w:hAnsi="Times New Roman"/>
          <w:i/>
          <w:sz w:val="16"/>
          <w:szCs w:val="16"/>
        </w:rPr>
        <w:t xml:space="preserve">Tarifa – vychádza z priemernej hrubej mzdy v národnom hospodárstve (priemerná hrubá mesačná mzda v národnom hospodárstve SR za rok 2013 - 835 EUR, Eurostat). </w:t>
      </w:r>
    </w:p>
    <w:p w14:paraId="6FE78097" w14:textId="77777777" w:rsidR="00632B65" w:rsidRPr="001E4B49" w:rsidRDefault="00632B65" w:rsidP="00632B65">
      <w:pPr>
        <w:pStyle w:val="BodyText1"/>
        <w:rPr>
          <w:rFonts w:ascii="Times New Roman" w:eastAsiaTheme="minorHAnsi" w:hAnsi="Times New Roman"/>
          <w:i/>
          <w:color w:val="auto"/>
          <w:sz w:val="20"/>
          <w:szCs w:val="20"/>
        </w:rPr>
      </w:pPr>
    </w:p>
    <w:p w14:paraId="1F3D1BBD" w14:textId="77777777" w:rsidR="00632B65" w:rsidRPr="001E4B49" w:rsidRDefault="00632B65" w:rsidP="00632B65">
      <w:pPr>
        <w:pStyle w:val="BodyText1"/>
        <w:rPr>
          <w:rFonts w:ascii="Times New Roman" w:eastAsiaTheme="minorHAnsi" w:hAnsi="Times New Roman"/>
          <w:color w:val="auto"/>
          <w:sz w:val="24"/>
          <w:szCs w:val="20"/>
        </w:rPr>
      </w:pPr>
      <w:r w:rsidRPr="001E4B49">
        <w:rPr>
          <w:rFonts w:ascii="Times New Roman" w:eastAsiaTheme="minorHAnsi" w:hAnsi="Times New Roman"/>
          <w:i/>
          <w:color w:val="auto"/>
          <w:sz w:val="24"/>
          <w:szCs w:val="20"/>
        </w:rPr>
        <w:t xml:space="preserve">Celkové náklady na 1 podnikateľa - </w:t>
      </w:r>
      <w:r w:rsidRPr="001E4B49">
        <w:rPr>
          <w:rFonts w:ascii="Times New Roman" w:eastAsiaTheme="minorHAnsi" w:hAnsi="Times New Roman"/>
          <w:color w:val="auto"/>
          <w:sz w:val="24"/>
          <w:szCs w:val="20"/>
        </w:rPr>
        <w:t>výška celkových nákladov povinnosti na 1 podnikateľa je automatizovane vyčíslené na základe vzorca:</w:t>
      </w:r>
    </w:p>
    <w:p w14:paraId="065DF74F" w14:textId="77777777" w:rsidR="00632B65" w:rsidRPr="001E4B49" w:rsidRDefault="00632B65" w:rsidP="00632B65">
      <w:pPr>
        <w:pStyle w:val="BodyText1"/>
        <w:rPr>
          <w:rFonts w:ascii="Times New Roman" w:hAnsi="Times New Roman"/>
        </w:rPr>
      </w:pPr>
      <w:r w:rsidRPr="001E4B49">
        <w:rPr>
          <w:rFonts w:ascii="Times New Roman" w:hAnsi="Times New Roman"/>
          <w:noProof/>
          <w:lang w:eastAsia="sk-SK"/>
        </w:rPr>
        <w:drawing>
          <wp:inline distT="0" distB="0" distL="0" distR="0" wp14:anchorId="18EB170A" wp14:editId="0DDF8FC3">
            <wp:extent cx="3876672"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9502" cy="409874"/>
                    </a:xfrm>
                    <a:prstGeom prst="rect">
                      <a:avLst/>
                    </a:prstGeom>
                    <a:noFill/>
                    <a:ln>
                      <a:noFill/>
                    </a:ln>
                  </pic:spPr>
                </pic:pic>
              </a:graphicData>
            </a:graphic>
          </wp:inline>
        </w:drawing>
      </w:r>
    </w:p>
    <w:p w14:paraId="5DE5366A" w14:textId="77777777" w:rsidR="00632B65" w:rsidRPr="001E4B49" w:rsidRDefault="00632B65" w:rsidP="00632B65">
      <w:pPr>
        <w:pStyle w:val="BodyText1"/>
        <w:rPr>
          <w:rFonts w:ascii="Times New Roman" w:hAnsi="Times New Roman"/>
        </w:rPr>
      </w:pPr>
    </w:p>
    <w:p w14:paraId="3D655A7F" w14:textId="77777777" w:rsidR="00632B65" w:rsidRPr="001E4B49" w:rsidRDefault="00632B65" w:rsidP="00632B65">
      <w:pPr>
        <w:pStyle w:val="BodyText1"/>
        <w:rPr>
          <w:rFonts w:ascii="Times New Roman" w:eastAsiaTheme="minorHAnsi" w:hAnsi="Times New Roman"/>
          <w:b/>
          <w:i/>
          <w:color w:val="auto"/>
          <w:sz w:val="24"/>
          <w:szCs w:val="20"/>
        </w:rPr>
      </w:pPr>
      <w:r w:rsidRPr="001E4B49">
        <w:rPr>
          <w:rFonts w:ascii="Times New Roman" w:eastAsiaTheme="minorHAnsi" w:hAnsi="Times New Roman"/>
          <w:b/>
          <w:i/>
          <w:color w:val="auto"/>
          <w:sz w:val="24"/>
          <w:szCs w:val="20"/>
        </w:rPr>
        <w:t>Náklady na celé podnikateľské prostredie</w:t>
      </w:r>
    </w:p>
    <w:p w14:paraId="744D99BE" w14:textId="77777777" w:rsidR="00632B65" w:rsidRPr="001E4B49" w:rsidRDefault="00632B65" w:rsidP="00632B65">
      <w:pPr>
        <w:pStyle w:val="BodyText1"/>
        <w:rPr>
          <w:rFonts w:ascii="Times New Roman" w:eastAsiaTheme="minorHAnsi" w:hAnsi="Times New Roman"/>
          <w:color w:val="auto"/>
          <w:sz w:val="24"/>
          <w:szCs w:val="20"/>
        </w:rPr>
      </w:pPr>
      <w:r w:rsidRPr="001E4B49">
        <w:rPr>
          <w:rFonts w:ascii="Times New Roman" w:eastAsiaTheme="minorHAnsi" w:hAnsi="Times New Roman"/>
          <w:i/>
          <w:color w:val="auto"/>
          <w:sz w:val="24"/>
          <w:szCs w:val="20"/>
        </w:rPr>
        <w:t xml:space="preserve">Priame a nepriame náklady na celé podnikateľské prostredie - </w:t>
      </w:r>
      <w:r w:rsidRPr="001E4B49">
        <w:rPr>
          <w:rFonts w:ascii="Times New Roman" w:eastAsiaTheme="minorHAnsi" w:hAnsi="Times New Roman"/>
          <w:color w:val="auto"/>
          <w:sz w:val="24"/>
          <w:szCs w:val="20"/>
        </w:rPr>
        <w:t>výška priamych a nepriamych nákladov povinnosti na celé podnikateľské prostredie je vyčíslená na základe vzorca:</w:t>
      </w:r>
    </w:p>
    <w:p w14:paraId="60100588" w14:textId="77777777" w:rsidR="00632B65" w:rsidRPr="001E4B49" w:rsidRDefault="00632B65" w:rsidP="00632B65">
      <w:pPr>
        <w:pStyle w:val="BodyText1"/>
        <w:rPr>
          <w:rFonts w:ascii="Times New Roman" w:hAnsi="Times New Roman"/>
        </w:rPr>
      </w:pPr>
      <w:r w:rsidRPr="001E4B49">
        <w:rPr>
          <w:rFonts w:ascii="Times New Roman" w:hAnsi="Times New Roman"/>
          <w:noProof/>
          <w:lang w:eastAsia="sk-SK"/>
        </w:rPr>
        <w:drawing>
          <wp:inline distT="0" distB="0" distL="0" distR="0" wp14:anchorId="549AD6FF" wp14:editId="5336E674">
            <wp:extent cx="280987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0872" cy="914724"/>
                    </a:xfrm>
                    <a:prstGeom prst="rect">
                      <a:avLst/>
                    </a:prstGeom>
                    <a:noFill/>
                    <a:ln>
                      <a:noFill/>
                    </a:ln>
                  </pic:spPr>
                </pic:pic>
              </a:graphicData>
            </a:graphic>
          </wp:inline>
        </w:drawing>
      </w:r>
    </w:p>
    <w:p w14:paraId="61B127D1" w14:textId="77777777" w:rsidR="00632B65" w:rsidRPr="001E4B49" w:rsidRDefault="00632B65" w:rsidP="00632B65">
      <w:pPr>
        <w:pStyle w:val="BodyText1"/>
        <w:rPr>
          <w:rFonts w:ascii="Times New Roman" w:hAnsi="Times New Roman"/>
          <w:b/>
        </w:rPr>
      </w:pPr>
    </w:p>
    <w:p w14:paraId="64516EF7" w14:textId="77777777" w:rsidR="00632B65" w:rsidRPr="001E4B49" w:rsidRDefault="00632B65" w:rsidP="00632B65">
      <w:pPr>
        <w:pStyle w:val="BodyText1"/>
        <w:rPr>
          <w:rFonts w:ascii="Times New Roman" w:eastAsiaTheme="minorHAnsi" w:hAnsi="Times New Roman"/>
          <w:i/>
          <w:color w:val="auto"/>
          <w:sz w:val="24"/>
          <w:szCs w:val="20"/>
        </w:rPr>
      </w:pPr>
      <w:r w:rsidRPr="001E4B49">
        <w:rPr>
          <w:rFonts w:ascii="Times New Roman" w:eastAsiaTheme="minorHAnsi" w:hAnsi="Times New Roman"/>
          <w:i/>
          <w:color w:val="auto"/>
          <w:sz w:val="24"/>
          <w:szCs w:val="20"/>
        </w:rPr>
        <w:t xml:space="preserve">Administratívne náklady na celé podnikateľské prostredie - </w:t>
      </w:r>
      <w:r w:rsidRPr="001E4B49">
        <w:rPr>
          <w:rFonts w:ascii="Times New Roman" w:eastAsiaTheme="minorHAnsi" w:hAnsi="Times New Roman"/>
          <w:color w:val="auto"/>
          <w:sz w:val="24"/>
          <w:szCs w:val="20"/>
        </w:rPr>
        <w:t>výška administratívnych nákladov povinnosti na celé podnikateľské prostredie je vyčíslená na základe vzorca:</w:t>
      </w:r>
    </w:p>
    <w:p w14:paraId="231AE51B" w14:textId="77777777" w:rsidR="00632B65" w:rsidRPr="001E4B49" w:rsidRDefault="00632B65" w:rsidP="00632B65">
      <w:pPr>
        <w:pStyle w:val="BodyText1"/>
        <w:rPr>
          <w:rFonts w:ascii="Times New Roman" w:hAnsi="Times New Roman"/>
        </w:rPr>
      </w:pPr>
      <w:r w:rsidRPr="001E4B49">
        <w:rPr>
          <w:rFonts w:ascii="Times New Roman" w:hAnsi="Times New Roman"/>
          <w:noProof/>
          <w:lang w:eastAsia="sk-SK"/>
        </w:rPr>
        <w:drawing>
          <wp:inline distT="0" distB="0" distL="0" distR="0" wp14:anchorId="7C33C69B" wp14:editId="695719AC">
            <wp:extent cx="3789273" cy="462033"/>
            <wp:effectExtent l="0" t="0" r="190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92369" cy="462410"/>
                    </a:xfrm>
                    <a:prstGeom prst="rect">
                      <a:avLst/>
                    </a:prstGeom>
                    <a:noFill/>
                    <a:ln>
                      <a:noFill/>
                    </a:ln>
                  </pic:spPr>
                </pic:pic>
              </a:graphicData>
            </a:graphic>
          </wp:inline>
        </w:drawing>
      </w:r>
    </w:p>
    <w:p w14:paraId="59D3FB73" w14:textId="77777777" w:rsidR="00632B65" w:rsidRPr="001E4B49" w:rsidRDefault="00632B65" w:rsidP="00632B65">
      <w:pPr>
        <w:pStyle w:val="BodyText1"/>
        <w:rPr>
          <w:rFonts w:ascii="Times New Roman" w:hAnsi="Times New Roman"/>
          <w:i/>
          <w:sz w:val="16"/>
          <w:szCs w:val="16"/>
        </w:rPr>
      </w:pPr>
      <w:r w:rsidRPr="001E4B49">
        <w:rPr>
          <w:rFonts w:ascii="Times New Roman" w:hAnsi="Times New Roman"/>
          <w:i/>
          <w:sz w:val="16"/>
          <w:szCs w:val="16"/>
          <w:lang w:val="en-US"/>
        </w:rPr>
        <w:t>*</w:t>
      </w:r>
      <w:r w:rsidRPr="001E4B49">
        <w:rPr>
          <w:rFonts w:ascii="Times New Roman" w:hAnsi="Times New Roman"/>
          <w:i/>
          <w:sz w:val="16"/>
          <w:szCs w:val="16"/>
        </w:rPr>
        <w:t xml:space="preserve">Tarifa – vychádza z priemernej hrubej mzdy v národnom hospodárstve (priemerná hrubá mesačná mzda v národnom hospodárstve SR za rok 2013 - 835 EUR, Eurostat ). </w:t>
      </w:r>
    </w:p>
    <w:p w14:paraId="34623EEC" w14:textId="77777777" w:rsidR="00632B65" w:rsidRPr="001E4B49" w:rsidRDefault="00632B65" w:rsidP="00632B65">
      <w:pPr>
        <w:pStyle w:val="BodyText1"/>
        <w:rPr>
          <w:rFonts w:ascii="Times New Roman" w:hAnsi="Times New Roman"/>
          <w:i/>
          <w:sz w:val="20"/>
          <w:szCs w:val="16"/>
        </w:rPr>
      </w:pPr>
    </w:p>
    <w:p w14:paraId="3814BCE6" w14:textId="77777777" w:rsidR="00632B65" w:rsidRPr="001E4B49" w:rsidRDefault="00632B65" w:rsidP="00632B65">
      <w:pPr>
        <w:pStyle w:val="BodyText1"/>
        <w:rPr>
          <w:rFonts w:ascii="Times New Roman" w:eastAsiaTheme="minorHAnsi" w:hAnsi="Times New Roman"/>
          <w:i/>
          <w:color w:val="auto"/>
          <w:sz w:val="24"/>
          <w:szCs w:val="20"/>
        </w:rPr>
      </w:pPr>
      <w:r w:rsidRPr="001E4B49">
        <w:rPr>
          <w:rFonts w:ascii="Times New Roman" w:eastAsiaTheme="minorHAnsi" w:hAnsi="Times New Roman"/>
          <w:i/>
          <w:color w:val="auto"/>
          <w:sz w:val="24"/>
          <w:szCs w:val="20"/>
        </w:rPr>
        <w:t xml:space="preserve">Celkové náklady na celé podnikateľské prostredie - </w:t>
      </w:r>
      <w:r w:rsidRPr="001E4B49">
        <w:rPr>
          <w:rFonts w:ascii="Times New Roman" w:eastAsiaTheme="minorHAnsi" w:hAnsi="Times New Roman"/>
          <w:color w:val="auto"/>
          <w:sz w:val="24"/>
          <w:szCs w:val="20"/>
        </w:rPr>
        <w:t>výška celkových nákladov povinnosti na celé podnikateľské prostredie je vyčíslené na základe vzorca:</w:t>
      </w:r>
    </w:p>
    <w:p w14:paraId="0E9FA33E" w14:textId="77777777" w:rsidR="00632B65" w:rsidRPr="001E4B49" w:rsidRDefault="00632B65" w:rsidP="00632B65">
      <w:pPr>
        <w:pStyle w:val="BodyText1"/>
        <w:rPr>
          <w:rFonts w:ascii="Times New Roman" w:hAnsi="Times New Roman"/>
        </w:rPr>
      </w:pPr>
      <w:r w:rsidRPr="001E4B49">
        <w:rPr>
          <w:rFonts w:ascii="Times New Roman" w:hAnsi="Times New Roman"/>
          <w:noProof/>
          <w:lang w:eastAsia="sk-SK"/>
        </w:rPr>
        <w:drawing>
          <wp:inline distT="0" distB="0" distL="0" distR="0" wp14:anchorId="4D80D4F1" wp14:editId="62760C3F">
            <wp:extent cx="4356100" cy="46059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6100" cy="460593"/>
                    </a:xfrm>
                    <a:prstGeom prst="rect">
                      <a:avLst/>
                    </a:prstGeom>
                    <a:noFill/>
                    <a:ln>
                      <a:noFill/>
                    </a:ln>
                  </pic:spPr>
                </pic:pic>
              </a:graphicData>
            </a:graphic>
          </wp:inline>
        </w:drawing>
      </w:r>
    </w:p>
    <w:p w14:paraId="1D463347" w14:textId="77777777" w:rsidR="00632B65" w:rsidRPr="001E4B49" w:rsidRDefault="00632B65" w:rsidP="00632B65">
      <w:pPr>
        <w:jc w:val="both"/>
      </w:pPr>
    </w:p>
    <w:p w14:paraId="2929F5A6" w14:textId="77777777" w:rsidR="00632B65" w:rsidRPr="001E4B49" w:rsidRDefault="00632B65" w:rsidP="00632B65">
      <w:pPr>
        <w:jc w:val="both"/>
        <w:rPr>
          <w:color w:val="FF0000"/>
        </w:rPr>
      </w:pPr>
      <w:r w:rsidRPr="001E4B49">
        <w:t>Na kalkuláciu nákladov regulácie je možné využiť kalkulačku nákladov (vo formáte MS Excel), ktorá je zverejnená na stránke Ministerstva hospodárstva SR. S ohľadom na účel použitia, resp. rozsah predkladaných materiálov a z nich vyplývajúceho počtu povinností, možno využiť pre kalkuláciu nákladov:</w:t>
      </w:r>
    </w:p>
    <w:p w14:paraId="49C1A663" w14:textId="77777777" w:rsidR="00632B65" w:rsidRPr="001E4B49" w:rsidRDefault="00632B65" w:rsidP="00632B65">
      <w:pPr>
        <w:pStyle w:val="Odsekzoznamu"/>
        <w:widowControl/>
        <w:numPr>
          <w:ilvl w:val="0"/>
          <w:numId w:val="27"/>
        </w:numPr>
        <w:adjustRightInd/>
        <w:spacing w:line="276" w:lineRule="auto"/>
      </w:pPr>
      <w:r w:rsidRPr="001E4B49">
        <w:rPr>
          <w:b/>
        </w:rPr>
        <w:t>Malú kalkulačku</w:t>
      </w:r>
      <w:r w:rsidRPr="001E4B49">
        <w:t xml:space="preserve"> </w:t>
      </w:r>
      <w:r w:rsidRPr="001E4B49">
        <w:rPr>
          <w:b/>
        </w:rPr>
        <w:t xml:space="preserve">nákladov povinnosti </w:t>
      </w:r>
      <w:r w:rsidRPr="001E4B49">
        <w:t>– slúži na jednoduchú kalkuláciu nákladov ľubovoľnej jednej povinnosti (</w:t>
      </w:r>
      <w:r w:rsidRPr="001E4B49">
        <w:rPr>
          <w:i/>
        </w:rPr>
        <w:t>MS Excel, záložka č. 1 – Malá kalkulačka</w:t>
      </w:r>
      <w:r w:rsidRPr="001E4B49">
        <w:t>);</w:t>
      </w:r>
    </w:p>
    <w:p w14:paraId="25190FF0" w14:textId="77777777" w:rsidR="00632B65" w:rsidRPr="001E4B49" w:rsidRDefault="00632B65" w:rsidP="00632B65">
      <w:pPr>
        <w:pStyle w:val="Odsekzoznamu"/>
        <w:widowControl/>
        <w:numPr>
          <w:ilvl w:val="0"/>
          <w:numId w:val="27"/>
        </w:numPr>
        <w:adjustRightInd/>
        <w:spacing w:line="276" w:lineRule="auto"/>
      </w:pPr>
      <w:r w:rsidRPr="001E4B49">
        <w:rPr>
          <w:b/>
        </w:rPr>
        <w:t xml:space="preserve">Veľkú kalkulačku nákladov predkladaného materiálu/regulácie </w:t>
      </w:r>
      <w:r w:rsidRPr="001E4B49">
        <w:t xml:space="preserve"> – slúži na agregovanú kalkuláciu nákladov všetkých povinností, ktoré vyplývajú podnikateľom z predkladaného materiálu/regulácie (</w:t>
      </w:r>
      <w:r w:rsidRPr="001E4B49">
        <w:rPr>
          <w:i/>
        </w:rPr>
        <w:t>MS Excel, záložka č. 2 – Veľká kalkulačka</w:t>
      </w:r>
      <w:r w:rsidRPr="001E4B49">
        <w:t>).</w:t>
      </w:r>
    </w:p>
    <w:p w14:paraId="4D853A36" w14:textId="77777777" w:rsidR="00632B65" w:rsidRPr="001E4B49" w:rsidRDefault="00632B65" w:rsidP="00632B65">
      <w:pPr>
        <w:jc w:val="both"/>
        <w:rPr>
          <w:u w:val="single"/>
        </w:rPr>
      </w:pPr>
    </w:p>
    <w:p w14:paraId="0B170329" w14:textId="77777777" w:rsidR="00632B65" w:rsidRPr="001E4B49" w:rsidRDefault="00632B65" w:rsidP="00632B65">
      <w:pPr>
        <w:jc w:val="both"/>
        <w:rPr>
          <w:b/>
          <w:sz w:val="28"/>
          <w:u w:val="single"/>
        </w:rPr>
      </w:pPr>
      <w:r w:rsidRPr="001E4B49">
        <w:rPr>
          <w:b/>
          <w:sz w:val="28"/>
          <w:u w:val="single"/>
        </w:rPr>
        <w:t>3.4 Konkurencieschopnosť a správanie sa podnikov na trhu</w:t>
      </w:r>
    </w:p>
    <w:p w14:paraId="0CE0F1B2" w14:textId="77777777" w:rsidR="00632B65" w:rsidRPr="001E4B49" w:rsidRDefault="00632B65" w:rsidP="00632B65">
      <w:pPr>
        <w:jc w:val="both"/>
      </w:pPr>
      <w:r w:rsidRPr="001E4B49">
        <w:t>Predkladateľ uvedie, či dochádza k vytvoreniu bariér pre vstup na trh pre nových dodávateľov alebo poskytovateľov služieb a či dôjde k sprísneniu regulácie správania sa pre niektoré podniky. V princípe existujú tri možnosti, ako môžu regulácie ovplyvniť fungovanie podnikateľských subjektov na trhu:</w:t>
      </w:r>
    </w:p>
    <w:p w14:paraId="2CA4FD2D" w14:textId="77777777" w:rsidR="00632B65" w:rsidRPr="001E4B49" w:rsidRDefault="00632B65" w:rsidP="00632B65">
      <w:pPr>
        <w:spacing w:after="120"/>
        <w:ind w:left="340" w:hanging="340"/>
        <w:jc w:val="both"/>
      </w:pPr>
      <w:r w:rsidRPr="001E4B49">
        <w:t>a)</w:t>
      </w:r>
      <w:r w:rsidRPr="001E4B49">
        <w:tab/>
      </w:r>
      <w:r w:rsidRPr="001E4B49">
        <w:rPr>
          <w:b/>
        </w:rPr>
        <w:t>stanovením ďalších podmienok pre vstup na trh a začatie podnikania</w:t>
      </w:r>
      <w:r w:rsidRPr="001E4B49">
        <w:t xml:space="preserve"> (problém s otvorením prevádzkarne, vysoké vstupné náklady, náročné administratívne procedúry a pod.),</w:t>
      </w:r>
    </w:p>
    <w:p w14:paraId="50917413" w14:textId="77777777" w:rsidR="00632B65" w:rsidRPr="001E4B49" w:rsidRDefault="00632B65" w:rsidP="00632B65">
      <w:pPr>
        <w:spacing w:after="120"/>
        <w:ind w:left="340" w:hanging="340"/>
        <w:jc w:val="both"/>
      </w:pPr>
      <w:r w:rsidRPr="001E4B49">
        <w:t>b)</w:t>
      </w:r>
      <w:r w:rsidRPr="001E4B49">
        <w:tab/>
      </w:r>
      <w:r w:rsidRPr="001E4B49">
        <w:rPr>
          <w:b/>
        </w:rPr>
        <w:t>stanovením podmienok pre správanie sa na trhu</w:t>
      </w:r>
      <w:r w:rsidRPr="001E4B49">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771ED6BD" w14:textId="77777777" w:rsidR="00632B65" w:rsidRPr="001E4B49" w:rsidRDefault="00632B65" w:rsidP="00632B65">
      <w:pPr>
        <w:spacing w:after="120"/>
        <w:ind w:left="340" w:hanging="340"/>
        <w:jc w:val="both"/>
      </w:pPr>
      <w:r w:rsidRPr="001E4B49">
        <w:t>c)</w:t>
      </w:r>
      <w:r w:rsidRPr="001E4B49">
        <w:tab/>
      </w:r>
      <w:r w:rsidRPr="001E4B49">
        <w:rPr>
          <w:b/>
        </w:rPr>
        <w:t>stanovením podmienok, ktoré vedú k zmenám v štruktúre trhu</w:t>
      </w:r>
      <w:r w:rsidRPr="001E4B49">
        <w:t>. Ide však spravidla o také opatrenia, ktoré postihujú iba veľké podnikateľské subjekty.</w:t>
      </w:r>
    </w:p>
    <w:p w14:paraId="752108B1" w14:textId="77777777" w:rsidR="00632B65" w:rsidRPr="001E4B49" w:rsidRDefault="00632B65" w:rsidP="00632B65">
      <w:pPr>
        <w:jc w:val="both"/>
      </w:pPr>
      <w:r w:rsidRPr="001E4B49">
        <w:t>Predkladateľ popíše tiež situácie, kedy sa bude zaobchádzať s niektorými podnikmi alebo produktmi v porovnateľnej situácii rôzne</w:t>
      </w:r>
      <w:r w:rsidRPr="001E4B49">
        <w:rPr>
          <w:i/>
        </w:rPr>
        <w:t xml:space="preserve"> </w:t>
      </w:r>
      <w:r w:rsidRPr="001E4B49">
        <w:t>(napr. špeciálne režimy pre mikro, malé a stredné podniky tzv. MSP).</w:t>
      </w:r>
    </w:p>
    <w:p w14:paraId="0F576E35" w14:textId="77777777" w:rsidR="00632B65" w:rsidRPr="001E4B49" w:rsidRDefault="00632B65" w:rsidP="00632B65">
      <w:pPr>
        <w:jc w:val="both"/>
      </w:pPr>
      <w:r w:rsidRPr="001E4B49">
        <w:t>Predkladateľ popíše, či a aký vplyvy má návrh na prekážky pri vývoze alebo dovoze z tretích krajín a či bude mať vplyv vyvolanie cezhraničných investícií (príliv /odliv zahraničných investícií resp. uplatnenie slovenských podnikov na zahraničných trhoch).</w:t>
      </w:r>
    </w:p>
    <w:p w14:paraId="282B9D21" w14:textId="77777777" w:rsidR="00632B65" w:rsidRPr="001E4B49" w:rsidRDefault="00632B65" w:rsidP="00632B65">
      <w:pPr>
        <w:jc w:val="both"/>
      </w:pPr>
      <w:r w:rsidRPr="001E4B49">
        <w:t>Zároveň posúdi  priame aj nepriame vplyvy so zameraním na dostupnosť a cenu surovín, polotovarov, súčiastok, strojov a zariadení, pracovnej sily, energií a pod. Následne uvedie kvalitatívny opis a v prípade pohybu cien uvedie  jednotkové vyčíslenie nákladov alebo prínosov.</w:t>
      </w:r>
    </w:p>
    <w:p w14:paraId="2C37C578" w14:textId="77777777" w:rsidR="00632B65" w:rsidRPr="001E4B49" w:rsidRDefault="00632B65" w:rsidP="00632B65">
      <w:pPr>
        <w:jc w:val="both"/>
        <w:rPr>
          <w:i/>
        </w:rPr>
      </w:pPr>
      <w:r w:rsidRPr="001E4B49">
        <w:t>Predkladateľ zanalyzuje predložený návrh z hľadiska prístupu k financiám. Uvedie, či sa vytvárajú nové možnosti financovania aktivít pre podnikateľov, napr. vo forme dotácií, úverov,  alebo zjednodušuje prístup k existujúcim nástrojom financovania.</w:t>
      </w:r>
    </w:p>
    <w:p w14:paraId="729F5532" w14:textId="77777777" w:rsidR="00632B65" w:rsidRPr="001E4B49" w:rsidRDefault="00632B65" w:rsidP="00632B65">
      <w:pPr>
        <w:jc w:val="both"/>
      </w:pPr>
      <w:r w:rsidRPr="001E4B49">
        <w:t xml:space="preserve">Pri spracovávaní tejto časti je potrebné rozlišovať medzi </w:t>
      </w:r>
      <w:r w:rsidRPr="001E4B49">
        <w:rPr>
          <w:b/>
        </w:rPr>
        <w:t xml:space="preserve">krátkodobými </w:t>
      </w:r>
      <w:r w:rsidRPr="001E4B49">
        <w:t xml:space="preserve"> (1 až 2 roky), </w:t>
      </w:r>
      <w:r w:rsidRPr="001E4B49">
        <w:rPr>
          <w:b/>
        </w:rPr>
        <w:t>strednodobými</w:t>
      </w:r>
      <w:r w:rsidRPr="001E4B49">
        <w:t xml:space="preserve"> (3 až 7 rokov) a </w:t>
      </w:r>
      <w:r w:rsidRPr="001E4B49">
        <w:rPr>
          <w:b/>
        </w:rPr>
        <w:t>dlhodobými</w:t>
      </w:r>
      <w:r w:rsidRPr="001E4B49">
        <w:t xml:space="preserve"> (8 rokov a viac) vplyvmi. </w:t>
      </w:r>
    </w:p>
    <w:p w14:paraId="65945FBD" w14:textId="77777777" w:rsidR="00632B65" w:rsidRPr="001E4B49" w:rsidRDefault="00632B65" w:rsidP="00632B65">
      <w:pPr>
        <w:jc w:val="both"/>
        <w:rPr>
          <w:b/>
          <w:u w:val="single"/>
        </w:rPr>
      </w:pPr>
    </w:p>
    <w:p w14:paraId="0829CA2D" w14:textId="77777777" w:rsidR="00632B65" w:rsidRPr="001E4B49" w:rsidRDefault="00632B65" w:rsidP="00632B65">
      <w:pPr>
        <w:jc w:val="both"/>
        <w:rPr>
          <w:b/>
          <w:sz w:val="28"/>
          <w:u w:val="single"/>
        </w:rPr>
      </w:pPr>
      <w:r w:rsidRPr="001E4B49">
        <w:rPr>
          <w:b/>
          <w:sz w:val="28"/>
          <w:u w:val="single"/>
        </w:rPr>
        <w:t>3.5 Inovácie</w:t>
      </w:r>
    </w:p>
    <w:p w14:paraId="463DE522" w14:textId="77777777" w:rsidR="00632B65" w:rsidRPr="001E4B49" w:rsidRDefault="00632B65" w:rsidP="00632B65">
      <w:pPr>
        <w:jc w:val="both"/>
      </w:pPr>
      <w:r w:rsidRPr="001E4B49">
        <w:t>V prípade, ak má navrhovaný materiál vplyv na inovácie podnikateľov, vyplní túto časť s využitím všetkých alebo niektorých pomocných otázok aj so zameraním na MSP. V prípade, ak navrhovaný materiál vplyv na inovácie nemá, predkladateľ sem túto informáciu uvedie a ďalej nevypĺňa.</w:t>
      </w:r>
    </w:p>
    <w:p w14:paraId="4F8C1973" w14:textId="77777777" w:rsidR="00632B65" w:rsidRPr="001E4B49" w:rsidRDefault="00632B65" w:rsidP="00632B65">
      <w:pPr>
        <w:jc w:val="both"/>
      </w:pPr>
      <w:r w:rsidRPr="001E4B49">
        <w:t>Vplyvy na inovácie môžu mať aj materiály zamerané na podporu vedy a výskumu, prepájanie akademickej a podnikateľskej sféry, možnosti daňových odpočtov nákladov na výskum a vývoj a podobne. Inovácie nemusia mať len technologické zameranie, ale môžu sa týkať aj takých odvetví akými sú marketing, finančníctvo či inovácie produktov a služieb.</w:t>
      </w:r>
    </w:p>
    <w:p w14:paraId="4CB93149" w14:textId="77777777" w:rsidR="00632B65" w:rsidRPr="001E4B49" w:rsidRDefault="00632B65" w:rsidP="00632B65">
      <w:r w:rsidRPr="001E4B49">
        <w:br w:type="page"/>
      </w:r>
    </w:p>
    <w:p w14:paraId="77A4958F" w14:textId="77777777" w:rsidR="00632B65" w:rsidRPr="001E4B49" w:rsidRDefault="00632B65" w:rsidP="00632B65">
      <w:pPr>
        <w:jc w:val="center"/>
        <w:rPr>
          <w:b/>
          <w:sz w:val="28"/>
        </w:rPr>
      </w:pPr>
      <w:r w:rsidRPr="001E4B49">
        <w:rPr>
          <w:b/>
          <w:sz w:val="28"/>
        </w:rPr>
        <w:t>Metodika pre vykonávanie testu vplyvov na MSP</w:t>
      </w:r>
    </w:p>
    <w:p w14:paraId="000A7934" w14:textId="77777777" w:rsidR="00632B65" w:rsidRPr="001E4B49" w:rsidRDefault="00632B65" w:rsidP="00632B65">
      <w:pPr>
        <w:spacing w:before="240"/>
        <w:jc w:val="both"/>
      </w:pPr>
      <w:r w:rsidRPr="001E4B49">
        <w:t xml:space="preserve">Test vplyvov na malé a stredné podniky MSP sa vykonáva pre legislatívne návrhy ako aj nelegislatívne návrhy, ktoré majú indikovaný vplyv na niektorú z kategórií malých a stredných podnikov. Malé a stredné podniky (MSP) sú definované v zmysle odporúčania Európskej komisie č. 2003/361/ES. </w:t>
      </w:r>
    </w:p>
    <w:p w14:paraId="2CD862E2" w14:textId="77777777" w:rsidR="00632B65" w:rsidRPr="001E4B49" w:rsidRDefault="00632B65" w:rsidP="00632B65"/>
    <w:p w14:paraId="04564B47" w14:textId="77777777" w:rsidR="00632B65" w:rsidRPr="001E4B49" w:rsidRDefault="00632B65" w:rsidP="00632B65">
      <w:r w:rsidRPr="001E4B49">
        <w:t>Test MSP sa vykonáva po predložení materiálu do PPK. Test pozostáva zo 4 fáz:</w:t>
      </w:r>
    </w:p>
    <w:p w14:paraId="7D92955E" w14:textId="77777777" w:rsidR="00632B65" w:rsidRPr="001E4B49" w:rsidRDefault="00632B65" w:rsidP="00632B65"/>
    <w:p w14:paraId="7B792849" w14:textId="77777777" w:rsidR="00632B65" w:rsidRPr="001E4B49" w:rsidRDefault="00632B65" w:rsidP="00632B65">
      <w:r w:rsidRPr="001E4B49">
        <w:rPr>
          <w:noProof/>
        </w:rPr>
        <w:drawing>
          <wp:inline distT="0" distB="0" distL="0" distR="0" wp14:anchorId="65C0BFE6" wp14:editId="2E8ED3CA">
            <wp:extent cx="5486400" cy="27432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20B8382" w14:textId="77777777" w:rsidR="00632B65" w:rsidRPr="001E4B49" w:rsidRDefault="00632B65" w:rsidP="00632B65"/>
    <w:p w14:paraId="3EC11055" w14:textId="77777777" w:rsidR="00632B65" w:rsidRPr="001E4B49" w:rsidRDefault="00632B65" w:rsidP="00632B65">
      <w:pPr>
        <w:jc w:val="both"/>
        <w:rPr>
          <w:b/>
        </w:rPr>
      </w:pPr>
      <w:r w:rsidRPr="001E4B49">
        <w:rPr>
          <w:b/>
        </w:rPr>
        <w:t>Fáza 1. Konzultácia so zástupcami MSP</w:t>
      </w:r>
    </w:p>
    <w:p w14:paraId="0F9C5B55" w14:textId="77777777" w:rsidR="00632B65" w:rsidRPr="001E4B49" w:rsidRDefault="00632B65" w:rsidP="00632B65">
      <w:pPr>
        <w:widowControl/>
        <w:numPr>
          <w:ilvl w:val="0"/>
          <w:numId w:val="31"/>
        </w:numPr>
        <w:adjustRightInd/>
        <w:spacing w:line="276" w:lineRule="auto"/>
        <w:jc w:val="both"/>
      </w:pPr>
      <w:r w:rsidRPr="001E4B49">
        <w:t>identifikácia zainteresovaných skupín MSP a ich zastupiteľských organizácií,</w:t>
      </w:r>
    </w:p>
    <w:p w14:paraId="7C68862B" w14:textId="77777777" w:rsidR="00632B65" w:rsidRPr="001E4B49" w:rsidRDefault="00632B65" w:rsidP="00632B65">
      <w:pPr>
        <w:widowControl/>
        <w:numPr>
          <w:ilvl w:val="0"/>
          <w:numId w:val="31"/>
        </w:numPr>
        <w:adjustRightInd/>
        <w:spacing w:line="276" w:lineRule="auto"/>
        <w:jc w:val="both"/>
      </w:pPr>
      <w:r w:rsidRPr="001E4B49">
        <w:t>okrúhle stoly so zainteresovanými podnikateľmi/ podnikateľskými organizáciami,</w:t>
      </w:r>
    </w:p>
    <w:p w14:paraId="50F02BF6" w14:textId="77777777" w:rsidR="00632B65" w:rsidRPr="001E4B49" w:rsidRDefault="00632B65" w:rsidP="00632B65">
      <w:pPr>
        <w:widowControl/>
        <w:numPr>
          <w:ilvl w:val="0"/>
          <w:numId w:val="31"/>
        </w:numPr>
        <w:adjustRightInd/>
        <w:spacing w:line="276" w:lineRule="auto"/>
        <w:jc w:val="both"/>
      </w:pPr>
      <w:r w:rsidRPr="001E4B49">
        <w:t>zverejnenie zámeru online, vytvorenie online platformy na pripomienkovanie,</w:t>
      </w:r>
    </w:p>
    <w:p w14:paraId="28D35E73" w14:textId="77777777" w:rsidR="00632B65" w:rsidRPr="001E4B49" w:rsidRDefault="00632B65" w:rsidP="00632B65">
      <w:pPr>
        <w:widowControl/>
        <w:numPr>
          <w:ilvl w:val="0"/>
          <w:numId w:val="31"/>
        </w:numPr>
        <w:adjustRightInd/>
        <w:spacing w:line="276" w:lineRule="auto"/>
        <w:jc w:val="both"/>
      </w:pPr>
      <w:r w:rsidRPr="001E4B49">
        <w:t xml:space="preserve">vyhodnotenie online pripomienok, </w:t>
      </w:r>
    </w:p>
    <w:p w14:paraId="4FDB32B3" w14:textId="77777777" w:rsidR="00632B65" w:rsidRPr="001E4B49" w:rsidRDefault="00632B65" w:rsidP="00632B65">
      <w:pPr>
        <w:widowControl/>
        <w:numPr>
          <w:ilvl w:val="0"/>
          <w:numId w:val="31"/>
        </w:numPr>
        <w:adjustRightInd/>
        <w:spacing w:line="276" w:lineRule="auto"/>
        <w:jc w:val="both"/>
      </w:pPr>
      <w:r w:rsidRPr="001E4B49">
        <w:t>MSP Test panely.</w:t>
      </w:r>
    </w:p>
    <w:p w14:paraId="2734DD76" w14:textId="77777777" w:rsidR="00632B65" w:rsidRPr="001E4B49" w:rsidRDefault="00632B65" w:rsidP="00632B65">
      <w:pPr>
        <w:jc w:val="both"/>
        <w:rPr>
          <w:b/>
        </w:rPr>
      </w:pPr>
    </w:p>
    <w:p w14:paraId="3220C8F1" w14:textId="77777777" w:rsidR="00632B65" w:rsidRPr="001E4B49" w:rsidRDefault="00632B65" w:rsidP="00632B65">
      <w:pPr>
        <w:jc w:val="both"/>
        <w:rPr>
          <w:b/>
        </w:rPr>
      </w:pPr>
      <w:r w:rsidRPr="001E4B49">
        <w:rPr>
          <w:b/>
        </w:rPr>
        <w:t>Fáza 2. Predbežné posúdenie pravdepodobne ovplyvnených podnikateľských subjektov</w:t>
      </w:r>
    </w:p>
    <w:p w14:paraId="2EC98D8F" w14:textId="77777777" w:rsidR="00632B65" w:rsidRPr="001E4B49" w:rsidRDefault="00632B65" w:rsidP="00632B65">
      <w:pPr>
        <w:widowControl/>
        <w:numPr>
          <w:ilvl w:val="0"/>
          <w:numId w:val="31"/>
        </w:numPr>
        <w:adjustRightInd/>
        <w:spacing w:line="276" w:lineRule="auto"/>
        <w:jc w:val="both"/>
      </w:pPr>
      <w:r w:rsidRPr="001E4B49">
        <w:t>identifikácia ovplyvnených subjektov a sektorov v rámci jednotlivých veľkostných, právnych, odvetvových, prípadne iných špecifikácií MSP</w:t>
      </w:r>
    </w:p>
    <w:p w14:paraId="05486FC9" w14:textId="77777777" w:rsidR="00632B65" w:rsidRPr="001E4B49" w:rsidRDefault="00632B65" w:rsidP="00632B65">
      <w:pPr>
        <w:widowControl/>
        <w:numPr>
          <w:ilvl w:val="0"/>
          <w:numId w:val="31"/>
        </w:numPr>
        <w:adjustRightInd/>
        <w:spacing w:line="276" w:lineRule="auto"/>
        <w:jc w:val="both"/>
      </w:pPr>
      <w:r w:rsidRPr="001E4B49">
        <w:t>kto sú ovplyvnené subjekty?</w:t>
      </w:r>
    </w:p>
    <w:p w14:paraId="46F51469" w14:textId="77777777" w:rsidR="00632B65" w:rsidRPr="001E4B49" w:rsidRDefault="00632B65" w:rsidP="00632B65">
      <w:pPr>
        <w:widowControl/>
        <w:numPr>
          <w:ilvl w:val="0"/>
          <w:numId w:val="32"/>
        </w:numPr>
        <w:adjustRightInd/>
        <w:spacing w:line="276" w:lineRule="auto"/>
        <w:jc w:val="both"/>
      </w:pPr>
      <w:r w:rsidRPr="001E4B49">
        <w:t>počet subjektov a ich zastúpenie (mikro, malé, stredné a veľké podniky),</w:t>
      </w:r>
    </w:p>
    <w:p w14:paraId="431CE84C" w14:textId="77777777" w:rsidR="00632B65" w:rsidRPr="001E4B49" w:rsidRDefault="00632B65" w:rsidP="00632B65">
      <w:pPr>
        <w:widowControl/>
        <w:numPr>
          <w:ilvl w:val="0"/>
          <w:numId w:val="32"/>
        </w:numPr>
        <w:adjustRightInd/>
        <w:spacing w:line="276" w:lineRule="auto"/>
        <w:jc w:val="both"/>
      </w:pPr>
      <w:r w:rsidRPr="001E4B49">
        <w:t>podiel na zamestnanosti v rôznych kategóriách ovplyvnených subjektov,</w:t>
      </w:r>
    </w:p>
    <w:p w14:paraId="47087184" w14:textId="77777777" w:rsidR="00632B65" w:rsidRPr="001E4B49" w:rsidRDefault="00632B65" w:rsidP="00632B65">
      <w:pPr>
        <w:widowControl/>
        <w:numPr>
          <w:ilvl w:val="0"/>
          <w:numId w:val="32"/>
        </w:numPr>
        <w:adjustRightInd/>
        <w:spacing w:line="276" w:lineRule="auto"/>
        <w:jc w:val="both"/>
      </w:pPr>
      <w:r w:rsidRPr="001E4B49">
        <w:t>zastúpenie MSP v ovplyvnenom sektore,</w:t>
      </w:r>
    </w:p>
    <w:p w14:paraId="29F7C0DA" w14:textId="77777777" w:rsidR="00632B65" w:rsidRPr="001E4B49" w:rsidRDefault="00632B65" w:rsidP="00632B65">
      <w:pPr>
        <w:widowControl/>
        <w:numPr>
          <w:ilvl w:val="0"/>
          <w:numId w:val="32"/>
        </w:numPr>
        <w:adjustRightInd/>
        <w:spacing w:line="276" w:lineRule="auto"/>
        <w:jc w:val="both"/>
      </w:pPr>
      <w:r w:rsidRPr="001E4B49">
        <w:t>prepojenie na ostatné sektory (odvetvia) a možný dopad na subdodávateľské vzťahy.</w:t>
      </w:r>
    </w:p>
    <w:p w14:paraId="20AE3441" w14:textId="77777777" w:rsidR="00632B65" w:rsidRPr="001E4B49" w:rsidRDefault="00632B65" w:rsidP="00632B65">
      <w:pPr>
        <w:jc w:val="both"/>
        <w:rPr>
          <w:b/>
        </w:rPr>
      </w:pPr>
    </w:p>
    <w:p w14:paraId="561758E9" w14:textId="77777777" w:rsidR="00632B65" w:rsidRPr="001E4B49" w:rsidRDefault="00632B65" w:rsidP="00632B65">
      <w:pPr>
        <w:jc w:val="both"/>
        <w:rPr>
          <w:b/>
        </w:rPr>
      </w:pPr>
      <w:r w:rsidRPr="001E4B49">
        <w:rPr>
          <w:b/>
        </w:rPr>
        <w:t>Fáza 3. Meranie vplyvu regulácie na MSP</w:t>
      </w:r>
    </w:p>
    <w:p w14:paraId="58BABE6E" w14:textId="77777777" w:rsidR="00632B65" w:rsidRPr="001E4B49" w:rsidRDefault="00632B65" w:rsidP="00632B65">
      <w:pPr>
        <w:widowControl/>
        <w:numPr>
          <w:ilvl w:val="0"/>
          <w:numId w:val="31"/>
        </w:numPr>
        <w:adjustRightInd/>
        <w:spacing w:line="276" w:lineRule="auto"/>
        <w:jc w:val="both"/>
      </w:pPr>
      <w:r w:rsidRPr="001E4B49">
        <w:t>kvantitatívna a kvalitatívna analýza vplyvov (priamych aj nepriamych)</w:t>
      </w:r>
    </w:p>
    <w:p w14:paraId="0F286F5C" w14:textId="77777777" w:rsidR="00632B65" w:rsidRPr="001E4B49" w:rsidRDefault="00632B65" w:rsidP="00632B65">
      <w:pPr>
        <w:widowControl/>
        <w:numPr>
          <w:ilvl w:val="0"/>
          <w:numId w:val="33"/>
        </w:numPr>
        <w:adjustRightInd/>
        <w:spacing w:line="276" w:lineRule="auto"/>
        <w:jc w:val="both"/>
      </w:pPr>
      <w:r w:rsidRPr="001E4B49">
        <w:t>náklady (finančné, administratívne a náklady na implementáciu)</w:t>
      </w:r>
      <w:r w:rsidRPr="001E4B49">
        <w:tab/>
      </w:r>
    </w:p>
    <w:p w14:paraId="1D44D765" w14:textId="77777777" w:rsidR="00632B65" w:rsidRPr="001E4B49" w:rsidRDefault="00632B65" w:rsidP="00632B65">
      <w:pPr>
        <w:widowControl/>
        <w:numPr>
          <w:ilvl w:val="0"/>
          <w:numId w:val="33"/>
        </w:numPr>
        <w:adjustRightInd/>
        <w:spacing w:line="276" w:lineRule="auto"/>
        <w:jc w:val="both"/>
      </w:pPr>
      <w:r w:rsidRPr="001E4B49">
        <w:t>prínosy (finančné, spoločenské, iné)</w:t>
      </w:r>
    </w:p>
    <w:p w14:paraId="7507EF4B" w14:textId="77777777" w:rsidR="00632B65" w:rsidRPr="001E4B49" w:rsidRDefault="00632B65" w:rsidP="00632B65">
      <w:pPr>
        <w:widowControl/>
        <w:numPr>
          <w:ilvl w:val="0"/>
          <w:numId w:val="31"/>
        </w:numPr>
        <w:adjustRightInd/>
        <w:spacing w:line="276" w:lineRule="auto"/>
        <w:jc w:val="both"/>
      </w:pPr>
      <w:r w:rsidRPr="001E4B49">
        <w:t>porovnanie vplyvu regulácie na MSP a na veľké podnikateľské subjekty</w:t>
      </w:r>
    </w:p>
    <w:p w14:paraId="4C73F387" w14:textId="77777777" w:rsidR="00632B65" w:rsidRPr="001E4B49" w:rsidRDefault="00632B65" w:rsidP="00632B65">
      <w:pPr>
        <w:widowControl/>
        <w:numPr>
          <w:ilvl w:val="0"/>
          <w:numId w:val="34"/>
        </w:numPr>
        <w:adjustRightInd/>
        <w:spacing w:line="276" w:lineRule="auto"/>
        <w:jc w:val="both"/>
      </w:pPr>
      <w:r w:rsidRPr="001E4B49">
        <w:t>náklady na 1 zamestnanca / ročný obrat / režijné náklady</w:t>
      </w:r>
    </w:p>
    <w:p w14:paraId="17524F72" w14:textId="77777777" w:rsidR="00632B65" w:rsidRPr="001E4B49" w:rsidRDefault="00632B65" w:rsidP="00632B65">
      <w:pPr>
        <w:widowControl/>
        <w:numPr>
          <w:ilvl w:val="0"/>
          <w:numId w:val="31"/>
        </w:numPr>
        <w:adjustRightInd/>
        <w:spacing w:line="276" w:lineRule="auto"/>
        <w:jc w:val="both"/>
      </w:pPr>
      <w:r w:rsidRPr="001E4B49">
        <w:t xml:space="preserve">posúdenie vplyvu na fungovanie MSP na trhu a na ich konkurencieschopnosť </w:t>
      </w:r>
    </w:p>
    <w:p w14:paraId="4BBE943E" w14:textId="77777777" w:rsidR="00632B65" w:rsidRPr="001E4B49" w:rsidRDefault="00632B65" w:rsidP="00632B65">
      <w:pPr>
        <w:widowControl/>
        <w:numPr>
          <w:ilvl w:val="0"/>
          <w:numId w:val="34"/>
        </w:numPr>
        <w:adjustRightInd/>
        <w:spacing w:line="276" w:lineRule="auto"/>
        <w:jc w:val="both"/>
      </w:pPr>
      <w:r w:rsidRPr="001E4B49">
        <w:t>nepriame vplyvy na konkurencieschopnosť MSP (napr. zvýšenie administratívneho zaťaženia, zhoršenie prístupu k financovaniu)</w:t>
      </w:r>
    </w:p>
    <w:p w14:paraId="6949E178" w14:textId="77777777" w:rsidR="00632B65" w:rsidRPr="001E4B49" w:rsidRDefault="00632B65" w:rsidP="00632B65">
      <w:pPr>
        <w:widowControl/>
        <w:numPr>
          <w:ilvl w:val="0"/>
          <w:numId w:val="35"/>
        </w:numPr>
        <w:adjustRightInd/>
        <w:spacing w:line="276" w:lineRule="auto"/>
        <w:jc w:val="both"/>
      </w:pPr>
      <w:r w:rsidRPr="001E4B49">
        <w:t>vplyv na konkurenčné vzťahy, dodávateľsko-odberateľské vzťahy a zákazníkov (deformácia trhu)</w:t>
      </w:r>
    </w:p>
    <w:p w14:paraId="525B955B" w14:textId="77777777" w:rsidR="00632B65" w:rsidRPr="001E4B49" w:rsidRDefault="00632B65" w:rsidP="00632B65">
      <w:pPr>
        <w:widowControl/>
        <w:numPr>
          <w:ilvl w:val="0"/>
          <w:numId w:val="35"/>
        </w:numPr>
        <w:adjustRightInd/>
        <w:spacing w:line="276" w:lineRule="auto"/>
        <w:jc w:val="both"/>
      </w:pPr>
      <w:r w:rsidRPr="001E4B49">
        <w:t>vplyv na vstup na trh, trhovú súťaž a štruktúru trhu (monopolizácia trhu)</w:t>
      </w:r>
    </w:p>
    <w:p w14:paraId="1E7D98F4" w14:textId="77777777" w:rsidR="00632B65" w:rsidRPr="001E4B49" w:rsidRDefault="00632B65" w:rsidP="00632B65">
      <w:pPr>
        <w:widowControl/>
        <w:numPr>
          <w:ilvl w:val="0"/>
          <w:numId w:val="35"/>
        </w:numPr>
        <w:adjustRightInd/>
        <w:spacing w:line="276" w:lineRule="auto"/>
        <w:jc w:val="both"/>
      </w:pPr>
      <w:r w:rsidRPr="001E4B49">
        <w:t>vplyv na inovácie (technologické ale aj netechnologické)</w:t>
      </w:r>
    </w:p>
    <w:p w14:paraId="53619AC3" w14:textId="77777777" w:rsidR="00632B65" w:rsidRPr="001E4B49" w:rsidRDefault="00632B65" w:rsidP="00632B65">
      <w:pPr>
        <w:jc w:val="both"/>
        <w:rPr>
          <w:b/>
        </w:rPr>
      </w:pPr>
    </w:p>
    <w:p w14:paraId="627B07AD" w14:textId="77777777" w:rsidR="00632B65" w:rsidRPr="001E4B49" w:rsidRDefault="00632B65" w:rsidP="00632B65">
      <w:pPr>
        <w:jc w:val="both"/>
        <w:rPr>
          <w:b/>
        </w:rPr>
      </w:pPr>
      <w:r w:rsidRPr="001E4B49">
        <w:rPr>
          <w:b/>
        </w:rPr>
        <w:t>Fáza 4. Posúdenie alternatívnych možností a zmierňujúcich opatrení pre MSP</w:t>
      </w:r>
    </w:p>
    <w:p w14:paraId="24E253B6" w14:textId="77777777" w:rsidR="00632B65" w:rsidRPr="001E4B49" w:rsidRDefault="00632B65" w:rsidP="00632B65">
      <w:pPr>
        <w:widowControl/>
        <w:numPr>
          <w:ilvl w:val="0"/>
          <w:numId w:val="31"/>
        </w:numPr>
        <w:adjustRightInd/>
        <w:spacing w:line="276" w:lineRule="auto"/>
        <w:jc w:val="both"/>
      </w:pPr>
      <w:r w:rsidRPr="001E4B49">
        <w:t xml:space="preserve">porovnávanie viacerých možností aplikácie regulácie </w:t>
      </w:r>
    </w:p>
    <w:p w14:paraId="19B23B1F" w14:textId="77777777" w:rsidR="00632B65" w:rsidRPr="001E4B49" w:rsidRDefault="00632B65" w:rsidP="00632B65">
      <w:pPr>
        <w:widowControl/>
        <w:numPr>
          <w:ilvl w:val="0"/>
          <w:numId w:val="31"/>
        </w:numPr>
        <w:adjustRightInd/>
        <w:spacing w:line="276" w:lineRule="auto"/>
        <w:jc w:val="both"/>
      </w:pPr>
      <w:r w:rsidRPr="001E4B49">
        <w:t>v prípade, že sú MSP, resp. určité kategórie MSP relatívne viac ovplyvnenou skupinou, treba zvážiť zmierňujúce opatrenia (s ohľadom na náklady na ich implementáciu), napr.:</w:t>
      </w:r>
    </w:p>
    <w:p w14:paraId="6592CB1B" w14:textId="77777777" w:rsidR="00632B65" w:rsidRPr="001E4B49" w:rsidRDefault="00632B65" w:rsidP="00632B65">
      <w:pPr>
        <w:widowControl/>
        <w:numPr>
          <w:ilvl w:val="0"/>
          <w:numId w:val="36"/>
        </w:numPr>
        <w:adjustRightInd/>
        <w:spacing w:line="276" w:lineRule="auto"/>
        <w:jc w:val="both"/>
      </w:pPr>
      <w:r w:rsidRPr="001E4B49">
        <w:t>kompletné, alebo čiastkové vyňatie MSP, resp. určitých kategórií MSP (napr. mikropodnikov, podnikateľov s určitým obratom) z rozsahu opatrenia,</w:t>
      </w:r>
    </w:p>
    <w:p w14:paraId="4B86C983" w14:textId="77777777" w:rsidR="00632B65" w:rsidRPr="001E4B49" w:rsidRDefault="00632B65" w:rsidP="00632B65">
      <w:pPr>
        <w:widowControl/>
        <w:numPr>
          <w:ilvl w:val="0"/>
          <w:numId w:val="36"/>
        </w:numPr>
        <w:adjustRightInd/>
        <w:spacing w:line="276" w:lineRule="auto"/>
        <w:jc w:val="both"/>
      </w:pPr>
      <w:r w:rsidRPr="001E4B49">
        <w:t>dočasné výnimky pre MSP, resp. určité kategórie MSP,</w:t>
      </w:r>
    </w:p>
    <w:p w14:paraId="0CED865A" w14:textId="77777777" w:rsidR="00632B65" w:rsidRPr="001E4B49" w:rsidRDefault="00632B65" w:rsidP="00632B65">
      <w:pPr>
        <w:widowControl/>
        <w:numPr>
          <w:ilvl w:val="0"/>
          <w:numId w:val="36"/>
        </w:numPr>
        <w:adjustRightInd/>
        <w:spacing w:line="276" w:lineRule="auto"/>
        <w:jc w:val="both"/>
      </w:pPr>
      <w:r w:rsidRPr="001E4B49">
        <w:t>priama finančná pomoc, daňové zvýhodnenie, zníženie poplatkov pre MSP, resp. určité kategórie MSP,</w:t>
      </w:r>
    </w:p>
    <w:p w14:paraId="0F47E36B" w14:textId="77777777" w:rsidR="00632B65" w:rsidRPr="001E4B49" w:rsidRDefault="00632B65" w:rsidP="00632B65">
      <w:pPr>
        <w:widowControl/>
        <w:numPr>
          <w:ilvl w:val="0"/>
          <w:numId w:val="36"/>
        </w:numPr>
        <w:adjustRightInd/>
        <w:spacing w:line="276" w:lineRule="auto"/>
        <w:jc w:val="both"/>
      </w:pPr>
      <w:r w:rsidRPr="001E4B49">
        <w:t>zjednodušenie oznamovacích povinností pre MSP, resp. určité kategórie MSP,</w:t>
      </w:r>
    </w:p>
    <w:p w14:paraId="53EC469A" w14:textId="77777777" w:rsidR="00632B65" w:rsidRPr="001E4B49" w:rsidRDefault="00632B65" w:rsidP="00632B65">
      <w:pPr>
        <w:widowControl/>
        <w:numPr>
          <w:ilvl w:val="0"/>
          <w:numId w:val="36"/>
        </w:numPr>
        <w:adjustRightInd/>
        <w:spacing w:line="276" w:lineRule="auto"/>
        <w:jc w:val="both"/>
      </w:pPr>
      <w:r w:rsidRPr="001E4B49">
        <w:t>informačné kampane pre MSP, tvorba príručiek, školenia a poradenské služby (helpdesky),</w:t>
      </w:r>
    </w:p>
    <w:p w14:paraId="2A5D6DC5" w14:textId="77777777" w:rsidR="00632B65" w:rsidRPr="001E4B49" w:rsidRDefault="00632B65" w:rsidP="00632B65">
      <w:pPr>
        <w:widowControl/>
        <w:numPr>
          <w:ilvl w:val="0"/>
          <w:numId w:val="36"/>
        </w:numPr>
        <w:adjustRightInd/>
        <w:spacing w:line="276" w:lineRule="auto"/>
        <w:jc w:val="both"/>
      </w:pPr>
      <w:r w:rsidRPr="001E4B49">
        <w:t>previazanosť na ďalšie opatrenia/ povinnosti pre podnikateľov - systematické zjednodušovanie požiadaviek pre MSP.</w:t>
      </w:r>
    </w:p>
    <w:p w14:paraId="5D48E0A7" w14:textId="77777777" w:rsidR="00632B65" w:rsidRPr="001E4B49" w:rsidRDefault="00632B65" w:rsidP="00632B65">
      <w:pPr>
        <w:tabs>
          <w:tab w:val="left" w:pos="960"/>
        </w:tabs>
        <w:jc w:val="both"/>
      </w:pPr>
    </w:p>
    <w:p w14:paraId="4FDF4873" w14:textId="5CC5F940" w:rsidR="00632B65" w:rsidRDefault="00632B65" w:rsidP="00632B65">
      <w:pPr>
        <w:tabs>
          <w:tab w:val="left" w:pos="960"/>
        </w:tabs>
        <w:jc w:val="both"/>
      </w:pPr>
      <w:r w:rsidRPr="001E4B49">
        <w:t>Výsledky testu MSP tvoria prílohu k Analýze vplyvov na podnikateľské prostredie podľa bodu 7.3.</w:t>
      </w:r>
      <w:r w:rsidR="00142FD9">
        <w:t xml:space="preserve"> </w:t>
      </w:r>
    </w:p>
    <w:p w14:paraId="31F7E87D" w14:textId="77777777" w:rsidR="00142FD9" w:rsidRPr="001E4B49" w:rsidRDefault="00142FD9" w:rsidP="00632B65">
      <w:pPr>
        <w:tabs>
          <w:tab w:val="left" w:pos="960"/>
        </w:tabs>
        <w:jc w:val="both"/>
      </w:pPr>
    </w:p>
    <w:p w14:paraId="6A455BFC" w14:textId="77777777" w:rsidR="00EC305C" w:rsidRPr="001E4B49" w:rsidRDefault="00EC305C" w:rsidP="00EC305C">
      <w:pPr>
        <w:jc w:val="center"/>
        <w:rPr>
          <w:b/>
          <w:color w:val="000000"/>
          <w:sz w:val="20"/>
          <w:szCs w:val="20"/>
        </w:rPr>
      </w:pPr>
    </w:p>
    <w:p w14:paraId="5BCC77C9" w14:textId="56114E33" w:rsidR="00EC305C" w:rsidRPr="001E4B49" w:rsidRDefault="00EC305C" w:rsidP="00EC305C">
      <w:pPr>
        <w:jc w:val="center"/>
        <w:rPr>
          <w:b/>
          <w:color w:val="000000"/>
          <w:sz w:val="20"/>
          <w:szCs w:val="20"/>
        </w:rPr>
      </w:pPr>
    </w:p>
    <w:p w14:paraId="70F1D629" w14:textId="4489D432" w:rsidR="00EC305C" w:rsidRPr="001E4B49" w:rsidRDefault="00EC305C" w:rsidP="00EC305C">
      <w:pPr>
        <w:jc w:val="center"/>
        <w:rPr>
          <w:b/>
          <w:color w:val="000000"/>
          <w:sz w:val="20"/>
          <w:szCs w:val="20"/>
        </w:rPr>
      </w:pPr>
    </w:p>
    <w:p w14:paraId="769E5854" w14:textId="5A0574C7" w:rsidR="00EC305C" w:rsidRPr="001E4B49" w:rsidRDefault="00EC305C" w:rsidP="00EC305C">
      <w:pPr>
        <w:jc w:val="center"/>
        <w:rPr>
          <w:b/>
          <w:color w:val="000000"/>
          <w:sz w:val="20"/>
          <w:szCs w:val="20"/>
        </w:rPr>
      </w:pPr>
    </w:p>
    <w:p w14:paraId="1E5DE317" w14:textId="77777777" w:rsidR="00EC305C" w:rsidRPr="001E4B49" w:rsidRDefault="00EC305C" w:rsidP="00EC305C">
      <w:pPr>
        <w:jc w:val="center"/>
        <w:rPr>
          <w:b/>
          <w:color w:val="000000"/>
          <w:sz w:val="20"/>
          <w:szCs w:val="20"/>
        </w:rPr>
      </w:pPr>
    </w:p>
    <w:p w14:paraId="1C7C1024" w14:textId="77777777" w:rsidR="00142FD9" w:rsidRDefault="00142FD9" w:rsidP="00142FD9">
      <w:pPr>
        <w:widowControl/>
        <w:adjustRightInd/>
        <w:jc w:val="center"/>
        <w:rPr>
          <w:b/>
          <w:bCs/>
          <w:sz w:val="28"/>
          <w:szCs w:val="28"/>
        </w:rPr>
      </w:pPr>
    </w:p>
    <w:p w14:paraId="2BD636F0" w14:textId="77777777" w:rsidR="00142FD9" w:rsidRDefault="00142FD9" w:rsidP="00142FD9">
      <w:pPr>
        <w:widowControl/>
        <w:adjustRightInd/>
        <w:jc w:val="center"/>
        <w:rPr>
          <w:b/>
          <w:bCs/>
          <w:sz w:val="28"/>
          <w:szCs w:val="28"/>
        </w:rPr>
      </w:pPr>
    </w:p>
    <w:p w14:paraId="3A067846" w14:textId="77777777" w:rsidR="00142FD9" w:rsidRDefault="00142FD9" w:rsidP="00142FD9">
      <w:pPr>
        <w:widowControl/>
        <w:adjustRightInd/>
        <w:jc w:val="center"/>
        <w:rPr>
          <w:b/>
          <w:bCs/>
          <w:sz w:val="28"/>
          <w:szCs w:val="28"/>
        </w:rPr>
      </w:pPr>
    </w:p>
    <w:p w14:paraId="34D6A6D8" w14:textId="77777777" w:rsidR="00142FD9" w:rsidRDefault="00142FD9" w:rsidP="00142FD9">
      <w:pPr>
        <w:widowControl/>
        <w:adjustRightInd/>
        <w:jc w:val="center"/>
        <w:rPr>
          <w:b/>
          <w:bCs/>
          <w:sz w:val="28"/>
          <w:szCs w:val="28"/>
        </w:rPr>
      </w:pPr>
    </w:p>
    <w:p w14:paraId="55548CF2" w14:textId="77777777" w:rsidR="00142FD9" w:rsidRDefault="00142FD9" w:rsidP="00142FD9">
      <w:pPr>
        <w:widowControl/>
        <w:adjustRightInd/>
        <w:jc w:val="center"/>
        <w:rPr>
          <w:b/>
          <w:bCs/>
          <w:sz w:val="28"/>
          <w:szCs w:val="28"/>
        </w:rPr>
      </w:pPr>
    </w:p>
    <w:p w14:paraId="0B66571E" w14:textId="77777777" w:rsidR="00142FD9" w:rsidRDefault="00142FD9" w:rsidP="00142FD9">
      <w:pPr>
        <w:widowControl/>
        <w:adjustRightInd/>
        <w:jc w:val="center"/>
        <w:rPr>
          <w:b/>
          <w:bCs/>
          <w:sz w:val="28"/>
          <w:szCs w:val="28"/>
        </w:rPr>
      </w:pPr>
    </w:p>
    <w:p w14:paraId="67A54575" w14:textId="77777777" w:rsidR="00142FD9" w:rsidRDefault="00142FD9" w:rsidP="00142FD9">
      <w:pPr>
        <w:widowControl/>
        <w:adjustRightInd/>
        <w:jc w:val="center"/>
        <w:rPr>
          <w:b/>
          <w:bCs/>
          <w:sz w:val="28"/>
          <w:szCs w:val="28"/>
        </w:rPr>
      </w:pPr>
    </w:p>
    <w:p w14:paraId="153FA6D4" w14:textId="77777777" w:rsidR="00142FD9" w:rsidRDefault="00142FD9" w:rsidP="00142FD9">
      <w:pPr>
        <w:widowControl/>
        <w:adjustRightInd/>
        <w:jc w:val="center"/>
        <w:rPr>
          <w:b/>
          <w:bCs/>
          <w:sz w:val="28"/>
          <w:szCs w:val="28"/>
        </w:rPr>
      </w:pPr>
    </w:p>
    <w:p w14:paraId="539FD584" w14:textId="77777777" w:rsidR="00142FD9" w:rsidRDefault="00142FD9" w:rsidP="00142FD9">
      <w:pPr>
        <w:widowControl/>
        <w:adjustRightInd/>
        <w:jc w:val="center"/>
        <w:rPr>
          <w:b/>
          <w:bCs/>
          <w:sz w:val="28"/>
          <w:szCs w:val="28"/>
        </w:rPr>
      </w:pPr>
    </w:p>
    <w:p w14:paraId="7AC33553" w14:textId="77777777" w:rsidR="00142FD9" w:rsidRDefault="00142FD9" w:rsidP="00142FD9">
      <w:pPr>
        <w:widowControl/>
        <w:adjustRightInd/>
        <w:jc w:val="center"/>
        <w:rPr>
          <w:b/>
          <w:bCs/>
          <w:sz w:val="28"/>
          <w:szCs w:val="28"/>
        </w:rPr>
      </w:pPr>
    </w:p>
    <w:p w14:paraId="29CB4DB3" w14:textId="77777777" w:rsidR="00142FD9" w:rsidRDefault="00142FD9" w:rsidP="00142FD9">
      <w:pPr>
        <w:widowControl/>
        <w:adjustRightInd/>
        <w:jc w:val="center"/>
        <w:rPr>
          <w:b/>
          <w:bCs/>
          <w:sz w:val="28"/>
          <w:szCs w:val="28"/>
        </w:rPr>
      </w:pPr>
    </w:p>
    <w:p w14:paraId="54BBC72F" w14:textId="77777777" w:rsidR="00142FD9" w:rsidRDefault="00142FD9" w:rsidP="00142FD9">
      <w:pPr>
        <w:widowControl/>
        <w:adjustRightInd/>
        <w:jc w:val="center"/>
        <w:rPr>
          <w:b/>
          <w:bCs/>
          <w:sz w:val="28"/>
          <w:szCs w:val="28"/>
        </w:rPr>
      </w:pPr>
    </w:p>
    <w:p w14:paraId="6D11B0FE" w14:textId="77777777" w:rsidR="00142FD9" w:rsidRDefault="00142FD9" w:rsidP="00142FD9">
      <w:pPr>
        <w:widowControl/>
        <w:adjustRightInd/>
        <w:jc w:val="center"/>
        <w:rPr>
          <w:b/>
          <w:bCs/>
          <w:sz w:val="28"/>
          <w:szCs w:val="28"/>
        </w:rPr>
      </w:pPr>
    </w:p>
    <w:p w14:paraId="0CF2FC2A" w14:textId="5318928E" w:rsidR="00142FD9" w:rsidRPr="00142FD9" w:rsidRDefault="00142FD9" w:rsidP="00142FD9">
      <w:pPr>
        <w:widowControl/>
        <w:adjustRightInd/>
        <w:jc w:val="center"/>
        <w:rPr>
          <w:b/>
          <w:bCs/>
          <w:sz w:val="28"/>
          <w:szCs w:val="28"/>
        </w:rPr>
      </w:pPr>
      <w:r w:rsidRPr="00142FD9">
        <w:rPr>
          <w:b/>
          <w:bCs/>
          <w:sz w:val="28"/>
          <w:szCs w:val="28"/>
        </w:rPr>
        <w:t>Analýza vplyvov na rozpočet verejnej správy,</w:t>
      </w:r>
    </w:p>
    <w:p w14:paraId="60C07EAB" w14:textId="77777777" w:rsidR="00142FD9" w:rsidRPr="00142FD9" w:rsidRDefault="00142FD9" w:rsidP="00142FD9">
      <w:pPr>
        <w:widowControl/>
        <w:adjustRightInd/>
        <w:jc w:val="center"/>
        <w:rPr>
          <w:b/>
          <w:bCs/>
          <w:sz w:val="28"/>
          <w:szCs w:val="28"/>
        </w:rPr>
      </w:pPr>
      <w:r w:rsidRPr="00142FD9">
        <w:rPr>
          <w:b/>
          <w:bCs/>
          <w:sz w:val="28"/>
          <w:szCs w:val="28"/>
        </w:rPr>
        <w:t>na zamestnanosť vo verejnej správe a financovanie návrhu</w:t>
      </w:r>
    </w:p>
    <w:p w14:paraId="53C854CA" w14:textId="77777777" w:rsidR="00142FD9" w:rsidRPr="00142FD9" w:rsidRDefault="00142FD9" w:rsidP="00142FD9">
      <w:pPr>
        <w:widowControl/>
        <w:adjustRightInd/>
        <w:jc w:val="right"/>
        <w:rPr>
          <w:b/>
          <w:bCs/>
        </w:rPr>
      </w:pPr>
    </w:p>
    <w:p w14:paraId="4769AE16" w14:textId="77777777" w:rsidR="00142FD9" w:rsidRPr="00142FD9" w:rsidRDefault="00142FD9" w:rsidP="00142FD9">
      <w:pPr>
        <w:widowControl/>
        <w:adjustRightInd/>
        <w:rPr>
          <w:b/>
          <w:bCs/>
        </w:rPr>
      </w:pPr>
    </w:p>
    <w:p w14:paraId="3C4860A1" w14:textId="77777777" w:rsidR="00142FD9" w:rsidRPr="00142FD9" w:rsidRDefault="00142FD9" w:rsidP="00142FD9">
      <w:pPr>
        <w:widowControl/>
        <w:adjustRightInd/>
        <w:rPr>
          <w:b/>
          <w:bCs/>
        </w:rPr>
      </w:pPr>
      <w:r w:rsidRPr="00142FD9">
        <w:rPr>
          <w:b/>
          <w:bCs/>
        </w:rPr>
        <w:t>2.1 Zhrnutie vplyvov na rozpočet verejnej správy v návrhu</w:t>
      </w:r>
    </w:p>
    <w:p w14:paraId="3FAFC3C6" w14:textId="77777777" w:rsidR="00142FD9" w:rsidRPr="00142FD9" w:rsidRDefault="00142FD9" w:rsidP="00142FD9">
      <w:pPr>
        <w:widowControl/>
        <w:adjustRightInd/>
        <w:jc w:val="right"/>
        <w:rPr>
          <w:sz w:val="20"/>
          <w:szCs w:val="20"/>
        </w:rPr>
      </w:pPr>
    </w:p>
    <w:p w14:paraId="54F6611D" w14:textId="77777777" w:rsidR="00142FD9" w:rsidRPr="00142FD9" w:rsidRDefault="00142FD9" w:rsidP="00142FD9">
      <w:pPr>
        <w:widowControl/>
        <w:adjustRightInd/>
        <w:jc w:val="right"/>
        <w:rPr>
          <w:sz w:val="20"/>
          <w:szCs w:val="20"/>
        </w:rPr>
      </w:pPr>
      <w:r w:rsidRPr="00142FD9">
        <w:rPr>
          <w:sz w:val="20"/>
          <w:szCs w:val="20"/>
        </w:rPr>
        <w:t xml:space="preserve">Tabuľka č. 1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456"/>
      </w:tblGrid>
      <w:tr w:rsidR="00142FD9" w:rsidRPr="00142FD9" w14:paraId="69201F35" w14:textId="77777777" w:rsidTr="00142FD9">
        <w:trPr>
          <w:cantSplit/>
          <w:trHeight w:val="194"/>
          <w:jc w:val="center"/>
        </w:trPr>
        <w:tc>
          <w:tcPr>
            <w:tcW w:w="4661" w:type="dxa"/>
            <w:vMerge w:val="restart"/>
            <w:shd w:val="clear" w:color="auto" w:fill="BFBFBF"/>
            <w:vAlign w:val="center"/>
          </w:tcPr>
          <w:p w14:paraId="0AF87BBE" w14:textId="77777777" w:rsidR="00142FD9" w:rsidRPr="00142FD9" w:rsidRDefault="00142FD9" w:rsidP="00142FD9">
            <w:pPr>
              <w:widowControl/>
              <w:adjustRightInd/>
              <w:jc w:val="center"/>
              <w:rPr>
                <w:b/>
                <w:bCs/>
              </w:rPr>
            </w:pPr>
            <w:bookmarkStart w:id="0" w:name="OLE_LINK1"/>
            <w:r w:rsidRPr="00142FD9">
              <w:rPr>
                <w:b/>
                <w:bCs/>
              </w:rPr>
              <w:t>Vplyvy na rozpočet verejnej správy</w:t>
            </w:r>
          </w:p>
        </w:tc>
        <w:tc>
          <w:tcPr>
            <w:tcW w:w="5257" w:type="dxa"/>
            <w:gridSpan w:val="4"/>
            <w:shd w:val="clear" w:color="auto" w:fill="BFBFBF"/>
            <w:vAlign w:val="center"/>
          </w:tcPr>
          <w:p w14:paraId="79AFD234" w14:textId="77777777" w:rsidR="00142FD9" w:rsidRPr="00142FD9" w:rsidRDefault="00142FD9" w:rsidP="00142FD9">
            <w:pPr>
              <w:widowControl/>
              <w:adjustRightInd/>
              <w:jc w:val="center"/>
              <w:rPr>
                <w:b/>
                <w:bCs/>
              </w:rPr>
            </w:pPr>
            <w:r w:rsidRPr="00142FD9">
              <w:rPr>
                <w:b/>
                <w:bCs/>
              </w:rPr>
              <w:t>Vplyv na rozpočet verejnej správy (v eurách)</w:t>
            </w:r>
          </w:p>
        </w:tc>
      </w:tr>
      <w:tr w:rsidR="00142FD9" w:rsidRPr="00142FD9" w14:paraId="7D94DC24" w14:textId="77777777" w:rsidTr="00142FD9">
        <w:trPr>
          <w:cantSplit/>
          <w:trHeight w:val="70"/>
          <w:jc w:val="center"/>
        </w:trPr>
        <w:tc>
          <w:tcPr>
            <w:tcW w:w="4661" w:type="dxa"/>
            <w:vMerge/>
            <w:shd w:val="clear" w:color="auto" w:fill="BFBFBF"/>
            <w:vAlign w:val="center"/>
          </w:tcPr>
          <w:p w14:paraId="105A1A16" w14:textId="77777777" w:rsidR="00142FD9" w:rsidRPr="00142FD9" w:rsidRDefault="00142FD9" w:rsidP="00142FD9">
            <w:pPr>
              <w:widowControl/>
              <w:adjustRightInd/>
              <w:jc w:val="center"/>
              <w:rPr>
                <w:b/>
                <w:bCs/>
              </w:rPr>
            </w:pPr>
          </w:p>
        </w:tc>
        <w:tc>
          <w:tcPr>
            <w:tcW w:w="1267" w:type="dxa"/>
            <w:shd w:val="clear" w:color="auto" w:fill="BFBFBF"/>
            <w:vAlign w:val="center"/>
          </w:tcPr>
          <w:p w14:paraId="6BA76BB2" w14:textId="77777777" w:rsidR="00142FD9" w:rsidRPr="00142FD9" w:rsidRDefault="00142FD9" w:rsidP="00142FD9">
            <w:pPr>
              <w:widowControl/>
              <w:adjustRightInd/>
              <w:jc w:val="center"/>
              <w:rPr>
                <w:b/>
                <w:bCs/>
              </w:rPr>
            </w:pPr>
            <w:r w:rsidRPr="00142FD9">
              <w:rPr>
                <w:b/>
                <w:bCs/>
              </w:rPr>
              <w:t>2021</w:t>
            </w:r>
          </w:p>
        </w:tc>
        <w:tc>
          <w:tcPr>
            <w:tcW w:w="1267" w:type="dxa"/>
            <w:shd w:val="clear" w:color="auto" w:fill="BFBFBF"/>
            <w:vAlign w:val="center"/>
          </w:tcPr>
          <w:p w14:paraId="10DB843A" w14:textId="77777777" w:rsidR="00142FD9" w:rsidRPr="00142FD9" w:rsidRDefault="00142FD9" w:rsidP="00142FD9">
            <w:pPr>
              <w:widowControl/>
              <w:adjustRightInd/>
              <w:jc w:val="center"/>
              <w:rPr>
                <w:b/>
                <w:bCs/>
              </w:rPr>
            </w:pPr>
            <w:r w:rsidRPr="00142FD9">
              <w:rPr>
                <w:b/>
                <w:bCs/>
              </w:rPr>
              <w:t>2022</w:t>
            </w:r>
          </w:p>
        </w:tc>
        <w:tc>
          <w:tcPr>
            <w:tcW w:w="1267" w:type="dxa"/>
            <w:shd w:val="clear" w:color="auto" w:fill="BFBFBF"/>
            <w:vAlign w:val="center"/>
          </w:tcPr>
          <w:p w14:paraId="506C6296" w14:textId="77777777" w:rsidR="00142FD9" w:rsidRPr="00142FD9" w:rsidRDefault="00142FD9" w:rsidP="00142FD9">
            <w:pPr>
              <w:widowControl/>
              <w:adjustRightInd/>
              <w:jc w:val="center"/>
              <w:rPr>
                <w:b/>
                <w:bCs/>
              </w:rPr>
            </w:pPr>
            <w:r w:rsidRPr="00142FD9">
              <w:rPr>
                <w:b/>
                <w:bCs/>
              </w:rPr>
              <w:t>2023</w:t>
            </w:r>
          </w:p>
        </w:tc>
        <w:tc>
          <w:tcPr>
            <w:tcW w:w="1456" w:type="dxa"/>
            <w:shd w:val="clear" w:color="auto" w:fill="BFBFBF"/>
            <w:vAlign w:val="center"/>
          </w:tcPr>
          <w:p w14:paraId="690EF333" w14:textId="77777777" w:rsidR="00142FD9" w:rsidRPr="00142FD9" w:rsidRDefault="00142FD9" w:rsidP="00142FD9">
            <w:pPr>
              <w:widowControl/>
              <w:adjustRightInd/>
              <w:jc w:val="center"/>
              <w:rPr>
                <w:b/>
                <w:bCs/>
              </w:rPr>
            </w:pPr>
            <w:r w:rsidRPr="00142FD9">
              <w:rPr>
                <w:b/>
                <w:bCs/>
              </w:rPr>
              <w:t>2024</w:t>
            </w:r>
          </w:p>
        </w:tc>
      </w:tr>
      <w:tr w:rsidR="00142FD9" w:rsidRPr="00142FD9" w14:paraId="77728C1D" w14:textId="77777777" w:rsidTr="00142FD9">
        <w:trPr>
          <w:trHeight w:val="70"/>
          <w:jc w:val="center"/>
        </w:trPr>
        <w:tc>
          <w:tcPr>
            <w:tcW w:w="4661" w:type="dxa"/>
            <w:shd w:val="clear" w:color="auto" w:fill="C0C0C0"/>
            <w:noWrap/>
            <w:vAlign w:val="center"/>
          </w:tcPr>
          <w:p w14:paraId="52CE5181" w14:textId="77777777" w:rsidR="00142FD9" w:rsidRPr="00142FD9" w:rsidRDefault="00142FD9" w:rsidP="00142FD9">
            <w:pPr>
              <w:widowControl/>
              <w:adjustRightInd/>
            </w:pPr>
            <w:r w:rsidRPr="00142FD9">
              <w:rPr>
                <w:b/>
                <w:bCs/>
              </w:rPr>
              <w:t>Príjmy verejnej správy celkom</w:t>
            </w:r>
          </w:p>
        </w:tc>
        <w:tc>
          <w:tcPr>
            <w:tcW w:w="1267" w:type="dxa"/>
            <w:shd w:val="clear" w:color="auto" w:fill="C0C0C0"/>
            <w:vAlign w:val="center"/>
          </w:tcPr>
          <w:p w14:paraId="5019A897" w14:textId="77777777" w:rsidR="00142FD9" w:rsidRPr="00142FD9" w:rsidRDefault="00142FD9" w:rsidP="00142FD9">
            <w:pPr>
              <w:widowControl/>
              <w:adjustRightInd/>
              <w:jc w:val="right"/>
              <w:rPr>
                <w:b/>
                <w:bCs/>
              </w:rPr>
            </w:pPr>
            <w:r w:rsidRPr="00142FD9">
              <w:rPr>
                <w:b/>
                <w:bCs/>
              </w:rPr>
              <w:t>0</w:t>
            </w:r>
          </w:p>
        </w:tc>
        <w:tc>
          <w:tcPr>
            <w:tcW w:w="1267" w:type="dxa"/>
            <w:shd w:val="clear" w:color="auto" w:fill="C0C0C0"/>
            <w:vAlign w:val="center"/>
          </w:tcPr>
          <w:p w14:paraId="036583D3" w14:textId="77777777" w:rsidR="00142FD9" w:rsidRPr="00142FD9" w:rsidRDefault="00142FD9" w:rsidP="00142FD9">
            <w:pPr>
              <w:widowControl/>
              <w:adjustRightInd/>
              <w:jc w:val="right"/>
              <w:rPr>
                <w:b/>
                <w:bCs/>
              </w:rPr>
            </w:pPr>
            <w:r w:rsidRPr="00142FD9">
              <w:rPr>
                <w:b/>
                <w:bCs/>
              </w:rPr>
              <w:t>0</w:t>
            </w:r>
          </w:p>
        </w:tc>
        <w:tc>
          <w:tcPr>
            <w:tcW w:w="1267" w:type="dxa"/>
            <w:shd w:val="clear" w:color="auto" w:fill="C0C0C0"/>
            <w:vAlign w:val="center"/>
          </w:tcPr>
          <w:p w14:paraId="687ED665" w14:textId="77777777" w:rsidR="00142FD9" w:rsidRPr="00142FD9" w:rsidRDefault="00142FD9" w:rsidP="00142FD9">
            <w:pPr>
              <w:widowControl/>
              <w:adjustRightInd/>
              <w:jc w:val="right"/>
              <w:rPr>
                <w:b/>
                <w:bCs/>
              </w:rPr>
            </w:pPr>
            <w:r w:rsidRPr="00142FD9">
              <w:rPr>
                <w:b/>
                <w:bCs/>
              </w:rPr>
              <w:t>0</w:t>
            </w:r>
          </w:p>
        </w:tc>
        <w:tc>
          <w:tcPr>
            <w:tcW w:w="1456" w:type="dxa"/>
            <w:shd w:val="clear" w:color="auto" w:fill="C0C0C0"/>
            <w:vAlign w:val="center"/>
          </w:tcPr>
          <w:p w14:paraId="64F3C8FD" w14:textId="77777777" w:rsidR="00142FD9" w:rsidRPr="00142FD9" w:rsidRDefault="00142FD9" w:rsidP="00142FD9">
            <w:pPr>
              <w:widowControl/>
              <w:adjustRightInd/>
              <w:jc w:val="right"/>
              <w:rPr>
                <w:b/>
                <w:bCs/>
              </w:rPr>
            </w:pPr>
            <w:r w:rsidRPr="00142FD9">
              <w:rPr>
                <w:b/>
                <w:bCs/>
              </w:rPr>
              <w:t>0</w:t>
            </w:r>
          </w:p>
        </w:tc>
      </w:tr>
      <w:tr w:rsidR="00142FD9" w:rsidRPr="00142FD9" w14:paraId="70AC8878" w14:textId="77777777" w:rsidTr="00142FD9">
        <w:trPr>
          <w:trHeight w:val="132"/>
          <w:jc w:val="center"/>
        </w:trPr>
        <w:tc>
          <w:tcPr>
            <w:tcW w:w="4661" w:type="dxa"/>
            <w:noWrap/>
            <w:vAlign w:val="center"/>
          </w:tcPr>
          <w:p w14:paraId="00763E8F" w14:textId="77777777" w:rsidR="00142FD9" w:rsidRPr="00142FD9" w:rsidRDefault="00142FD9" w:rsidP="00142FD9">
            <w:pPr>
              <w:widowControl/>
              <w:adjustRightInd/>
            </w:pPr>
            <w:r w:rsidRPr="00142FD9">
              <w:t>v tom: za každý subjekt verejnej správy zvlášť</w:t>
            </w:r>
          </w:p>
        </w:tc>
        <w:tc>
          <w:tcPr>
            <w:tcW w:w="1267" w:type="dxa"/>
            <w:noWrap/>
            <w:vAlign w:val="center"/>
          </w:tcPr>
          <w:p w14:paraId="534A978A" w14:textId="77777777" w:rsidR="00142FD9" w:rsidRPr="00142FD9" w:rsidRDefault="00142FD9" w:rsidP="00142FD9">
            <w:pPr>
              <w:widowControl/>
              <w:adjustRightInd/>
              <w:jc w:val="right"/>
            </w:pPr>
            <w:r w:rsidRPr="00142FD9">
              <w:t>0</w:t>
            </w:r>
          </w:p>
        </w:tc>
        <w:tc>
          <w:tcPr>
            <w:tcW w:w="1267" w:type="dxa"/>
            <w:noWrap/>
            <w:vAlign w:val="center"/>
          </w:tcPr>
          <w:p w14:paraId="6FA46DAF" w14:textId="77777777" w:rsidR="00142FD9" w:rsidRPr="00142FD9" w:rsidRDefault="00142FD9" w:rsidP="00142FD9">
            <w:pPr>
              <w:widowControl/>
              <w:adjustRightInd/>
              <w:jc w:val="right"/>
            </w:pPr>
            <w:r w:rsidRPr="00142FD9">
              <w:t>0</w:t>
            </w:r>
          </w:p>
        </w:tc>
        <w:tc>
          <w:tcPr>
            <w:tcW w:w="1267" w:type="dxa"/>
            <w:noWrap/>
            <w:vAlign w:val="center"/>
          </w:tcPr>
          <w:p w14:paraId="1210D51A" w14:textId="77777777" w:rsidR="00142FD9" w:rsidRPr="00142FD9" w:rsidRDefault="00142FD9" w:rsidP="00142FD9">
            <w:pPr>
              <w:widowControl/>
              <w:adjustRightInd/>
              <w:jc w:val="right"/>
            </w:pPr>
            <w:r w:rsidRPr="00142FD9">
              <w:t>0</w:t>
            </w:r>
          </w:p>
        </w:tc>
        <w:tc>
          <w:tcPr>
            <w:tcW w:w="1456" w:type="dxa"/>
            <w:noWrap/>
            <w:vAlign w:val="center"/>
          </w:tcPr>
          <w:p w14:paraId="2ACC0A1B" w14:textId="77777777" w:rsidR="00142FD9" w:rsidRPr="00142FD9" w:rsidRDefault="00142FD9" w:rsidP="00142FD9">
            <w:pPr>
              <w:widowControl/>
              <w:adjustRightInd/>
              <w:jc w:val="right"/>
            </w:pPr>
            <w:r w:rsidRPr="00142FD9">
              <w:t>0</w:t>
            </w:r>
          </w:p>
        </w:tc>
      </w:tr>
      <w:tr w:rsidR="00142FD9" w:rsidRPr="00142FD9" w14:paraId="6CA64086" w14:textId="77777777" w:rsidTr="00142FD9">
        <w:trPr>
          <w:trHeight w:val="70"/>
          <w:jc w:val="center"/>
        </w:trPr>
        <w:tc>
          <w:tcPr>
            <w:tcW w:w="4661" w:type="dxa"/>
            <w:noWrap/>
            <w:vAlign w:val="center"/>
          </w:tcPr>
          <w:p w14:paraId="25FC5B8E" w14:textId="77777777" w:rsidR="00142FD9" w:rsidRPr="00142FD9" w:rsidRDefault="00142FD9" w:rsidP="00142FD9">
            <w:pPr>
              <w:widowControl/>
              <w:adjustRightInd/>
              <w:rPr>
                <w:b/>
                <w:bCs/>
                <w:i/>
                <w:iCs/>
              </w:rPr>
            </w:pPr>
            <w:r w:rsidRPr="00142FD9">
              <w:rPr>
                <w:b/>
                <w:bCs/>
                <w:i/>
                <w:iCs/>
              </w:rPr>
              <w:t xml:space="preserve">z toho:  </w:t>
            </w:r>
          </w:p>
        </w:tc>
        <w:tc>
          <w:tcPr>
            <w:tcW w:w="1267" w:type="dxa"/>
            <w:noWrap/>
            <w:vAlign w:val="center"/>
          </w:tcPr>
          <w:p w14:paraId="5D512915" w14:textId="77777777" w:rsidR="00142FD9" w:rsidRPr="00142FD9" w:rsidRDefault="00142FD9" w:rsidP="00142FD9">
            <w:pPr>
              <w:widowControl/>
              <w:adjustRightInd/>
              <w:jc w:val="right"/>
              <w:rPr>
                <w:b/>
                <w:bCs/>
                <w:iCs/>
              </w:rPr>
            </w:pPr>
          </w:p>
        </w:tc>
        <w:tc>
          <w:tcPr>
            <w:tcW w:w="1267" w:type="dxa"/>
            <w:noWrap/>
            <w:vAlign w:val="center"/>
          </w:tcPr>
          <w:p w14:paraId="0DA1E3F2" w14:textId="77777777" w:rsidR="00142FD9" w:rsidRPr="00142FD9" w:rsidRDefault="00142FD9" w:rsidP="00142FD9">
            <w:pPr>
              <w:widowControl/>
              <w:adjustRightInd/>
              <w:jc w:val="right"/>
              <w:rPr>
                <w:b/>
                <w:bCs/>
                <w:iCs/>
              </w:rPr>
            </w:pPr>
          </w:p>
        </w:tc>
        <w:tc>
          <w:tcPr>
            <w:tcW w:w="1267" w:type="dxa"/>
            <w:noWrap/>
            <w:vAlign w:val="center"/>
          </w:tcPr>
          <w:p w14:paraId="16B2822C" w14:textId="77777777" w:rsidR="00142FD9" w:rsidRPr="00142FD9" w:rsidRDefault="00142FD9" w:rsidP="00142FD9">
            <w:pPr>
              <w:widowControl/>
              <w:adjustRightInd/>
              <w:jc w:val="right"/>
              <w:rPr>
                <w:b/>
                <w:bCs/>
                <w:iCs/>
              </w:rPr>
            </w:pPr>
          </w:p>
        </w:tc>
        <w:tc>
          <w:tcPr>
            <w:tcW w:w="1456" w:type="dxa"/>
            <w:noWrap/>
            <w:vAlign w:val="center"/>
          </w:tcPr>
          <w:p w14:paraId="5938A1DB" w14:textId="77777777" w:rsidR="00142FD9" w:rsidRPr="00142FD9" w:rsidRDefault="00142FD9" w:rsidP="00142FD9">
            <w:pPr>
              <w:widowControl/>
              <w:adjustRightInd/>
              <w:jc w:val="right"/>
              <w:rPr>
                <w:b/>
                <w:bCs/>
                <w:iCs/>
              </w:rPr>
            </w:pPr>
          </w:p>
        </w:tc>
      </w:tr>
      <w:tr w:rsidR="00142FD9" w:rsidRPr="00142FD9" w14:paraId="5DFA6BD0" w14:textId="77777777" w:rsidTr="00142FD9">
        <w:trPr>
          <w:trHeight w:val="125"/>
          <w:jc w:val="center"/>
        </w:trPr>
        <w:tc>
          <w:tcPr>
            <w:tcW w:w="4661" w:type="dxa"/>
            <w:noWrap/>
            <w:vAlign w:val="center"/>
          </w:tcPr>
          <w:p w14:paraId="41063915" w14:textId="77777777" w:rsidR="00142FD9" w:rsidRPr="00142FD9" w:rsidRDefault="00142FD9" w:rsidP="00142FD9">
            <w:pPr>
              <w:widowControl/>
              <w:adjustRightInd/>
              <w:rPr>
                <w:b/>
                <w:bCs/>
                <w:i/>
                <w:iCs/>
              </w:rPr>
            </w:pPr>
            <w:r w:rsidRPr="00142FD9">
              <w:rPr>
                <w:b/>
                <w:bCs/>
                <w:i/>
                <w:iCs/>
              </w:rPr>
              <w:t>- vplyv na ŠR</w:t>
            </w:r>
          </w:p>
        </w:tc>
        <w:tc>
          <w:tcPr>
            <w:tcW w:w="1267" w:type="dxa"/>
            <w:noWrap/>
            <w:vAlign w:val="center"/>
          </w:tcPr>
          <w:p w14:paraId="26C8C3C1"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7F0A96E1"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544B38C9"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64CE6B62" w14:textId="77777777" w:rsidR="00142FD9" w:rsidRPr="00142FD9" w:rsidRDefault="00142FD9" w:rsidP="00142FD9">
            <w:pPr>
              <w:widowControl/>
              <w:adjustRightInd/>
              <w:jc w:val="right"/>
              <w:rPr>
                <w:b/>
                <w:bCs/>
                <w:iCs/>
              </w:rPr>
            </w:pPr>
            <w:r w:rsidRPr="00142FD9">
              <w:rPr>
                <w:b/>
                <w:bCs/>
                <w:iCs/>
              </w:rPr>
              <w:t>0</w:t>
            </w:r>
          </w:p>
        </w:tc>
      </w:tr>
      <w:tr w:rsidR="00142FD9" w:rsidRPr="00142FD9" w14:paraId="4988EAEF" w14:textId="77777777" w:rsidTr="00142FD9">
        <w:trPr>
          <w:trHeight w:val="125"/>
          <w:jc w:val="center"/>
        </w:trPr>
        <w:tc>
          <w:tcPr>
            <w:tcW w:w="4661" w:type="dxa"/>
            <w:noWrap/>
            <w:vAlign w:val="center"/>
          </w:tcPr>
          <w:p w14:paraId="6B06E2E7" w14:textId="77777777" w:rsidR="00142FD9" w:rsidRPr="00142FD9" w:rsidRDefault="00142FD9" w:rsidP="00142FD9">
            <w:pPr>
              <w:widowControl/>
              <w:adjustRightInd/>
              <w:ind w:left="259"/>
              <w:rPr>
                <w:b/>
                <w:bCs/>
                <w:i/>
                <w:iCs/>
              </w:rPr>
            </w:pPr>
            <w:r w:rsidRPr="00142FD9">
              <w:rPr>
                <w:bCs/>
                <w:i/>
                <w:iCs/>
              </w:rPr>
              <w:t>Rozpočtové prostriedky</w:t>
            </w:r>
          </w:p>
        </w:tc>
        <w:tc>
          <w:tcPr>
            <w:tcW w:w="1267" w:type="dxa"/>
            <w:noWrap/>
            <w:vAlign w:val="center"/>
          </w:tcPr>
          <w:p w14:paraId="023B97AE"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4336A715"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22B4A54D"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07364F32" w14:textId="77777777" w:rsidR="00142FD9" w:rsidRPr="00142FD9" w:rsidRDefault="00142FD9" w:rsidP="00142FD9">
            <w:pPr>
              <w:widowControl/>
              <w:adjustRightInd/>
              <w:jc w:val="right"/>
              <w:rPr>
                <w:b/>
                <w:bCs/>
                <w:iCs/>
              </w:rPr>
            </w:pPr>
            <w:r w:rsidRPr="00142FD9">
              <w:rPr>
                <w:b/>
                <w:bCs/>
                <w:iCs/>
              </w:rPr>
              <w:t>0</w:t>
            </w:r>
          </w:p>
        </w:tc>
      </w:tr>
      <w:tr w:rsidR="00142FD9" w:rsidRPr="00142FD9" w14:paraId="6FFC891B" w14:textId="77777777" w:rsidTr="00142FD9">
        <w:trPr>
          <w:trHeight w:val="125"/>
          <w:jc w:val="center"/>
        </w:trPr>
        <w:tc>
          <w:tcPr>
            <w:tcW w:w="4661" w:type="dxa"/>
            <w:noWrap/>
            <w:vAlign w:val="center"/>
          </w:tcPr>
          <w:p w14:paraId="24A9AE63" w14:textId="77777777" w:rsidR="00142FD9" w:rsidRPr="00142FD9" w:rsidRDefault="00142FD9" w:rsidP="00142FD9">
            <w:pPr>
              <w:widowControl/>
              <w:adjustRightInd/>
              <w:ind w:left="259"/>
              <w:rPr>
                <w:bCs/>
                <w:i/>
                <w:iCs/>
              </w:rPr>
            </w:pPr>
            <w:r w:rsidRPr="00142FD9">
              <w:rPr>
                <w:bCs/>
                <w:i/>
                <w:iCs/>
              </w:rPr>
              <w:t>EÚ zdroje</w:t>
            </w:r>
          </w:p>
        </w:tc>
        <w:tc>
          <w:tcPr>
            <w:tcW w:w="1267" w:type="dxa"/>
            <w:noWrap/>
            <w:vAlign w:val="center"/>
          </w:tcPr>
          <w:p w14:paraId="1C93E475" w14:textId="77777777" w:rsidR="00142FD9" w:rsidRPr="00142FD9" w:rsidRDefault="00142FD9" w:rsidP="00142FD9">
            <w:pPr>
              <w:widowControl/>
              <w:adjustRightInd/>
              <w:jc w:val="right"/>
            </w:pPr>
            <w:r w:rsidRPr="00142FD9">
              <w:t>0</w:t>
            </w:r>
          </w:p>
        </w:tc>
        <w:tc>
          <w:tcPr>
            <w:tcW w:w="1267" w:type="dxa"/>
            <w:noWrap/>
            <w:vAlign w:val="center"/>
          </w:tcPr>
          <w:p w14:paraId="70B023D5" w14:textId="77777777" w:rsidR="00142FD9" w:rsidRPr="00142FD9" w:rsidRDefault="00142FD9" w:rsidP="00142FD9">
            <w:pPr>
              <w:widowControl/>
              <w:adjustRightInd/>
              <w:jc w:val="right"/>
            </w:pPr>
            <w:r w:rsidRPr="00142FD9">
              <w:t>0</w:t>
            </w:r>
          </w:p>
        </w:tc>
        <w:tc>
          <w:tcPr>
            <w:tcW w:w="1267" w:type="dxa"/>
            <w:noWrap/>
            <w:vAlign w:val="center"/>
          </w:tcPr>
          <w:p w14:paraId="305B9F96" w14:textId="77777777" w:rsidR="00142FD9" w:rsidRPr="00142FD9" w:rsidRDefault="00142FD9" w:rsidP="00142FD9">
            <w:pPr>
              <w:widowControl/>
              <w:adjustRightInd/>
              <w:jc w:val="right"/>
            </w:pPr>
            <w:r w:rsidRPr="00142FD9">
              <w:t>0</w:t>
            </w:r>
          </w:p>
        </w:tc>
        <w:tc>
          <w:tcPr>
            <w:tcW w:w="1456" w:type="dxa"/>
            <w:noWrap/>
            <w:vAlign w:val="center"/>
          </w:tcPr>
          <w:p w14:paraId="4606050C" w14:textId="77777777" w:rsidR="00142FD9" w:rsidRPr="00142FD9" w:rsidRDefault="00142FD9" w:rsidP="00142FD9">
            <w:pPr>
              <w:widowControl/>
              <w:adjustRightInd/>
              <w:jc w:val="right"/>
            </w:pPr>
            <w:r w:rsidRPr="00142FD9">
              <w:t>0</w:t>
            </w:r>
          </w:p>
        </w:tc>
      </w:tr>
      <w:tr w:rsidR="00142FD9" w:rsidRPr="00142FD9" w14:paraId="3CD63862" w14:textId="77777777" w:rsidTr="00142FD9">
        <w:trPr>
          <w:trHeight w:val="125"/>
          <w:jc w:val="center"/>
        </w:trPr>
        <w:tc>
          <w:tcPr>
            <w:tcW w:w="4661" w:type="dxa"/>
            <w:noWrap/>
            <w:vAlign w:val="center"/>
          </w:tcPr>
          <w:p w14:paraId="4624B24A" w14:textId="77777777" w:rsidR="00142FD9" w:rsidRPr="00142FD9" w:rsidRDefault="00142FD9" w:rsidP="00142FD9">
            <w:pPr>
              <w:widowControl/>
              <w:adjustRightInd/>
              <w:rPr>
                <w:b/>
                <w:bCs/>
                <w:i/>
                <w:iCs/>
              </w:rPr>
            </w:pPr>
            <w:r w:rsidRPr="00142FD9">
              <w:rPr>
                <w:b/>
                <w:bCs/>
                <w:i/>
                <w:iCs/>
              </w:rPr>
              <w:t>- vplyv na obce</w:t>
            </w:r>
          </w:p>
        </w:tc>
        <w:tc>
          <w:tcPr>
            <w:tcW w:w="1267" w:type="dxa"/>
            <w:noWrap/>
            <w:vAlign w:val="center"/>
          </w:tcPr>
          <w:p w14:paraId="08D8A6DD"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7A8627ED"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07B69F6B"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040E8A24" w14:textId="77777777" w:rsidR="00142FD9" w:rsidRPr="00142FD9" w:rsidRDefault="00142FD9" w:rsidP="00142FD9">
            <w:pPr>
              <w:widowControl/>
              <w:adjustRightInd/>
              <w:jc w:val="right"/>
              <w:rPr>
                <w:b/>
                <w:bCs/>
                <w:iCs/>
              </w:rPr>
            </w:pPr>
            <w:r w:rsidRPr="00142FD9">
              <w:rPr>
                <w:b/>
                <w:bCs/>
                <w:iCs/>
              </w:rPr>
              <w:t>0</w:t>
            </w:r>
          </w:p>
        </w:tc>
      </w:tr>
      <w:tr w:rsidR="00142FD9" w:rsidRPr="00142FD9" w14:paraId="36D684C7" w14:textId="77777777" w:rsidTr="00142FD9">
        <w:trPr>
          <w:trHeight w:val="125"/>
          <w:jc w:val="center"/>
        </w:trPr>
        <w:tc>
          <w:tcPr>
            <w:tcW w:w="4661" w:type="dxa"/>
            <w:noWrap/>
            <w:vAlign w:val="center"/>
          </w:tcPr>
          <w:p w14:paraId="013DCF03" w14:textId="77777777" w:rsidR="00142FD9" w:rsidRPr="00142FD9" w:rsidRDefault="00142FD9" w:rsidP="00142FD9">
            <w:pPr>
              <w:widowControl/>
              <w:adjustRightInd/>
              <w:rPr>
                <w:b/>
                <w:bCs/>
                <w:i/>
                <w:iCs/>
              </w:rPr>
            </w:pPr>
            <w:r w:rsidRPr="00142FD9">
              <w:rPr>
                <w:b/>
                <w:bCs/>
                <w:i/>
                <w:iCs/>
              </w:rPr>
              <w:t>- vplyv na vyššie územné celky</w:t>
            </w:r>
          </w:p>
        </w:tc>
        <w:tc>
          <w:tcPr>
            <w:tcW w:w="1267" w:type="dxa"/>
            <w:noWrap/>
            <w:vAlign w:val="center"/>
          </w:tcPr>
          <w:p w14:paraId="3B3B5D8A"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6F803A7E"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2550E465"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2B56AA78" w14:textId="77777777" w:rsidR="00142FD9" w:rsidRPr="00142FD9" w:rsidRDefault="00142FD9" w:rsidP="00142FD9">
            <w:pPr>
              <w:widowControl/>
              <w:adjustRightInd/>
              <w:jc w:val="right"/>
              <w:rPr>
                <w:b/>
                <w:bCs/>
                <w:iCs/>
              </w:rPr>
            </w:pPr>
            <w:r w:rsidRPr="00142FD9">
              <w:rPr>
                <w:b/>
                <w:bCs/>
                <w:iCs/>
              </w:rPr>
              <w:t>0</w:t>
            </w:r>
          </w:p>
        </w:tc>
      </w:tr>
      <w:tr w:rsidR="00142FD9" w:rsidRPr="00142FD9" w14:paraId="4B4E1BA0" w14:textId="77777777" w:rsidTr="00142FD9">
        <w:trPr>
          <w:trHeight w:val="125"/>
          <w:jc w:val="center"/>
        </w:trPr>
        <w:tc>
          <w:tcPr>
            <w:tcW w:w="4661" w:type="dxa"/>
            <w:noWrap/>
            <w:vAlign w:val="center"/>
          </w:tcPr>
          <w:p w14:paraId="5EB08F32" w14:textId="77777777" w:rsidR="00142FD9" w:rsidRPr="00142FD9" w:rsidRDefault="00142FD9" w:rsidP="00142FD9">
            <w:pPr>
              <w:widowControl/>
              <w:adjustRightInd/>
              <w:rPr>
                <w:b/>
                <w:bCs/>
                <w:i/>
                <w:iCs/>
              </w:rPr>
            </w:pPr>
            <w:r w:rsidRPr="00142FD9">
              <w:rPr>
                <w:b/>
                <w:bCs/>
                <w:i/>
                <w:iCs/>
              </w:rPr>
              <w:t>- vplyv na ostatné subjekty verejnej správy</w:t>
            </w:r>
          </w:p>
        </w:tc>
        <w:tc>
          <w:tcPr>
            <w:tcW w:w="1267" w:type="dxa"/>
            <w:noWrap/>
            <w:vAlign w:val="center"/>
          </w:tcPr>
          <w:p w14:paraId="36726741"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5DEFE647"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57621E70"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6A36970F" w14:textId="77777777" w:rsidR="00142FD9" w:rsidRPr="00142FD9" w:rsidRDefault="00142FD9" w:rsidP="00142FD9">
            <w:pPr>
              <w:widowControl/>
              <w:adjustRightInd/>
              <w:jc w:val="right"/>
              <w:rPr>
                <w:b/>
                <w:bCs/>
                <w:iCs/>
              </w:rPr>
            </w:pPr>
            <w:r w:rsidRPr="00142FD9">
              <w:rPr>
                <w:b/>
                <w:bCs/>
                <w:iCs/>
              </w:rPr>
              <w:t>0</w:t>
            </w:r>
          </w:p>
        </w:tc>
      </w:tr>
      <w:tr w:rsidR="00142FD9" w:rsidRPr="00142FD9" w14:paraId="28EC1490" w14:textId="77777777" w:rsidTr="00142FD9">
        <w:trPr>
          <w:trHeight w:val="125"/>
          <w:jc w:val="center"/>
        </w:trPr>
        <w:tc>
          <w:tcPr>
            <w:tcW w:w="4661" w:type="dxa"/>
            <w:shd w:val="clear" w:color="auto" w:fill="C0C0C0"/>
            <w:noWrap/>
            <w:vAlign w:val="center"/>
          </w:tcPr>
          <w:p w14:paraId="0E86A8A9" w14:textId="77777777" w:rsidR="00142FD9" w:rsidRPr="00142FD9" w:rsidRDefault="00142FD9" w:rsidP="00142FD9">
            <w:pPr>
              <w:widowControl/>
              <w:adjustRightInd/>
              <w:rPr>
                <w:b/>
                <w:bCs/>
              </w:rPr>
            </w:pPr>
            <w:r w:rsidRPr="00142FD9">
              <w:rPr>
                <w:b/>
                <w:bCs/>
              </w:rPr>
              <w:t>Výdavky verejnej správy celkom</w:t>
            </w:r>
          </w:p>
        </w:tc>
        <w:tc>
          <w:tcPr>
            <w:tcW w:w="1267" w:type="dxa"/>
            <w:shd w:val="clear" w:color="auto" w:fill="C0C0C0"/>
            <w:noWrap/>
            <w:vAlign w:val="center"/>
          </w:tcPr>
          <w:p w14:paraId="5F012592" w14:textId="77777777" w:rsidR="00142FD9" w:rsidRPr="00142FD9" w:rsidRDefault="00142FD9" w:rsidP="00142FD9">
            <w:pPr>
              <w:widowControl/>
              <w:adjustRightInd/>
              <w:jc w:val="right"/>
              <w:rPr>
                <w:b/>
                <w:bCs/>
                <w:highlight w:val="green"/>
              </w:rPr>
            </w:pPr>
            <w:r w:rsidRPr="00142FD9">
              <w:rPr>
                <w:b/>
                <w:bCs/>
              </w:rPr>
              <w:t>13 185 150</w:t>
            </w:r>
          </w:p>
        </w:tc>
        <w:tc>
          <w:tcPr>
            <w:tcW w:w="1267" w:type="dxa"/>
            <w:shd w:val="clear" w:color="auto" w:fill="C0C0C0"/>
            <w:noWrap/>
            <w:vAlign w:val="center"/>
          </w:tcPr>
          <w:p w14:paraId="4A0B4B7F" w14:textId="77777777" w:rsidR="00142FD9" w:rsidRPr="00142FD9" w:rsidRDefault="00142FD9" w:rsidP="00142FD9">
            <w:pPr>
              <w:widowControl/>
              <w:adjustRightInd/>
              <w:jc w:val="right"/>
              <w:rPr>
                <w:b/>
                <w:bCs/>
              </w:rPr>
            </w:pPr>
            <w:r w:rsidRPr="00142FD9">
              <w:rPr>
                <w:b/>
              </w:rPr>
              <w:t>10 339 900</w:t>
            </w:r>
          </w:p>
        </w:tc>
        <w:tc>
          <w:tcPr>
            <w:tcW w:w="1267" w:type="dxa"/>
            <w:shd w:val="clear" w:color="auto" w:fill="C0C0C0"/>
            <w:noWrap/>
            <w:vAlign w:val="center"/>
          </w:tcPr>
          <w:p w14:paraId="2E5C31D6" w14:textId="77777777" w:rsidR="00142FD9" w:rsidRPr="00142FD9" w:rsidRDefault="00142FD9" w:rsidP="00142FD9">
            <w:pPr>
              <w:widowControl/>
              <w:adjustRightInd/>
              <w:jc w:val="right"/>
              <w:rPr>
                <w:rFonts w:ascii="Calibri" w:eastAsia="Calibri" w:hAnsi="Calibri" w:cs="Calibri"/>
                <w:color w:val="000000"/>
                <w:sz w:val="22"/>
                <w:szCs w:val="22"/>
                <w:lang w:eastAsia="en-US"/>
              </w:rPr>
            </w:pPr>
            <w:r w:rsidRPr="00142FD9">
              <w:rPr>
                <w:b/>
              </w:rPr>
              <w:t>18 086 550</w:t>
            </w:r>
          </w:p>
        </w:tc>
        <w:tc>
          <w:tcPr>
            <w:tcW w:w="1456" w:type="dxa"/>
            <w:shd w:val="clear" w:color="auto" w:fill="C0C0C0"/>
            <w:noWrap/>
            <w:vAlign w:val="center"/>
          </w:tcPr>
          <w:p w14:paraId="21F0AB65" w14:textId="77777777" w:rsidR="00142FD9" w:rsidRPr="00142FD9" w:rsidRDefault="00142FD9" w:rsidP="00142FD9">
            <w:pPr>
              <w:widowControl/>
              <w:adjustRightInd/>
              <w:jc w:val="right"/>
              <w:rPr>
                <w:b/>
              </w:rPr>
            </w:pPr>
            <w:r w:rsidRPr="00142FD9">
              <w:rPr>
                <w:b/>
              </w:rPr>
              <w:t>13 077 240</w:t>
            </w:r>
          </w:p>
        </w:tc>
      </w:tr>
      <w:tr w:rsidR="00142FD9" w:rsidRPr="00142FD9" w14:paraId="786429E7" w14:textId="77777777" w:rsidTr="00142FD9">
        <w:trPr>
          <w:trHeight w:val="70"/>
          <w:jc w:val="center"/>
        </w:trPr>
        <w:tc>
          <w:tcPr>
            <w:tcW w:w="4661" w:type="dxa"/>
            <w:noWrap/>
            <w:vAlign w:val="center"/>
          </w:tcPr>
          <w:p w14:paraId="03DDAE1C" w14:textId="77777777" w:rsidR="00142FD9" w:rsidRPr="00142FD9" w:rsidRDefault="00142FD9" w:rsidP="00142FD9">
            <w:pPr>
              <w:widowControl/>
              <w:adjustRightInd/>
            </w:pPr>
            <w:r w:rsidRPr="00142FD9">
              <w:t>v tom: MIRRI SR/ 0ET06</w:t>
            </w:r>
          </w:p>
        </w:tc>
        <w:tc>
          <w:tcPr>
            <w:tcW w:w="1267" w:type="dxa"/>
            <w:noWrap/>
            <w:vAlign w:val="center"/>
          </w:tcPr>
          <w:p w14:paraId="6A6D1AD2" w14:textId="77777777" w:rsidR="00142FD9" w:rsidRPr="00142FD9" w:rsidRDefault="00142FD9" w:rsidP="00142FD9">
            <w:pPr>
              <w:widowControl/>
              <w:adjustRightInd/>
              <w:jc w:val="right"/>
              <w:rPr>
                <w:highlight w:val="green"/>
              </w:rPr>
            </w:pPr>
            <w:r w:rsidRPr="00142FD9">
              <w:t>13 185 150</w:t>
            </w:r>
          </w:p>
        </w:tc>
        <w:tc>
          <w:tcPr>
            <w:tcW w:w="1267" w:type="dxa"/>
            <w:noWrap/>
            <w:vAlign w:val="center"/>
          </w:tcPr>
          <w:p w14:paraId="76AAE265" w14:textId="77777777" w:rsidR="00142FD9" w:rsidRPr="00142FD9" w:rsidRDefault="00142FD9" w:rsidP="00142FD9">
            <w:pPr>
              <w:widowControl/>
              <w:adjustRightInd/>
              <w:jc w:val="right"/>
            </w:pPr>
            <w:r w:rsidRPr="00142FD9">
              <w:t>10 339 900</w:t>
            </w:r>
          </w:p>
        </w:tc>
        <w:tc>
          <w:tcPr>
            <w:tcW w:w="1267" w:type="dxa"/>
            <w:noWrap/>
            <w:vAlign w:val="center"/>
          </w:tcPr>
          <w:p w14:paraId="14BC436A" w14:textId="77777777" w:rsidR="00142FD9" w:rsidRPr="00142FD9" w:rsidRDefault="00142FD9" w:rsidP="00142FD9">
            <w:pPr>
              <w:widowControl/>
              <w:adjustRightInd/>
              <w:jc w:val="right"/>
              <w:rPr>
                <w:bCs/>
                <w:iCs/>
              </w:rPr>
            </w:pPr>
            <w:r w:rsidRPr="00142FD9">
              <w:t>18 086 550</w:t>
            </w:r>
          </w:p>
        </w:tc>
        <w:tc>
          <w:tcPr>
            <w:tcW w:w="1456" w:type="dxa"/>
            <w:noWrap/>
            <w:vAlign w:val="center"/>
          </w:tcPr>
          <w:p w14:paraId="157303C4" w14:textId="77777777" w:rsidR="00142FD9" w:rsidRPr="00142FD9" w:rsidRDefault="00142FD9" w:rsidP="00142FD9">
            <w:pPr>
              <w:widowControl/>
              <w:adjustRightInd/>
              <w:jc w:val="right"/>
              <w:rPr>
                <w:highlight w:val="green"/>
              </w:rPr>
            </w:pPr>
            <w:r w:rsidRPr="00142FD9">
              <w:t>13 077 240</w:t>
            </w:r>
          </w:p>
        </w:tc>
      </w:tr>
      <w:tr w:rsidR="00142FD9" w:rsidRPr="00142FD9" w14:paraId="16C071F2" w14:textId="77777777" w:rsidTr="00142FD9">
        <w:trPr>
          <w:trHeight w:val="70"/>
          <w:jc w:val="center"/>
        </w:trPr>
        <w:tc>
          <w:tcPr>
            <w:tcW w:w="4661" w:type="dxa"/>
            <w:noWrap/>
            <w:vAlign w:val="center"/>
          </w:tcPr>
          <w:p w14:paraId="35A8697F" w14:textId="77777777" w:rsidR="00142FD9" w:rsidRPr="00142FD9" w:rsidRDefault="00142FD9" w:rsidP="00142FD9">
            <w:pPr>
              <w:widowControl/>
              <w:adjustRightInd/>
              <w:rPr>
                <w:b/>
                <w:bCs/>
                <w:i/>
                <w:iCs/>
              </w:rPr>
            </w:pPr>
            <w:r w:rsidRPr="00142FD9">
              <w:rPr>
                <w:b/>
                <w:bCs/>
                <w:i/>
                <w:iCs/>
              </w:rPr>
              <w:t xml:space="preserve">z toho: </w:t>
            </w:r>
          </w:p>
        </w:tc>
        <w:tc>
          <w:tcPr>
            <w:tcW w:w="1267" w:type="dxa"/>
            <w:noWrap/>
            <w:vAlign w:val="center"/>
          </w:tcPr>
          <w:p w14:paraId="18E3FA3E" w14:textId="77777777" w:rsidR="00142FD9" w:rsidRPr="00142FD9" w:rsidRDefault="00142FD9" w:rsidP="00142FD9">
            <w:pPr>
              <w:widowControl/>
              <w:adjustRightInd/>
              <w:jc w:val="right"/>
              <w:rPr>
                <w:b/>
                <w:bCs/>
                <w:iCs/>
                <w:highlight w:val="green"/>
              </w:rPr>
            </w:pPr>
          </w:p>
        </w:tc>
        <w:tc>
          <w:tcPr>
            <w:tcW w:w="1267" w:type="dxa"/>
            <w:noWrap/>
            <w:vAlign w:val="center"/>
          </w:tcPr>
          <w:p w14:paraId="7D03CC79" w14:textId="77777777" w:rsidR="00142FD9" w:rsidRPr="00142FD9" w:rsidRDefault="00142FD9" w:rsidP="00142FD9">
            <w:pPr>
              <w:widowControl/>
              <w:adjustRightInd/>
              <w:jc w:val="right"/>
              <w:rPr>
                <w:b/>
                <w:bCs/>
                <w:iCs/>
              </w:rPr>
            </w:pPr>
          </w:p>
        </w:tc>
        <w:tc>
          <w:tcPr>
            <w:tcW w:w="1267" w:type="dxa"/>
            <w:noWrap/>
            <w:vAlign w:val="center"/>
          </w:tcPr>
          <w:p w14:paraId="15C847C1" w14:textId="77777777" w:rsidR="00142FD9" w:rsidRPr="00142FD9" w:rsidRDefault="00142FD9" w:rsidP="00142FD9">
            <w:pPr>
              <w:widowControl/>
              <w:adjustRightInd/>
              <w:jc w:val="right"/>
              <w:rPr>
                <w:b/>
                <w:bCs/>
                <w:iCs/>
              </w:rPr>
            </w:pPr>
          </w:p>
        </w:tc>
        <w:tc>
          <w:tcPr>
            <w:tcW w:w="1456" w:type="dxa"/>
            <w:noWrap/>
            <w:vAlign w:val="center"/>
          </w:tcPr>
          <w:p w14:paraId="3F756C17" w14:textId="77777777" w:rsidR="00142FD9" w:rsidRPr="00142FD9" w:rsidRDefault="00142FD9" w:rsidP="00142FD9">
            <w:pPr>
              <w:widowControl/>
              <w:adjustRightInd/>
              <w:jc w:val="right"/>
              <w:rPr>
                <w:b/>
                <w:bCs/>
                <w:iCs/>
                <w:highlight w:val="green"/>
              </w:rPr>
            </w:pPr>
          </w:p>
        </w:tc>
      </w:tr>
      <w:tr w:rsidR="00142FD9" w:rsidRPr="00142FD9" w14:paraId="10795105" w14:textId="77777777" w:rsidTr="00142FD9">
        <w:trPr>
          <w:trHeight w:val="70"/>
          <w:jc w:val="center"/>
        </w:trPr>
        <w:tc>
          <w:tcPr>
            <w:tcW w:w="4661" w:type="dxa"/>
            <w:noWrap/>
            <w:vAlign w:val="center"/>
          </w:tcPr>
          <w:p w14:paraId="6FDFFE3E" w14:textId="77777777" w:rsidR="00142FD9" w:rsidRPr="00142FD9" w:rsidRDefault="00142FD9" w:rsidP="00142FD9">
            <w:pPr>
              <w:widowControl/>
              <w:adjustRightInd/>
              <w:rPr>
                <w:b/>
                <w:bCs/>
                <w:i/>
                <w:iCs/>
              </w:rPr>
            </w:pPr>
            <w:r w:rsidRPr="00142FD9">
              <w:rPr>
                <w:b/>
                <w:bCs/>
                <w:i/>
                <w:iCs/>
              </w:rPr>
              <w:t>- vplyv na ŠR</w:t>
            </w:r>
          </w:p>
        </w:tc>
        <w:tc>
          <w:tcPr>
            <w:tcW w:w="1267" w:type="dxa"/>
            <w:noWrap/>
            <w:vAlign w:val="center"/>
          </w:tcPr>
          <w:p w14:paraId="7F298C9A" w14:textId="77777777" w:rsidR="00142FD9" w:rsidRPr="00142FD9" w:rsidRDefault="00142FD9" w:rsidP="00142FD9">
            <w:pPr>
              <w:widowControl/>
              <w:adjustRightInd/>
              <w:jc w:val="right"/>
              <w:rPr>
                <w:b/>
                <w:bCs/>
                <w:iCs/>
                <w:highlight w:val="green"/>
              </w:rPr>
            </w:pPr>
            <w:r w:rsidRPr="00142FD9">
              <w:rPr>
                <w:b/>
                <w:bCs/>
                <w:iCs/>
              </w:rPr>
              <w:t>13 185 150</w:t>
            </w:r>
          </w:p>
        </w:tc>
        <w:tc>
          <w:tcPr>
            <w:tcW w:w="1267" w:type="dxa"/>
            <w:noWrap/>
          </w:tcPr>
          <w:p w14:paraId="7803E85A" w14:textId="77777777" w:rsidR="00142FD9" w:rsidRPr="00142FD9" w:rsidRDefault="00142FD9" w:rsidP="00142FD9">
            <w:pPr>
              <w:widowControl/>
              <w:adjustRightInd/>
              <w:jc w:val="right"/>
              <w:rPr>
                <w:b/>
                <w:bCs/>
                <w:iCs/>
              </w:rPr>
            </w:pPr>
            <w:r w:rsidRPr="00142FD9">
              <w:rPr>
                <w:b/>
              </w:rPr>
              <w:t>10 339 900</w:t>
            </w:r>
          </w:p>
        </w:tc>
        <w:tc>
          <w:tcPr>
            <w:tcW w:w="1267" w:type="dxa"/>
            <w:noWrap/>
            <w:vAlign w:val="bottom"/>
          </w:tcPr>
          <w:p w14:paraId="48F5C100" w14:textId="77777777" w:rsidR="00142FD9" w:rsidRPr="00142FD9" w:rsidRDefault="00142FD9" w:rsidP="00142FD9">
            <w:pPr>
              <w:widowControl/>
              <w:adjustRightInd/>
              <w:jc w:val="right"/>
              <w:rPr>
                <w:b/>
              </w:rPr>
            </w:pPr>
            <w:r w:rsidRPr="00142FD9">
              <w:rPr>
                <w:b/>
              </w:rPr>
              <w:t>18 086 550</w:t>
            </w:r>
          </w:p>
        </w:tc>
        <w:tc>
          <w:tcPr>
            <w:tcW w:w="1456" w:type="dxa"/>
            <w:noWrap/>
          </w:tcPr>
          <w:p w14:paraId="16FA0407" w14:textId="77777777" w:rsidR="00142FD9" w:rsidRPr="00142FD9" w:rsidRDefault="00142FD9" w:rsidP="00142FD9">
            <w:pPr>
              <w:widowControl/>
              <w:adjustRightInd/>
              <w:jc w:val="right"/>
              <w:rPr>
                <w:b/>
                <w:bCs/>
                <w:iCs/>
                <w:highlight w:val="green"/>
              </w:rPr>
            </w:pPr>
            <w:r w:rsidRPr="00142FD9">
              <w:rPr>
                <w:b/>
              </w:rPr>
              <w:t>13 077 240</w:t>
            </w:r>
          </w:p>
        </w:tc>
      </w:tr>
      <w:tr w:rsidR="00142FD9" w:rsidRPr="00142FD9" w14:paraId="54EA6840" w14:textId="77777777" w:rsidTr="00142FD9">
        <w:trPr>
          <w:trHeight w:val="70"/>
          <w:jc w:val="center"/>
        </w:trPr>
        <w:tc>
          <w:tcPr>
            <w:tcW w:w="4661" w:type="dxa"/>
            <w:noWrap/>
            <w:vAlign w:val="center"/>
          </w:tcPr>
          <w:p w14:paraId="1925E371" w14:textId="77777777" w:rsidR="00142FD9" w:rsidRPr="00142FD9" w:rsidRDefault="00142FD9" w:rsidP="00142FD9">
            <w:pPr>
              <w:widowControl/>
              <w:adjustRightInd/>
              <w:ind w:left="259"/>
              <w:rPr>
                <w:b/>
                <w:bCs/>
                <w:i/>
                <w:iCs/>
              </w:rPr>
            </w:pPr>
            <w:r w:rsidRPr="00142FD9">
              <w:rPr>
                <w:bCs/>
                <w:i/>
                <w:iCs/>
              </w:rPr>
              <w:t>Rozpočtové prostriedky</w:t>
            </w:r>
          </w:p>
        </w:tc>
        <w:tc>
          <w:tcPr>
            <w:tcW w:w="1267" w:type="dxa"/>
            <w:noWrap/>
            <w:vAlign w:val="center"/>
          </w:tcPr>
          <w:p w14:paraId="5D93297C" w14:textId="77777777" w:rsidR="00142FD9" w:rsidRPr="00142FD9" w:rsidRDefault="00142FD9" w:rsidP="00142FD9">
            <w:pPr>
              <w:widowControl/>
              <w:adjustRightInd/>
              <w:jc w:val="right"/>
              <w:rPr>
                <w:b/>
                <w:bCs/>
                <w:iCs/>
                <w:highlight w:val="green"/>
              </w:rPr>
            </w:pPr>
            <w:r w:rsidRPr="00142FD9">
              <w:rPr>
                <w:b/>
                <w:bCs/>
                <w:iCs/>
              </w:rPr>
              <w:t>13 185 150</w:t>
            </w:r>
          </w:p>
        </w:tc>
        <w:tc>
          <w:tcPr>
            <w:tcW w:w="1267" w:type="dxa"/>
            <w:noWrap/>
          </w:tcPr>
          <w:p w14:paraId="71AB662A" w14:textId="77777777" w:rsidR="00142FD9" w:rsidRPr="00142FD9" w:rsidRDefault="00142FD9" w:rsidP="00142FD9">
            <w:pPr>
              <w:widowControl/>
              <w:adjustRightInd/>
              <w:jc w:val="right"/>
              <w:rPr>
                <w:b/>
                <w:bCs/>
                <w:iCs/>
              </w:rPr>
            </w:pPr>
            <w:r w:rsidRPr="00142FD9">
              <w:rPr>
                <w:b/>
              </w:rPr>
              <w:t>10 339 900</w:t>
            </w:r>
          </w:p>
        </w:tc>
        <w:tc>
          <w:tcPr>
            <w:tcW w:w="1267" w:type="dxa"/>
            <w:noWrap/>
            <w:vAlign w:val="bottom"/>
          </w:tcPr>
          <w:p w14:paraId="577B5D95" w14:textId="77777777" w:rsidR="00142FD9" w:rsidRPr="00142FD9" w:rsidRDefault="00142FD9" w:rsidP="00142FD9">
            <w:pPr>
              <w:widowControl/>
              <w:adjustRightInd/>
              <w:jc w:val="right"/>
              <w:rPr>
                <w:b/>
              </w:rPr>
            </w:pPr>
            <w:r w:rsidRPr="00142FD9">
              <w:rPr>
                <w:b/>
              </w:rPr>
              <w:t>18 086 550</w:t>
            </w:r>
          </w:p>
        </w:tc>
        <w:tc>
          <w:tcPr>
            <w:tcW w:w="1456" w:type="dxa"/>
            <w:noWrap/>
          </w:tcPr>
          <w:p w14:paraId="32C1EE94" w14:textId="77777777" w:rsidR="00142FD9" w:rsidRPr="00142FD9" w:rsidRDefault="00142FD9" w:rsidP="00142FD9">
            <w:pPr>
              <w:widowControl/>
              <w:adjustRightInd/>
              <w:jc w:val="right"/>
              <w:rPr>
                <w:b/>
                <w:bCs/>
                <w:iCs/>
                <w:highlight w:val="green"/>
              </w:rPr>
            </w:pPr>
            <w:r w:rsidRPr="00142FD9">
              <w:rPr>
                <w:b/>
              </w:rPr>
              <w:t>13 077 240</w:t>
            </w:r>
          </w:p>
        </w:tc>
      </w:tr>
      <w:tr w:rsidR="00142FD9" w:rsidRPr="00142FD9" w14:paraId="3C345070" w14:textId="77777777" w:rsidTr="00142FD9">
        <w:trPr>
          <w:trHeight w:val="70"/>
          <w:jc w:val="center"/>
        </w:trPr>
        <w:tc>
          <w:tcPr>
            <w:tcW w:w="4661" w:type="dxa"/>
            <w:noWrap/>
            <w:vAlign w:val="center"/>
          </w:tcPr>
          <w:p w14:paraId="3FAE39D7" w14:textId="77777777" w:rsidR="00142FD9" w:rsidRPr="00142FD9" w:rsidRDefault="00142FD9" w:rsidP="00142FD9">
            <w:pPr>
              <w:widowControl/>
              <w:adjustRightInd/>
              <w:rPr>
                <w:bCs/>
                <w:i/>
                <w:iCs/>
              </w:rPr>
            </w:pPr>
            <w:r w:rsidRPr="00142FD9">
              <w:rPr>
                <w:bCs/>
                <w:i/>
                <w:iCs/>
              </w:rPr>
              <w:t xml:space="preserve">    EÚ zdroje</w:t>
            </w:r>
          </w:p>
        </w:tc>
        <w:tc>
          <w:tcPr>
            <w:tcW w:w="1267" w:type="dxa"/>
            <w:noWrap/>
            <w:vAlign w:val="center"/>
          </w:tcPr>
          <w:p w14:paraId="19EDB7BD" w14:textId="77777777" w:rsidR="00142FD9" w:rsidRPr="00142FD9" w:rsidRDefault="00142FD9" w:rsidP="00142FD9">
            <w:pPr>
              <w:widowControl/>
              <w:adjustRightInd/>
              <w:jc w:val="right"/>
            </w:pPr>
            <w:r w:rsidRPr="00142FD9">
              <w:t>0</w:t>
            </w:r>
          </w:p>
        </w:tc>
        <w:tc>
          <w:tcPr>
            <w:tcW w:w="1267" w:type="dxa"/>
            <w:noWrap/>
            <w:vAlign w:val="center"/>
          </w:tcPr>
          <w:p w14:paraId="4FAE7DD7" w14:textId="77777777" w:rsidR="00142FD9" w:rsidRPr="00142FD9" w:rsidRDefault="00142FD9" w:rsidP="00142FD9">
            <w:pPr>
              <w:widowControl/>
              <w:adjustRightInd/>
              <w:jc w:val="right"/>
            </w:pPr>
            <w:r w:rsidRPr="00142FD9">
              <w:t>0</w:t>
            </w:r>
          </w:p>
        </w:tc>
        <w:tc>
          <w:tcPr>
            <w:tcW w:w="1267" w:type="dxa"/>
            <w:noWrap/>
            <w:vAlign w:val="center"/>
          </w:tcPr>
          <w:p w14:paraId="741E7313" w14:textId="77777777" w:rsidR="00142FD9" w:rsidRPr="00142FD9" w:rsidRDefault="00142FD9" w:rsidP="00142FD9">
            <w:pPr>
              <w:widowControl/>
              <w:adjustRightInd/>
              <w:jc w:val="right"/>
            </w:pPr>
            <w:r w:rsidRPr="00142FD9">
              <w:t>0</w:t>
            </w:r>
          </w:p>
        </w:tc>
        <w:tc>
          <w:tcPr>
            <w:tcW w:w="1456" w:type="dxa"/>
            <w:noWrap/>
            <w:vAlign w:val="center"/>
          </w:tcPr>
          <w:p w14:paraId="4F31952A" w14:textId="77777777" w:rsidR="00142FD9" w:rsidRPr="00142FD9" w:rsidRDefault="00142FD9" w:rsidP="00142FD9">
            <w:pPr>
              <w:widowControl/>
              <w:adjustRightInd/>
              <w:jc w:val="right"/>
            </w:pPr>
            <w:r w:rsidRPr="00142FD9">
              <w:t>0</w:t>
            </w:r>
          </w:p>
        </w:tc>
      </w:tr>
      <w:tr w:rsidR="00142FD9" w:rsidRPr="00142FD9" w14:paraId="129B99C9" w14:textId="77777777" w:rsidTr="00142FD9">
        <w:trPr>
          <w:trHeight w:val="70"/>
          <w:jc w:val="center"/>
        </w:trPr>
        <w:tc>
          <w:tcPr>
            <w:tcW w:w="4661" w:type="dxa"/>
            <w:noWrap/>
            <w:vAlign w:val="center"/>
          </w:tcPr>
          <w:p w14:paraId="3DFEACE8" w14:textId="77777777" w:rsidR="00142FD9" w:rsidRPr="00142FD9" w:rsidRDefault="00142FD9" w:rsidP="00142FD9">
            <w:pPr>
              <w:widowControl/>
              <w:adjustRightInd/>
              <w:rPr>
                <w:bCs/>
                <w:i/>
                <w:iCs/>
              </w:rPr>
            </w:pPr>
            <w:r w:rsidRPr="00142FD9">
              <w:rPr>
                <w:bCs/>
                <w:i/>
                <w:iCs/>
              </w:rPr>
              <w:t xml:space="preserve">    spolufinancovanie</w:t>
            </w:r>
          </w:p>
        </w:tc>
        <w:tc>
          <w:tcPr>
            <w:tcW w:w="1267" w:type="dxa"/>
            <w:noWrap/>
            <w:vAlign w:val="center"/>
          </w:tcPr>
          <w:p w14:paraId="6E3C2069" w14:textId="77777777" w:rsidR="00142FD9" w:rsidRPr="00142FD9" w:rsidRDefault="00142FD9" w:rsidP="00142FD9">
            <w:pPr>
              <w:widowControl/>
              <w:adjustRightInd/>
              <w:jc w:val="right"/>
            </w:pPr>
            <w:r w:rsidRPr="00142FD9">
              <w:t>0</w:t>
            </w:r>
          </w:p>
        </w:tc>
        <w:tc>
          <w:tcPr>
            <w:tcW w:w="1267" w:type="dxa"/>
            <w:noWrap/>
            <w:vAlign w:val="center"/>
          </w:tcPr>
          <w:p w14:paraId="13B45E13" w14:textId="77777777" w:rsidR="00142FD9" w:rsidRPr="00142FD9" w:rsidRDefault="00142FD9" w:rsidP="00142FD9">
            <w:pPr>
              <w:widowControl/>
              <w:adjustRightInd/>
              <w:jc w:val="right"/>
            </w:pPr>
            <w:r w:rsidRPr="00142FD9">
              <w:t>0</w:t>
            </w:r>
          </w:p>
        </w:tc>
        <w:tc>
          <w:tcPr>
            <w:tcW w:w="1267" w:type="dxa"/>
            <w:noWrap/>
            <w:vAlign w:val="center"/>
          </w:tcPr>
          <w:p w14:paraId="0989B12F" w14:textId="77777777" w:rsidR="00142FD9" w:rsidRPr="00142FD9" w:rsidRDefault="00142FD9" w:rsidP="00142FD9">
            <w:pPr>
              <w:widowControl/>
              <w:adjustRightInd/>
              <w:jc w:val="right"/>
            </w:pPr>
            <w:r w:rsidRPr="00142FD9">
              <w:t>0</w:t>
            </w:r>
          </w:p>
        </w:tc>
        <w:tc>
          <w:tcPr>
            <w:tcW w:w="1456" w:type="dxa"/>
            <w:noWrap/>
            <w:vAlign w:val="center"/>
          </w:tcPr>
          <w:p w14:paraId="025F06FC" w14:textId="77777777" w:rsidR="00142FD9" w:rsidRPr="00142FD9" w:rsidRDefault="00142FD9" w:rsidP="00142FD9">
            <w:pPr>
              <w:widowControl/>
              <w:adjustRightInd/>
              <w:jc w:val="right"/>
            </w:pPr>
            <w:r w:rsidRPr="00142FD9">
              <w:t>0</w:t>
            </w:r>
          </w:p>
        </w:tc>
      </w:tr>
      <w:tr w:rsidR="00142FD9" w:rsidRPr="00142FD9" w14:paraId="40D1BF3E" w14:textId="77777777" w:rsidTr="00142FD9">
        <w:trPr>
          <w:trHeight w:val="125"/>
          <w:jc w:val="center"/>
        </w:trPr>
        <w:tc>
          <w:tcPr>
            <w:tcW w:w="4661" w:type="dxa"/>
            <w:noWrap/>
            <w:vAlign w:val="center"/>
          </w:tcPr>
          <w:p w14:paraId="76677C40" w14:textId="77777777" w:rsidR="00142FD9" w:rsidRPr="00142FD9" w:rsidRDefault="00142FD9" w:rsidP="00142FD9">
            <w:pPr>
              <w:widowControl/>
              <w:adjustRightInd/>
              <w:rPr>
                <w:b/>
                <w:bCs/>
                <w:i/>
                <w:iCs/>
              </w:rPr>
            </w:pPr>
            <w:r w:rsidRPr="00142FD9">
              <w:rPr>
                <w:b/>
                <w:bCs/>
                <w:i/>
                <w:iCs/>
              </w:rPr>
              <w:t>- vplyv na obce</w:t>
            </w:r>
          </w:p>
        </w:tc>
        <w:tc>
          <w:tcPr>
            <w:tcW w:w="1267" w:type="dxa"/>
            <w:noWrap/>
            <w:vAlign w:val="center"/>
          </w:tcPr>
          <w:p w14:paraId="7B1697FC"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2CD19EC0"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00C3FD80"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79E0D17E" w14:textId="77777777" w:rsidR="00142FD9" w:rsidRPr="00142FD9" w:rsidRDefault="00142FD9" w:rsidP="00142FD9">
            <w:pPr>
              <w:widowControl/>
              <w:adjustRightInd/>
              <w:jc w:val="right"/>
              <w:rPr>
                <w:b/>
                <w:bCs/>
                <w:iCs/>
              </w:rPr>
            </w:pPr>
            <w:r w:rsidRPr="00142FD9">
              <w:rPr>
                <w:b/>
                <w:bCs/>
                <w:iCs/>
              </w:rPr>
              <w:t>0</w:t>
            </w:r>
          </w:p>
        </w:tc>
      </w:tr>
      <w:tr w:rsidR="00142FD9" w:rsidRPr="00142FD9" w14:paraId="0588AA9E" w14:textId="77777777" w:rsidTr="00142FD9">
        <w:trPr>
          <w:trHeight w:val="125"/>
          <w:jc w:val="center"/>
        </w:trPr>
        <w:tc>
          <w:tcPr>
            <w:tcW w:w="4661" w:type="dxa"/>
            <w:noWrap/>
            <w:vAlign w:val="center"/>
          </w:tcPr>
          <w:p w14:paraId="49A28544" w14:textId="77777777" w:rsidR="00142FD9" w:rsidRPr="00142FD9" w:rsidRDefault="00142FD9" w:rsidP="00142FD9">
            <w:pPr>
              <w:widowControl/>
              <w:adjustRightInd/>
              <w:rPr>
                <w:b/>
                <w:bCs/>
                <w:i/>
                <w:iCs/>
              </w:rPr>
            </w:pPr>
            <w:r w:rsidRPr="00142FD9">
              <w:rPr>
                <w:b/>
                <w:bCs/>
                <w:i/>
                <w:iCs/>
              </w:rPr>
              <w:t>- vplyv na vyššie územné celky</w:t>
            </w:r>
          </w:p>
        </w:tc>
        <w:tc>
          <w:tcPr>
            <w:tcW w:w="1267" w:type="dxa"/>
            <w:noWrap/>
            <w:vAlign w:val="center"/>
          </w:tcPr>
          <w:p w14:paraId="7ADF5013"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640FE8F4"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5168C2D0"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3B068E2A" w14:textId="77777777" w:rsidR="00142FD9" w:rsidRPr="00142FD9" w:rsidRDefault="00142FD9" w:rsidP="00142FD9">
            <w:pPr>
              <w:widowControl/>
              <w:adjustRightInd/>
              <w:jc w:val="right"/>
              <w:rPr>
                <w:b/>
                <w:bCs/>
                <w:iCs/>
              </w:rPr>
            </w:pPr>
            <w:r w:rsidRPr="00142FD9">
              <w:rPr>
                <w:b/>
                <w:bCs/>
                <w:iCs/>
              </w:rPr>
              <w:t>0</w:t>
            </w:r>
          </w:p>
        </w:tc>
      </w:tr>
      <w:tr w:rsidR="00142FD9" w:rsidRPr="00142FD9" w14:paraId="28597BB5" w14:textId="77777777" w:rsidTr="00142FD9">
        <w:trPr>
          <w:trHeight w:val="70"/>
          <w:jc w:val="center"/>
        </w:trPr>
        <w:tc>
          <w:tcPr>
            <w:tcW w:w="4661" w:type="dxa"/>
            <w:noWrap/>
            <w:vAlign w:val="center"/>
          </w:tcPr>
          <w:p w14:paraId="67061C34" w14:textId="77777777" w:rsidR="00142FD9" w:rsidRPr="00142FD9" w:rsidRDefault="00142FD9" w:rsidP="00142FD9">
            <w:pPr>
              <w:widowControl/>
              <w:adjustRightInd/>
              <w:rPr>
                <w:b/>
                <w:bCs/>
              </w:rPr>
            </w:pPr>
            <w:r w:rsidRPr="00142FD9">
              <w:rPr>
                <w:b/>
                <w:bCs/>
                <w:i/>
                <w:iCs/>
              </w:rPr>
              <w:t>- vplyv na ostatné subjekty verejnej správy</w:t>
            </w:r>
          </w:p>
        </w:tc>
        <w:tc>
          <w:tcPr>
            <w:tcW w:w="1267" w:type="dxa"/>
            <w:noWrap/>
            <w:vAlign w:val="center"/>
          </w:tcPr>
          <w:p w14:paraId="7074E88E"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500A7E7B"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3DA307EE"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327407BC" w14:textId="77777777" w:rsidR="00142FD9" w:rsidRPr="00142FD9" w:rsidRDefault="00142FD9" w:rsidP="00142FD9">
            <w:pPr>
              <w:widowControl/>
              <w:adjustRightInd/>
              <w:jc w:val="right"/>
              <w:rPr>
                <w:b/>
                <w:bCs/>
                <w:iCs/>
              </w:rPr>
            </w:pPr>
            <w:r w:rsidRPr="00142FD9">
              <w:rPr>
                <w:b/>
                <w:bCs/>
                <w:iCs/>
              </w:rPr>
              <w:t>0</w:t>
            </w:r>
          </w:p>
        </w:tc>
      </w:tr>
      <w:tr w:rsidR="00142FD9" w:rsidRPr="00142FD9" w14:paraId="2C7EF87E" w14:textId="77777777" w:rsidTr="00142FD9">
        <w:trPr>
          <w:trHeight w:val="70"/>
          <w:jc w:val="center"/>
        </w:trPr>
        <w:tc>
          <w:tcPr>
            <w:tcW w:w="4661" w:type="dxa"/>
            <w:shd w:val="clear" w:color="auto" w:fill="BFBFBF"/>
            <w:noWrap/>
            <w:vAlign w:val="center"/>
          </w:tcPr>
          <w:p w14:paraId="0BEBA261" w14:textId="77777777" w:rsidR="00142FD9" w:rsidRPr="00142FD9" w:rsidRDefault="00142FD9" w:rsidP="00142FD9">
            <w:pPr>
              <w:widowControl/>
              <w:adjustRightInd/>
              <w:rPr>
                <w:b/>
                <w:bCs/>
              </w:rPr>
            </w:pPr>
            <w:r w:rsidRPr="00142FD9">
              <w:rPr>
                <w:b/>
                <w:bCs/>
              </w:rPr>
              <w:t xml:space="preserve">Vplyv na počet zamestnancov </w:t>
            </w:r>
          </w:p>
        </w:tc>
        <w:tc>
          <w:tcPr>
            <w:tcW w:w="1267" w:type="dxa"/>
            <w:shd w:val="clear" w:color="auto" w:fill="BFBFBF"/>
            <w:noWrap/>
            <w:vAlign w:val="center"/>
          </w:tcPr>
          <w:p w14:paraId="69C10B9F" w14:textId="77777777" w:rsidR="00142FD9" w:rsidRPr="00142FD9" w:rsidRDefault="00142FD9" w:rsidP="00142FD9">
            <w:pPr>
              <w:widowControl/>
              <w:adjustRightInd/>
              <w:jc w:val="right"/>
              <w:rPr>
                <w:b/>
                <w:bCs/>
              </w:rPr>
            </w:pPr>
            <w:r w:rsidRPr="00142FD9">
              <w:rPr>
                <w:b/>
                <w:bCs/>
              </w:rPr>
              <w:t>0</w:t>
            </w:r>
          </w:p>
        </w:tc>
        <w:tc>
          <w:tcPr>
            <w:tcW w:w="1267" w:type="dxa"/>
            <w:shd w:val="clear" w:color="auto" w:fill="BFBFBF"/>
            <w:noWrap/>
            <w:vAlign w:val="center"/>
          </w:tcPr>
          <w:p w14:paraId="2DE7CF4B" w14:textId="77777777" w:rsidR="00142FD9" w:rsidRPr="00142FD9" w:rsidRDefault="00142FD9" w:rsidP="00142FD9">
            <w:pPr>
              <w:widowControl/>
              <w:adjustRightInd/>
              <w:jc w:val="right"/>
              <w:rPr>
                <w:b/>
                <w:bCs/>
              </w:rPr>
            </w:pPr>
            <w:r w:rsidRPr="00142FD9">
              <w:rPr>
                <w:b/>
                <w:bCs/>
              </w:rPr>
              <w:t>0</w:t>
            </w:r>
          </w:p>
        </w:tc>
        <w:tc>
          <w:tcPr>
            <w:tcW w:w="1267" w:type="dxa"/>
            <w:shd w:val="clear" w:color="auto" w:fill="BFBFBF"/>
            <w:noWrap/>
            <w:vAlign w:val="center"/>
          </w:tcPr>
          <w:p w14:paraId="310845BE" w14:textId="77777777" w:rsidR="00142FD9" w:rsidRPr="00142FD9" w:rsidRDefault="00142FD9" w:rsidP="00142FD9">
            <w:pPr>
              <w:widowControl/>
              <w:adjustRightInd/>
              <w:jc w:val="right"/>
              <w:rPr>
                <w:b/>
                <w:bCs/>
              </w:rPr>
            </w:pPr>
            <w:r w:rsidRPr="00142FD9">
              <w:rPr>
                <w:b/>
                <w:bCs/>
              </w:rPr>
              <w:t>0</w:t>
            </w:r>
          </w:p>
        </w:tc>
        <w:tc>
          <w:tcPr>
            <w:tcW w:w="1456" w:type="dxa"/>
            <w:shd w:val="clear" w:color="auto" w:fill="BFBFBF"/>
            <w:noWrap/>
            <w:vAlign w:val="center"/>
          </w:tcPr>
          <w:p w14:paraId="2568472B" w14:textId="77777777" w:rsidR="00142FD9" w:rsidRPr="00142FD9" w:rsidRDefault="00142FD9" w:rsidP="00142FD9">
            <w:pPr>
              <w:widowControl/>
              <w:adjustRightInd/>
              <w:jc w:val="right"/>
              <w:rPr>
                <w:b/>
                <w:bCs/>
              </w:rPr>
            </w:pPr>
            <w:r w:rsidRPr="00142FD9">
              <w:rPr>
                <w:b/>
                <w:bCs/>
              </w:rPr>
              <w:t>0</w:t>
            </w:r>
          </w:p>
        </w:tc>
      </w:tr>
      <w:tr w:rsidR="00142FD9" w:rsidRPr="00142FD9" w14:paraId="295DDBFD" w14:textId="77777777" w:rsidTr="00142FD9">
        <w:trPr>
          <w:trHeight w:val="70"/>
          <w:jc w:val="center"/>
        </w:trPr>
        <w:tc>
          <w:tcPr>
            <w:tcW w:w="4661" w:type="dxa"/>
            <w:noWrap/>
            <w:vAlign w:val="center"/>
          </w:tcPr>
          <w:p w14:paraId="1E0FB246" w14:textId="77777777" w:rsidR="00142FD9" w:rsidRPr="00142FD9" w:rsidRDefault="00142FD9" w:rsidP="00142FD9">
            <w:pPr>
              <w:widowControl/>
              <w:adjustRightInd/>
              <w:rPr>
                <w:b/>
                <w:bCs/>
                <w:i/>
                <w:iCs/>
              </w:rPr>
            </w:pPr>
            <w:r w:rsidRPr="00142FD9">
              <w:rPr>
                <w:b/>
                <w:bCs/>
                <w:i/>
                <w:iCs/>
              </w:rPr>
              <w:t>- vplyv na ŠR</w:t>
            </w:r>
          </w:p>
        </w:tc>
        <w:tc>
          <w:tcPr>
            <w:tcW w:w="1267" w:type="dxa"/>
            <w:noWrap/>
            <w:vAlign w:val="center"/>
          </w:tcPr>
          <w:p w14:paraId="5B36D941"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62398ACC"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548E9B6F"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7DEDDDAB" w14:textId="77777777" w:rsidR="00142FD9" w:rsidRPr="00142FD9" w:rsidRDefault="00142FD9" w:rsidP="00142FD9">
            <w:pPr>
              <w:widowControl/>
              <w:adjustRightInd/>
              <w:jc w:val="right"/>
              <w:rPr>
                <w:b/>
                <w:bCs/>
                <w:iCs/>
              </w:rPr>
            </w:pPr>
            <w:r w:rsidRPr="00142FD9">
              <w:rPr>
                <w:b/>
                <w:bCs/>
                <w:iCs/>
              </w:rPr>
              <w:t>0</w:t>
            </w:r>
          </w:p>
        </w:tc>
      </w:tr>
      <w:tr w:rsidR="00142FD9" w:rsidRPr="00142FD9" w14:paraId="13A9E8C4" w14:textId="77777777" w:rsidTr="00142FD9">
        <w:trPr>
          <w:trHeight w:val="70"/>
          <w:jc w:val="center"/>
        </w:trPr>
        <w:tc>
          <w:tcPr>
            <w:tcW w:w="4661" w:type="dxa"/>
            <w:noWrap/>
            <w:vAlign w:val="center"/>
          </w:tcPr>
          <w:p w14:paraId="10CD3DEC" w14:textId="77777777" w:rsidR="00142FD9" w:rsidRPr="00142FD9" w:rsidRDefault="00142FD9" w:rsidP="00142FD9">
            <w:pPr>
              <w:widowControl/>
              <w:adjustRightInd/>
              <w:rPr>
                <w:b/>
                <w:bCs/>
                <w:i/>
                <w:iCs/>
              </w:rPr>
            </w:pPr>
            <w:r w:rsidRPr="00142FD9">
              <w:rPr>
                <w:b/>
                <w:bCs/>
                <w:i/>
                <w:iCs/>
              </w:rPr>
              <w:t>- vplyv na obce</w:t>
            </w:r>
          </w:p>
        </w:tc>
        <w:tc>
          <w:tcPr>
            <w:tcW w:w="1267" w:type="dxa"/>
            <w:noWrap/>
            <w:vAlign w:val="center"/>
          </w:tcPr>
          <w:p w14:paraId="2CCD4560"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59EB4805"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3236C0FB"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79963CDD" w14:textId="77777777" w:rsidR="00142FD9" w:rsidRPr="00142FD9" w:rsidRDefault="00142FD9" w:rsidP="00142FD9">
            <w:pPr>
              <w:widowControl/>
              <w:adjustRightInd/>
              <w:jc w:val="right"/>
              <w:rPr>
                <w:b/>
                <w:bCs/>
                <w:iCs/>
              </w:rPr>
            </w:pPr>
            <w:r w:rsidRPr="00142FD9">
              <w:rPr>
                <w:b/>
                <w:bCs/>
                <w:iCs/>
              </w:rPr>
              <w:t>0</w:t>
            </w:r>
          </w:p>
        </w:tc>
      </w:tr>
      <w:tr w:rsidR="00142FD9" w:rsidRPr="00142FD9" w14:paraId="0C9CDB4F" w14:textId="77777777" w:rsidTr="00142FD9">
        <w:trPr>
          <w:trHeight w:val="70"/>
          <w:jc w:val="center"/>
        </w:trPr>
        <w:tc>
          <w:tcPr>
            <w:tcW w:w="4661" w:type="dxa"/>
            <w:noWrap/>
            <w:vAlign w:val="center"/>
          </w:tcPr>
          <w:p w14:paraId="7853720E" w14:textId="77777777" w:rsidR="00142FD9" w:rsidRPr="00142FD9" w:rsidRDefault="00142FD9" w:rsidP="00142FD9">
            <w:pPr>
              <w:widowControl/>
              <w:adjustRightInd/>
              <w:rPr>
                <w:b/>
                <w:bCs/>
                <w:i/>
                <w:iCs/>
              </w:rPr>
            </w:pPr>
            <w:r w:rsidRPr="00142FD9">
              <w:rPr>
                <w:b/>
                <w:bCs/>
                <w:i/>
                <w:iCs/>
              </w:rPr>
              <w:t>- vplyv na vyššie územné celky</w:t>
            </w:r>
          </w:p>
        </w:tc>
        <w:tc>
          <w:tcPr>
            <w:tcW w:w="1267" w:type="dxa"/>
            <w:noWrap/>
            <w:vAlign w:val="center"/>
          </w:tcPr>
          <w:p w14:paraId="344B6E89"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4CDC4387"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39177001"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5330A7A9" w14:textId="77777777" w:rsidR="00142FD9" w:rsidRPr="00142FD9" w:rsidRDefault="00142FD9" w:rsidP="00142FD9">
            <w:pPr>
              <w:widowControl/>
              <w:adjustRightInd/>
              <w:jc w:val="right"/>
              <w:rPr>
                <w:b/>
                <w:bCs/>
                <w:iCs/>
              </w:rPr>
            </w:pPr>
            <w:r w:rsidRPr="00142FD9">
              <w:rPr>
                <w:b/>
                <w:bCs/>
                <w:iCs/>
              </w:rPr>
              <w:t>0</w:t>
            </w:r>
          </w:p>
        </w:tc>
      </w:tr>
      <w:tr w:rsidR="00142FD9" w:rsidRPr="00142FD9" w14:paraId="3AEC4CD8" w14:textId="77777777" w:rsidTr="00142FD9">
        <w:trPr>
          <w:trHeight w:val="70"/>
          <w:jc w:val="center"/>
        </w:trPr>
        <w:tc>
          <w:tcPr>
            <w:tcW w:w="4661" w:type="dxa"/>
            <w:noWrap/>
            <w:vAlign w:val="center"/>
          </w:tcPr>
          <w:p w14:paraId="7896222A" w14:textId="77777777" w:rsidR="00142FD9" w:rsidRPr="00142FD9" w:rsidRDefault="00142FD9" w:rsidP="00142FD9">
            <w:pPr>
              <w:widowControl/>
              <w:adjustRightInd/>
              <w:rPr>
                <w:b/>
                <w:bCs/>
                <w:i/>
                <w:iCs/>
              </w:rPr>
            </w:pPr>
            <w:r w:rsidRPr="00142FD9">
              <w:rPr>
                <w:b/>
                <w:bCs/>
                <w:i/>
                <w:iCs/>
              </w:rPr>
              <w:t>- vplyv na ostatné subjekty verejnej správy</w:t>
            </w:r>
          </w:p>
        </w:tc>
        <w:tc>
          <w:tcPr>
            <w:tcW w:w="1267" w:type="dxa"/>
            <w:noWrap/>
            <w:vAlign w:val="center"/>
          </w:tcPr>
          <w:p w14:paraId="32A99580"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2ED92D3D"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5CA9398D"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6311BF7F" w14:textId="77777777" w:rsidR="00142FD9" w:rsidRPr="00142FD9" w:rsidRDefault="00142FD9" w:rsidP="00142FD9">
            <w:pPr>
              <w:widowControl/>
              <w:adjustRightInd/>
              <w:jc w:val="right"/>
              <w:rPr>
                <w:b/>
                <w:bCs/>
                <w:iCs/>
              </w:rPr>
            </w:pPr>
            <w:r w:rsidRPr="00142FD9">
              <w:rPr>
                <w:b/>
                <w:bCs/>
                <w:iCs/>
              </w:rPr>
              <w:t>0</w:t>
            </w:r>
          </w:p>
        </w:tc>
      </w:tr>
      <w:tr w:rsidR="00142FD9" w:rsidRPr="00142FD9" w14:paraId="6E55B4E0" w14:textId="77777777" w:rsidTr="00142FD9">
        <w:trPr>
          <w:trHeight w:val="70"/>
          <w:jc w:val="center"/>
        </w:trPr>
        <w:tc>
          <w:tcPr>
            <w:tcW w:w="4661" w:type="dxa"/>
            <w:shd w:val="clear" w:color="auto" w:fill="BFBFBF"/>
            <w:noWrap/>
            <w:vAlign w:val="center"/>
          </w:tcPr>
          <w:p w14:paraId="164CCEEA" w14:textId="77777777" w:rsidR="00142FD9" w:rsidRPr="00142FD9" w:rsidRDefault="00142FD9" w:rsidP="00142FD9">
            <w:pPr>
              <w:widowControl/>
              <w:adjustRightInd/>
              <w:rPr>
                <w:b/>
              </w:rPr>
            </w:pPr>
            <w:r w:rsidRPr="00142FD9">
              <w:rPr>
                <w:b/>
              </w:rPr>
              <w:t>Vplyv na mzdové výdavky</w:t>
            </w:r>
          </w:p>
        </w:tc>
        <w:tc>
          <w:tcPr>
            <w:tcW w:w="1267" w:type="dxa"/>
            <w:shd w:val="clear" w:color="auto" w:fill="BFBFBF"/>
            <w:noWrap/>
            <w:vAlign w:val="center"/>
          </w:tcPr>
          <w:p w14:paraId="1BAAB5AF" w14:textId="77777777" w:rsidR="00142FD9" w:rsidRPr="00142FD9" w:rsidRDefault="00142FD9" w:rsidP="00142FD9">
            <w:pPr>
              <w:widowControl/>
              <w:adjustRightInd/>
              <w:jc w:val="right"/>
              <w:rPr>
                <w:b/>
              </w:rPr>
            </w:pPr>
            <w:r w:rsidRPr="00142FD9">
              <w:rPr>
                <w:b/>
              </w:rPr>
              <w:t>0</w:t>
            </w:r>
          </w:p>
        </w:tc>
        <w:tc>
          <w:tcPr>
            <w:tcW w:w="1267" w:type="dxa"/>
            <w:shd w:val="clear" w:color="auto" w:fill="BFBFBF"/>
            <w:noWrap/>
            <w:vAlign w:val="center"/>
          </w:tcPr>
          <w:p w14:paraId="7F08C9C5" w14:textId="77777777" w:rsidR="00142FD9" w:rsidRPr="00142FD9" w:rsidRDefault="00142FD9" w:rsidP="00142FD9">
            <w:pPr>
              <w:widowControl/>
              <w:adjustRightInd/>
              <w:jc w:val="right"/>
              <w:rPr>
                <w:b/>
              </w:rPr>
            </w:pPr>
            <w:r w:rsidRPr="00142FD9">
              <w:rPr>
                <w:b/>
              </w:rPr>
              <w:t>0</w:t>
            </w:r>
          </w:p>
        </w:tc>
        <w:tc>
          <w:tcPr>
            <w:tcW w:w="1267" w:type="dxa"/>
            <w:shd w:val="clear" w:color="auto" w:fill="BFBFBF"/>
            <w:noWrap/>
            <w:vAlign w:val="center"/>
          </w:tcPr>
          <w:p w14:paraId="0F318A8C" w14:textId="77777777" w:rsidR="00142FD9" w:rsidRPr="00142FD9" w:rsidRDefault="00142FD9" w:rsidP="00142FD9">
            <w:pPr>
              <w:widowControl/>
              <w:adjustRightInd/>
              <w:jc w:val="right"/>
              <w:rPr>
                <w:b/>
              </w:rPr>
            </w:pPr>
            <w:r w:rsidRPr="00142FD9">
              <w:rPr>
                <w:b/>
              </w:rPr>
              <w:t>0</w:t>
            </w:r>
          </w:p>
        </w:tc>
        <w:tc>
          <w:tcPr>
            <w:tcW w:w="1456" w:type="dxa"/>
            <w:shd w:val="clear" w:color="auto" w:fill="BFBFBF"/>
            <w:noWrap/>
            <w:vAlign w:val="center"/>
          </w:tcPr>
          <w:p w14:paraId="7A9CD99F" w14:textId="77777777" w:rsidR="00142FD9" w:rsidRPr="00142FD9" w:rsidRDefault="00142FD9" w:rsidP="00142FD9">
            <w:pPr>
              <w:widowControl/>
              <w:adjustRightInd/>
              <w:jc w:val="right"/>
              <w:rPr>
                <w:b/>
              </w:rPr>
            </w:pPr>
            <w:r w:rsidRPr="00142FD9">
              <w:rPr>
                <w:b/>
              </w:rPr>
              <w:t>0</w:t>
            </w:r>
          </w:p>
        </w:tc>
      </w:tr>
      <w:tr w:rsidR="00142FD9" w:rsidRPr="00142FD9" w14:paraId="311CEE1C" w14:textId="77777777" w:rsidTr="00142FD9">
        <w:trPr>
          <w:trHeight w:val="70"/>
          <w:jc w:val="center"/>
        </w:trPr>
        <w:tc>
          <w:tcPr>
            <w:tcW w:w="4661" w:type="dxa"/>
            <w:noWrap/>
            <w:vAlign w:val="center"/>
          </w:tcPr>
          <w:p w14:paraId="6908E8FD" w14:textId="77777777" w:rsidR="00142FD9" w:rsidRPr="00142FD9" w:rsidRDefault="00142FD9" w:rsidP="00142FD9">
            <w:pPr>
              <w:widowControl/>
              <w:adjustRightInd/>
              <w:rPr>
                <w:b/>
                <w:bCs/>
                <w:i/>
                <w:iCs/>
              </w:rPr>
            </w:pPr>
            <w:r w:rsidRPr="00142FD9">
              <w:rPr>
                <w:b/>
                <w:bCs/>
                <w:i/>
                <w:iCs/>
              </w:rPr>
              <w:t>- vplyv na ŠR</w:t>
            </w:r>
          </w:p>
        </w:tc>
        <w:tc>
          <w:tcPr>
            <w:tcW w:w="1267" w:type="dxa"/>
            <w:noWrap/>
            <w:vAlign w:val="center"/>
          </w:tcPr>
          <w:p w14:paraId="15DF163E"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2A650451"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00636F52"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01B252BE" w14:textId="77777777" w:rsidR="00142FD9" w:rsidRPr="00142FD9" w:rsidRDefault="00142FD9" w:rsidP="00142FD9">
            <w:pPr>
              <w:widowControl/>
              <w:adjustRightInd/>
              <w:jc w:val="right"/>
              <w:rPr>
                <w:b/>
                <w:bCs/>
                <w:iCs/>
              </w:rPr>
            </w:pPr>
            <w:r w:rsidRPr="00142FD9">
              <w:rPr>
                <w:b/>
                <w:bCs/>
                <w:iCs/>
              </w:rPr>
              <w:t>0</w:t>
            </w:r>
          </w:p>
        </w:tc>
      </w:tr>
      <w:tr w:rsidR="00142FD9" w:rsidRPr="00142FD9" w14:paraId="0A986BDE" w14:textId="77777777" w:rsidTr="00142FD9">
        <w:trPr>
          <w:trHeight w:val="70"/>
          <w:jc w:val="center"/>
        </w:trPr>
        <w:tc>
          <w:tcPr>
            <w:tcW w:w="4661" w:type="dxa"/>
            <w:noWrap/>
            <w:vAlign w:val="center"/>
          </w:tcPr>
          <w:p w14:paraId="3DE77B08" w14:textId="77777777" w:rsidR="00142FD9" w:rsidRPr="00142FD9" w:rsidRDefault="00142FD9" w:rsidP="00142FD9">
            <w:pPr>
              <w:widowControl/>
              <w:adjustRightInd/>
              <w:rPr>
                <w:b/>
                <w:bCs/>
                <w:i/>
                <w:iCs/>
              </w:rPr>
            </w:pPr>
            <w:r w:rsidRPr="00142FD9">
              <w:rPr>
                <w:b/>
                <w:bCs/>
                <w:i/>
                <w:iCs/>
              </w:rPr>
              <w:t>- vplyv na obce</w:t>
            </w:r>
          </w:p>
        </w:tc>
        <w:tc>
          <w:tcPr>
            <w:tcW w:w="1267" w:type="dxa"/>
            <w:noWrap/>
            <w:vAlign w:val="center"/>
          </w:tcPr>
          <w:p w14:paraId="7467B7CF"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4A0376E3"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01F4B185"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234AE0A2" w14:textId="77777777" w:rsidR="00142FD9" w:rsidRPr="00142FD9" w:rsidRDefault="00142FD9" w:rsidP="00142FD9">
            <w:pPr>
              <w:widowControl/>
              <w:adjustRightInd/>
              <w:jc w:val="right"/>
              <w:rPr>
                <w:b/>
                <w:bCs/>
                <w:iCs/>
              </w:rPr>
            </w:pPr>
            <w:r w:rsidRPr="00142FD9">
              <w:rPr>
                <w:b/>
                <w:bCs/>
                <w:iCs/>
              </w:rPr>
              <w:t>0</w:t>
            </w:r>
          </w:p>
        </w:tc>
      </w:tr>
      <w:tr w:rsidR="00142FD9" w:rsidRPr="00142FD9" w14:paraId="1D9C64C3" w14:textId="77777777" w:rsidTr="00142FD9">
        <w:trPr>
          <w:trHeight w:val="70"/>
          <w:jc w:val="center"/>
        </w:trPr>
        <w:tc>
          <w:tcPr>
            <w:tcW w:w="4661" w:type="dxa"/>
            <w:noWrap/>
            <w:vAlign w:val="center"/>
          </w:tcPr>
          <w:p w14:paraId="146ED2EE" w14:textId="77777777" w:rsidR="00142FD9" w:rsidRPr="00142FD9" w:rsidRDefault="00142FD9" w:rsidP="00142FD9">
            <w:pPr>
              <w:widowControl/>
              <w:adjustRightInd/>
              <w:rPr>
                <w:b/>
                <w:bCs/>
                <w:i/>
                <w:iCs/>
              </w:rPr>
            </w:pPr>
            <w:r w:rsidRPr="00142FD9">
              <w:rPr>
                <w:b/>
                <w:bCs/>
                <w:i/>
                <w:iCs/>
              </w:rPr>
              <w:t>- vplyv na vyššie územné celky</w:t>
            </w:r>
          </w:p>
        </w:tc>
        <w:tc>
          <w:tcPr>
            <w:tcW w:w="1267" w:type="dxa"/>
            <w:noWrap/>
            <w:vAlign w:val="center"/>
          </w:tcPr>
          <w:p w14:paraId="7A9EBF89"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3726EB1F"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6B16E3F1"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68339307" w14:textId="77777777" w:rsidR="00142FD9" w:rsidRPr="00142FD9" w:rsidRDefault="00142FD9" w:rsidP="00142FD9">
            <w:pPr>
              <w:widowControl/>
              <w:adjustRightInd/>
              <w:jc w:val="right"/>
              <w:rPr>
                <w:b/>
                <w:bCs/>
                <w:iCs/>
              </w:rPr>
            </w:pPr>
            <w:r w:rsidRPr="00142FD9">
              <w:rPr>
                <w:b/>
                <w:bCs/>
                <w:iCs/>
              </w:rPr>
              <w:t>0</w:t>
            </w:r>
          </w:p>
        </w:tc>
      </w:tr>
      <w:tr w:rsidR="00142FD9" w:rsidRPr="00142FD9" w14:paraId="5C2D46E0" w14:textId="77777777" w:rsidTr="00142FD9">
        <w:trPr>
          <w:trHeight w:val="70"/>
          <w:jc w:val="center"/>
        </w:trPr>
        <w:tc>
          <w:tcPr>
            <w:tcW w:w="4661" w:type="dxa"/>
            <w:noWrap/>
            <w:vAlign w:val="center"/>
          </w:tcPr>
          <w:p w14:paraId="13D251ED" w14:textId="77777777" w:rsidR="00142FD9" w:rsidRPr="00142FD9" w:rsidRDefault="00142FD9" w:rsidP="00142FD9">
            <w:pPr>
              <w:widowControl/>
              <w:adjustRightInd/>
              <w:rPr>
                <w:b/>
                <w:bCs/>
              </w:rPr>
            </w:pPr>
            <w:r w:rsidRPr="00142FD9">
              <w:rPr>
                <w:b/>
                <w:bCs/>
                <w:i/>
                <w:iCs/>
              </w:rPr>
              <w:t>- vplyv na ostatné subjekty verejnej správy</w:t>
            </w:r>
          </w:p>
        </w:tc>
        <w:tc>
          <w:tcPr>
            <w:tcW w:w="1267" w:type="dxa"/>
            <w:noWrap/>
            <w:vAlign w:val="center"/>
          </w:tcPr>
          <w:p w14:paraId="069DB6B6"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6B770DC6" w14:textId="77777777" w:rsidR="00142FD9" w:rsidRPr="00142FD9" w:rsidRDefault="00142FD9" w:rsidP="00142FD9">
            <w:pPr>
              <w:widowControl/>
              <w:adjustRightInd/>
              <w:jc w:val="right"/>
              <w:rPr>
                <w:b/>
                <w:bCs/>
                <w:iCs/>
              </w:rPr>
            </w:pPr>
            <w:r w:rsidRPr="00142FD9">
              <w:rPr>
                <w:b/>
                <w:bCs/>
                <w:iCs/>
              </w:rPr>
              <w:t>0</w:t>
            </w:r>
          </w:p>
        </w:tc>
        <w:tc>
          <w:tcPr>
            <w:tcW w:w="1267" w:type="dxa"/>
            <w:noWrap/>
            <w:vAlign w:val="center"/>
          </w:tcPr>
          <w:p w14:paraId="515864D5" w14:textId="77777777" w:rsidR="00142FD9" w:rsidRPr="00142FD9" w:rsidRDefault="00142FD9" w:rsidP="00142FD9">
            <w:pPr>
              <w:widowControl/>
              <w:adjustRightInd/>
              <w:jc w:val="right"/>
              <w:rPr>
                <w:b/>
                <w:bCs/>
                <w:iCs/>
              </w:rPr>
            </w:pPr>
            <w:r w:rsidRPr="00142FD9">
              <w:rPr>
                <w:b/>
                <w:bCs/>
                <w:iCs/>
              </w:rPr>
              <w:t>0</w:t>
            </w:r>
          </w:p>
        </w:tc>
        <w:tc>
          <w:tcPr>
            <w:tcW w:w="1456" w:type="dxa"/>
            <w:noWrap/>
            <w:vAlign w:val="center"/>
          </w:tcPr>
          <w:p w14:paraId="47211B9E" w14:textId="77777777" w:rsidR="00142FD9" w:rsidRPr="00142FD9" w:rsidRDefault="00142FD9" w:rsidP="00142FD9">
            <w:pPr>
              <w:widowControl/>
              <w:adjustRightInd/>
              <w:jc w:val="right"/>
              <w:rPr>
                <w:b/>
                <w:bCs/>
                <w:iCs/>
              </w:rPr>
            </w:pPr>
            <w:r w:rsidRPr="00142FD9">
              <w:rPr>
                <w:b/>
                <w:bCs/>
                <w:iCs/>
              </w:rPr>
              <w:t>0</w:t>
            </w:r>
          </w:p>
        </w:tc>
      </w:tr>
      <w:tr w:rsidR="00142FD9" w:rsidRPr="00142FD9" w14:paraId="5C65249D" w14:textId="77777777" w:rsidTr="00142FD9">
        <w:trPr>
          <w:trHeight w:val="70"/>
          <w:jc w:val="center"/>
        </w:trPr>
        <w:tc>
          <w:tcPr>
            <w:tcW w:w="4661" w:type="dxa"/>
            <w:shd w:val="clear" w:color="auto" w:fill="C0C0C0"/>
            <w:noWrap/>
            <w:vAlign w:val="center"/>
          </w:tcPr>
          <w:p w14:paraId="5004EE58" w14:textId="77777777" w:rsidR="00142FD9" w:rsidRPr="00142FD9" w:rsidRDefault="00142FD9" w:rsidP="00142FD9">
            <w:pPr>
              <w:widowControl/>
              <w:adjustRightInd/>
              <w:rPr>
                <w:b/>
                <w:bCs/>
              </w:rPr>
            </w:pPr>
            <w:r w:rsidRPr="00142FD9">
              <w:rPr>
                <w:b/>
                <w:bCs/>
              </w:rPr>
              <w:t>Financovanie zabezpečené v rozpočte</w:t>
            </w:r>
          </w:p>
        </w:tc>
        <w:tc>
          <w:tcPr>
            <w:tcW w:w="1267" w:type="dxa"/>
            <w:shd w:val="clear" w:color="auto" w:fill="C0C0C0"/>
            <w:noWrap/>
            <w:vAlign w:val="center"/>
          </w:tcPr>
          <w:p w14:paraId="6838802E" w14:textId="77777777" w:rsidR="00142FD9" w:rsidRPr="00142FD9" w:rsidRDefault="00142FD9" w:rsidP="00142FD9">
            <w:pPr>
              <w:widowControl/>
              <w:adjustRightInd/>
              <w:jc w:val="right"/>
              <w:rPr>
                <w:b/>
                <w:bCs/>
              </w:rPr>
            </w:pPr>
            <w:r w:rsidRPr="00142FD9">
              <w:rPr>
                <w:b/>
                <w:bCs/>
              </w:rPr>
              <w:t>13 185 150</w:t>
            </w:r>
          </w:p>
        </w:tc>
        <w:tc>
          <w:tcPr>
            <w:tcW w:w="1267" w:type="dxa"/>
            <w:shd w:val="clear" w:color="auto" w:fill="C0C0C0"/>
            <w:noWrap/>
            <w:vAlign w:val="center"/>
          </w:tcPr>
          <w:p w14:paraId="5A9A5939" w14:textId="77777777" w:rsidR="00142FD9" w:rsidRPr="00142FD9" w:rsidRDefault="00142FD9" w:rsidP="00142FD9">
            <w:pPr>
              <w:widowControl/>
              <w:adjustRightInd/>
              <w:jc w:val="right"/>
              <w:rPr>
                <w:b/>
                <w:bCs/>
              </w:rPr>
            </w:pPr>
            <w:r w:rsidRPr="00142FD9">
              <w:rPr>
                <w:b/>
                <w:bCs/>
              </w:rPr>
              <w:t>10 339 900</w:t>
            </w:r>
          </w:p>
        </w:tc>
        <w:tc>
          <w:tcPr>
            <w:tcW w:w="1267" w:type="dxa"/>
            <w:shd w:val="clear" w:color="auto" w:fill="C0C0C0"/>
            <w:noWrap/>
            <w:vAlign w:val="center"/>
          </w:tcPr>
          <w:p w14:paraId="6E5DCADA" w14:textId="77777777" w:rsidR="00142FD9" w:rsidRPr="00142FD9" w:rsidRDefault="00142FD9" w:rsidP="00142FD9">
            <w:pPr>
              <w:widowControl/>
              <w:adjustRightInd/>
              <w:jc w:val="right"/>
              <w:rPr>
                <w:b/>
                <w:bCs/>
              </w:rPr>
            </w:pPr>
            <w:r w:rsidRPr="00142FD9">
              <w:rPr>
                <w:b/>
                <w:bCs/>
              </w:rPr>
              <w:t>8 895 650</w:t>
            </w:r>
          </w:p>
        </w:tc>
        <w:tc>
          <w:tcPr>
            <w:tcW w:w="1456" w:type="dxa"/>
            <w:shd w:val="clear" w:color="auto" w:fill="C0C0C0"/>
            <w:noWrap/>
            <w:vAlign w:val="center"/>
          </w:tcPr>
          <w:p w14:paraId="1F3C03A9" w14:textId="77777777" w:rsidR="00142FD9" w:rsidRPr="00142FD9" w:rsidRDefault="00142FD9" w:rsidP="00142FD9">
            <w:pPr>
              <w:widowControl/>
              <w:adjustRightInd/>
              <w:jc w:val="right"/>
              <w:rPr>
                <w:b/>
                <w:bCs/>
              </w:rPr>
            </w:pPr>
            <w:r w:rsidRPr="00142FD9">
              <w:rPr>
                <w:b/>
                <w:bCs/>
              </w:rPr>
              <w:t>8 895 650</w:t>
            </w:r>
          </w:p>
        </w:tc>
      </w:tr>
      <w:tr w:rsidR="00142FD9" w:rsidRPr="00142FD9" w14:paraId="34AB84B5" w14:textId="77777777" w:rsidTr="00142FD9">
        <w:trPr>
          <w:trHeight w:val="70"/>
          <w:jc w:val="center"/>
        </w:trPr>
        <w:tc>
          <w:tcPr>
            <w:tcW w:w="4661" w:type="dxa"/>
            <w:noWrap/>
            <w:vAlign w:val="center"/>
          </w:tcPr>
          <w:p w14:paraId="2F3A7A0C" w14:textId="77777777" w:rsidR="00142FD9" w:rsidRPr="00142FD9" w:rsidRDefault="00142FD9" w:rsidP="00142FD9">
            <w:pPr>
              <w:widowControl/>
              <w:adjustRightInd/>
            </w:pPr>
            <w:r w:rsidRPr="00142FD9">
              <w:t>v tom: MIRRI SR/ 0ET06</w:t>
            </w:r>
          </w:p>
        </w:tc>
        <w:tc>
          <w:tcPr>
            <w:tcW w:w="1267" w:type="dxa"/>
            <w:noWrap/>
            <w:vAlign w:val="center"/>
          </w:tcPr>
          <w:p w14:paraId="7168DE1F" w14:textId="77777777" w:rsidR="00142FD9" w:rsidRPr="00142FD9" w:rsidRDefault="00142FD9" w:rsidP="00142FD9">
            <w:pPr>
              <w:widowControl/>
              <w:adjustRightInd/>
              <w:jc w:val="right"/>
            </w:pPr>
            <w:r w:rsidRPr="00142FD9">
              <w:t>13 185 150</w:t>
            </w:r>
          </w:p>
        </w:tc>
        <w:tc>
          <w:tcPr>
            <w:tcW w:w="1267" w:type="dxa"/>
            <w:noWrap/>
            <w:vAlign w:val="center"/>
          </w:tcPr>
          <w:p w14:paraId="5F1E3B34" w14:textId="77777777" w:rsidR="00142FD9" w:rsidRPr="00142FD9" w:rsidRDefault="00142FD9" w:rsidP="00142FD9">
            <w:pPr>
              <w:widowControl/>
              <w:adjustRightInd/>
              <w:jc w:val="right"/>
            </w:pPr>
            <w:r w:rsidRPr="00142FD9">
              <w:t>10 339 900</w:t>
            </w:r>
          </w:p>
        </w:tc>
        <w:tc>
          <w:tcPr>
            <w:tcW w:w="1267" w:type="dxa"/>
            <w:noWrap/>
            <w:vAlign w:val="center"/>
          </w:tcPr>
          <w:p w14:paraId="25D2221E" w14:textId="77777777" w:rsidR="00142FD9" w:rsidRPr="00142FD9" w:rsidRDefault="00142FD9" w:rsidP="00142FD9">
            <w:pPr>
              <w:widowControl/>
              <w:adjustRightInd/>
              <w:jc w:val="right"/>
            </w:pPr>
            <w:r w:rsidRPr="00142FD9">
              <w:t>8 895 650</w:t>
            </w:r>
          </w:p>
        </w:tc>
        <w:tc>
          <w:tcPr>
            <w:tcW w:w="1456" w:type="dxa"/>
            <w:noWrap/>
            <w:vAlign w:val="center"/>
          </w:tcPr>
          <w:p w14:paraId="0973A5C7" w14:textId="77777777" w:rsidR="00142FD9" w:rsidRPr="00142FD9" w:rsidRDefault="00142FD9" w:rsidP="00142FD9">
            <w:pPr>
              <w:widowControl/>
              <w:adjustRightInd/>
              <w:jc w:val="right"/>
            </w:pPr>
            <w:r w:rsidRPr="00142FD9">
              <w:t>8 895 650</w:t>
            </w:r>
          </w:p>
        </w:tc>
      </w:tr>
      <w:tr w:rsidR="00142FD9" w:rsidRPr="00142FD9" w14:paraId="3E7E4E37" w14:textId="77777777" w:rsidTr="00142FD9">
        <w:trPr>
          <w:trHeight w:val="70"/>
          <w:jc w:val="center"/>
        </w:trPr>
        <w:tc>
          <w:tcPr>
            <w:tcW w:w="4661" w:type="dxa"/>
            <w:shd w:val="clear" w:color="auto" w:fill="BFBFBF"/>
            <w:noWrap/>
            <w:vAlign w:val="center"/>
          </w:tcPr>
          <w:p w14:paraId="330EDD2F" w14:textId="77777777" w:rsidR="00142FD9" w:rsidRPr="00142FD9" w:rsidRDefault="00142FD9" w:rsidP="00142FD9">
            <w:pPr>
              <w:widowControl/>
              <w:adjustRightInd/>
              <w:rPr>
                <w:b/>
              </w:rPr>
            </w:pPr>
            <w:r w:rsidRPr="00142FD9">
              <w:rPr>
                <w:b/>
              </w:rPr>
              <w:t>Iné ako rozpočtové zdroje</w:t>
            </w:r>
          </w:p>
        </w:tc>
        <w:tc>
          <w:tcPr>
            <w:tcW w:w="1267" w:type="dxa"/>
            <w:shd w:val="clear" w:color="auto" w:fill="BFBFBF"/>
            <w:noWrap/>
            <w:vAlign w:val="center"/>
          </w:tcPr>
          <w:p w14:paraId="5C482E36" w14:textId="77777777" w:rsidR="00142FD9" w:rsidRPr="00142FD9" w:rsidRDefault="00142FD9" w:rsidP="00142FD9">
            <w:pPr>
              <w:widowControl/>
              <w:adjustRightInd/>
              <w:jc w:val="right"/>
              <w:rPr>
                <w:b/>
                <w:bCs/>
              </w:rPr>
            </w:pPr>
            <w:r w:rsidRPr="00142FD9">
              <w:rPr>
                <w:b/>
                <w:bCs/>
              </w:rPr>
              <w:t>0</w:t>
            </w:r>
          </w:p>
        </w:tc>
        <w:tc>
          <w:tcPr>
            <w:tcW w:w="1267" w:type="dxa"/>
            <w:shd w:val="clear" w:color="auto" w:fill="BFBFBF"/>
            <w:noWrap/>
            <w:vAlign w:val="center"/>
          </w:tcPr>
          <w:p w14:paraId="5821BB29" w14:textId="77777777" w:rsidR="00142FD9" w:rsidRPr="00142FD9" w:rsidRDefault="00142FD9" w:rsidP="00142FD9">
            <w:pPr>
              <w:widowControl/>
              <w:adjustRightInd/>
              <w:jc w:val="right"/>
              <w:rPr>
                <w:b/>
                <w:bCs/>
              </w:rPr>
            </w:pPr>
            <w:r w:rsidRPr="00142FD9">
              <w:rPr>
                <w:b/>
                <w:bCs/>
              </w:rPr>
              <w:t>0</w:t>
            </w:r>
          </w:p>
        </w:tc>
        <w:tc>
          <w:tcPr>
            <w:tcW w:w="1267" w:type="dxa"/>
            <w:shd w:val="clear" w:color="auto" w:fill="BFBFBF"/>
            <w:noWrap/>
            <w:vAlign w:val="center"/>
          </w:tcPr>
          <w:p w14:paraId="2116032A" w14:textId="77777777" w:rsidR="00142FD9" w:rsidRPr="00142FD9" w:rsidRDefault="00142FD9" w:rsidP="00142FD9">
            <w:pPr>
              <w:widowControl/>
              <w:adjustRightInd/>
              <w:jc w:val="right"/>
              <w:rPr>
                <w:b/>
                <w:bCs/>
              </w:rPr>
            </w:pPr>
            <w:r w:rsidRPr="00142FD9">
              <w:rPr>
                <w:b/>
                <w:bCs/>
              </w:rPr>
              <w:t>0</w:t>
            </w:r>
          </w:p>
        </w:tc>
        <w:tc>
          <w:tcPr>
            <w:tcW w:w="1456" w:type="dxa"/>
            <w:shd w:val="clear" w:color="auto" w:fill="BFBFBF"/>
            <w:noWrap/>
            <w:vAlign w:val="center"/>
          </w:tcPr>
          <w:p w14:paraId="648431FB" w14:textId="77777777" w:rsidR="00142FD9" w:rsidRPr="00142FD9" w:rsidRDefault="00142FD9" w:rsidP="00142FD9">
            <w:pPr>
              <w:widowControl/>
              <w:adjustRightInd/>
              <w:jc w:val="right"/>
              <w:rPr>
                <w:b/>
                <w:bCs/>
              </w:rPr>
            </w:pPr>
            <w:r w:rsidRPr="00142FD9">
              <w:rPr>
                <w:b/>
                <w:bCs/>
              </w:rPr>
              <w:t>0</w:t>
            </w:r>
          </w:p>
        </w:tc>
      </w:tr>
      <w:tr w:rsidR="00142FD9" w:rsidRPr="00142FD9" w14:paraId="5F90A1D6" w14:textId="77777777" w:rsidTr="00142FD9">
        <w:trPr>
          <w:trHeight w:val="109"/>
          <w:jc w:val="center"/>
        </w:trPr>
        <w:tc>
          <w:tcPr>
            <w:tcW w:w="4661" w:type="dxa"/>
            <w:shd w:val="clear" w:color="auto" w:fill="A6A6A6"/>
            <w:noWrap/>
            <w:vAlign w:val="center"/>
          </w:tcPr>
          <w:p w14:paraId="0E8B5A44" w14:textId="77777777" w:rsidR="00142FD9" w:rsidRPr="00142FD9" w:rsidRDefault="00142FD9" w:rsidP="00142FD9">
            <w:pPr>
              <w:widowControl/>
              <w:adjustRightInd/>
              <w:rPr>
                <w:b/>
                <w:bCs/>
              </w:rPr>
            </w:pPr>
            <w:r w:rsidRPr="00142FD9">
              <w:rPr>
                <w:b/>
                <w:bCs/>
              </w:rPr>
              <w:t>Rozpočtovo nekrytý vplyv / úspora</w:t>
            </w:r>
          </w:p>
        </w:tc>
        <w:tc>
          <w:tcPr>
            <w:tcW w:w="1267" w:type="dxa"/>
            <w:shd w:val="clear" w:color="auto" w:fill="A6A6A6"/>
            <w:noWrap/>
            <w:vAlign w:val="center"/>
          </w:tcPr>
          <w:p w14:paraId="1312A4B8" w14:textId="77777777" w:rsidR="00142FD9" w:rsidRPr="00142FD9" w:rsidRDefault="00142FD9" w:rsidP="00142FD9">
            <w:pPr>
              <w:widowControl/>
              <w:adjustRightInd/>
              <w:jc w:val="right"/>
              <w:rPr>
                <w:b/>
                <w:bCs/>
                <w:highlight w:val="green"/>
              </w:rPr>
            </w:pPr>
            <w:r w:rsidRPr="00142FD9">
              <w:rPr>
                <w:b/>
                <w:bCs/>
              </w:rPr>
              <w:t>0</w:t>
            </w:r>
          </w:p>
        </w:tc>
        <w:tc>
          <w:tcPr>
            <w:tcW w:w="1267" w:type="dxa"/>
            <w:shd w:val="clear" w:color="auto" w:fill="A6A6A6"/>
            <w:noWrap/>
            <w:vAlign w:val="center"/>
          </w:tcPr>
          <w:p w14:paraId="4D45DB4B" w14:textId="77777777" w:rsidR="00142FD9" w:rsidRPr="00142FD9" w:rsidRDefault="00142FD9" w:rsidP="00142FD9">
            <w:pPr>
              <w:widowControl/>
              <w:adjustRightInd/>
              <w:jc w:val="right"/>
              <w:rPr>
                <w:b/>
                <w:bCs/>
                <w:highlight w:val="green"/>
              </w:rPr>
            </w:pPr>
            <w:r w:rsidRPr="00142FD9">
              <w:rPr>
                <w:b/>
                <w:bCs/>
              </w:rPr>
              <w:t>0</w:t>
            </w:r>
          </w:p>
        </w:tc>
        <w:tc>
          <w:tcPr>
            <w:tcW w:w="1267" w:type="dxa"/>
            <w:shd w:val="clear" w:color="auto" w:fill="A6A6A6"/>
            <w:noWrap/>
            <w:vAlign w:val="center"/>
          </w:tcPr>
          <w:p w14:paraId="0BFAABC8" w14:textId="77777777" w:rsidR="00142FD9" w:rsidRPr="00142FD9" w:rsidRDefault="00142FD9" w:rsidP="00142FD9">
            <w:pPr>
              <w:widowControl/>
              <w:adjustRightInd/>
              <w:jc w:val="right"/>
              <w:rPr>
                <w:b/>
                <w:bCs/>
                <w:highlight w:val="green"/>
              </w:rPr>
            </w:pPr>
            <w:r w:rsidRPr="00142FD9">
              <w:rPr>
                <w:b/>
                <w:bCs/>
              </w:rPr>
              <w:t>9 190 900</w:t>
            </w:r>
          </w:p>
        </w:tc>
        <w:tc>
          <w:tcPr>
            <w:tcW w:w="1456" w:type="dxa"/>
            <w:shd w:val="clear" w:color="auto" w:fill="A6A6A6"/>
            <w:noWrap/>
            <w:vAlign w:val="center"/>
          </w:tcPr>
          <w:p w14:paraId="2A9CE1D6" w14:textId="77777777" w:rsidR="00142FD9" w:rsidRPr="00142FD9" w:rsidRDefault="00142FD9" w:rsidP="00142FD9">
            <w:pPr>
              <w:widowControl/>
              <w:adjustRightInd/>
              <w:jc w:val="right"/>
              <w:rPr>
                <w:b/>
                <w:bCs/>
                <w:highlight w:val="green"/>
              </w:rPr>
            </w:pPr>
            <w:r w:rsidRPr="00142FD9">
              <w:rPr>
                <w:b/>
                <w:bCs/>
              </w:rPr>
              <w:t>4 181 590</w:t>
            </w:r>
          </w:p>
        </w:tc>
      </w:tr>
      <w:bookmarkEnd w:id="0"/>
    </w:tbl>
    <w:p w14:paraId="4A9D7971" w14:textId="77777777" w:rsidR="00142FD9" w:rsidRPr="00142FD9" w:rsidRDefault="00142FD9" w:rsidP="00142FD9">
      <w:pPr>
        <w:widowControl/>
        <w:adjustRightInd/>
        <w:rPr>
          <w:b/>
          <w:bCs/>
        </w:rPr>
      </w:pPr>
    </w:p>
    <w:p w14:paraId="1648B0B5" w14:textId="77777777" w:rsidR="00142FD9" w:rsidRPr="00142FD9" w:rsidRDefault="00142FD9" w:rsidP="00142FD9">
      <w:pPr>
        <w:widowControl/>
        <w:adjustRightInd/>
        <w:spacing w:after="200" w:line="276" w:lineRule="auto"/>
        <w:rPr>
          <w:b/>
          <w:bCs/>
        </w:rPr>
      </w:pPr>
      <w:r w:rsidRPr="00142FD9">
        <w:rPr>
          <w:b/>
          <w:bCs/>
        </w:rPr>
        <w:br w:type="page"/>
      </w:r>
    </w:p>
    <w:p w14:paraId="7DAFBC42" w14:textId="77777777" w:rsidR="00142FD9" w:rsidRPr="00142FD9" w:rsidRDefault="00142FD9" w:rsidP="00142FD9">
      <w:pPr>
        <w:widowControl/>
        <w:adjustRightInd/>
        <w:jc w:val="both"/>
        <w:rPr>
          <w:b/>
          <w:bCs/>
        </w:rPr>
      </w:pPr>
      <w:r w:rsidRPr="00142FD9">
        <w:rPr>
          <w:b/>
          <w:bCs/>
        </w:rPr>
        <w:t>2.1.1. Financovanie návrhu - Návrh na riešenie úbytku príjmov alebo zvýšených výdavkov podľa § 33 ods. 1 zákona č. 523/2004 Z. z. o rozpočtových pravidlách verejnej správy:</w:t>
      </w:r>
    </w:p>
    <w:p w14:paraId="59D62C22"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r w:rsidRPr="00142FD9">
        <w:rPr>
          <w:bCs/>
        </w:rPr>
        <w:t xml:space="preserve">Návrh predpokladá financovanie 19 NRO (Lučenec;  Poltár;  Revúca;  Rimavská Sobota;  Kežmarok;  Sabinov;  Svidník;  Vranov nad Topľou;  Rožňava;  Sobrance;  Trebišov;  Stará Ľubovňa;  Košice okolie;  Bardejov;  Levoča;  Medzilaborce;  Gelnica;  Stropkov;  Michalovce) na roky 2021 – 2028, viď. tabuľka č.1. Alokácia potrebná na financovanie návrhu je rovnaká s alokáciou určenou na súčasné alebo už ukončené akčné plány na roky 2016-2023. </w:t>
      </w:r>
    </w:p>
    <w:p w14:paraId="0867ED72"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p>
    <w:p w14:paraId="160CE0C5"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r w:rsidRPr="00142FD9">
        <w:rPr>
          <w:bCs/>
        </w:rPr>
        <w:t xml:space="preserve">Tabuľka č.1   </w:t>
      </w:r>
    </w:p>
    <w:p w14:paraId="07179B72"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r w:rsidRPr="00142FD9">
        <w:rPr>
          <w:rFonts w:ascii="Calibri" w:eastAsia="Calibri" w:hAnsi="Calibri"/>
          <w:noProof/>
          <w:sz w:val="22"/>
          <w:szCs w:val="22"/>
        </w:rPr>
        <w:drawing>
          <wp:inline distT="0" distB="0" distL="0" distR="0" wp14:anchorId="2AFB3619" wp14:editId="02573221">
            <wp:extent cx="2038350" cy="3995527"/>
            <wp:effectExtent l="0" t="0" r="0" b="508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0718" cy="4000169"/>
                    </a:xfrm>
                    <a:prstGeom prst="rect">
                      <a:avLst/>
                    </a:prstGeom>
                    <a:noFill/>
                    <a:ln>
                      <a:noFill/>
                    </a:ln>
                  </pic:spPr>
                </pic:pic>
              </a:graphicData>
            </a:graphic>
          </wp:inline>
        </w:drawing>
      </w:r>
    </w:p>
    <w:p w14:paraId="2FB30888"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p>
    <w:p w14:paraId="025B1204"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r w:rsidRPr="00142FD9">
        <w:rPr>
          <w:bCs/>
        </w:rPr>
        <w:t xml:space="preserve">V návrhu v bode 2.1 doložky vplyvov je aj alokácia, ktorá je rozpočtovo krytá a je určená na dobeh súčasných akčných plánov na roky 2021-2023. </w:t>
      </w:r>
    </w:p>
    <w:p w14:paraId="7ACED74D"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p>
    <w:p w14:paraId="6C26997C"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r w:rsidRPr="00142FD9">
        <w:rPr>
          <w:bCs/>
        </w:rPr>
        <w:t>Výdavky:</w:t>
      </w:r>
    </w:p>
    <w:p w14:paraId="1FDB2C33"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r w:rsidRPr="00142FD9">
        <w:rPr>
          <w:bCs/>
        </w:rPr>
        <w:t>Rozpočtovo nekrytý vplyv na roky 2023 – 2024 bude predmetom rokovania o príprave rozpočtu s MFSR.</w:t>
      </w:r>
    </w:p>
    <w:p w14:paraId="363B67A3"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p>
    <w:p w14:paraId="20039A27"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r w:rsidRPr="00142FD9">
        <w:rPr>
          <w:bCs/>
        </w:rPr>
        <w:t xml:space="preserve">Príjmy: </w:t>
      </w:r>
    </w:p>
    <w:p w14:paraId="453D9E03" w14:textId="77777777" w:rsidR="00142FD9" w:rsidRPr="00142FD9" w:rsidRDefault="00142FD9" w:rsidP="00142FD9">
      <w:pPr>
        <w:widowControl/>
        <w:pBdr>
          <w:top w:val="single" w:sz="4" w:space="1" w:color="auto"/>
          <w:left w:val="single" w:sz="4" w:space="4" w:color="auto"/>
          <w:bottom w:val="single" w:sz="4" w:space="0" w:color="auto"/>
          <w:right w:val="single" w:sz="4" w:space="4" w:color="auto"/>
        </w:pBdr>
        <w:adjustRightInd/>
        <w:jc w:val="both"/>
        <w:rPr>
          <w:bCs/>
        </w:rPr>
      </w:pPr>
      <w:r w:rsidRPr="00142FD9">
        <w:rPr>
          <w:bCs/>
        </w:rPr>
        <w:t>Pri zabezpečení financovania návrhu sa očakávajú pozitívne efekty najmä na strane príjmov štátneho rozpočtu plynúcich z tvorby nových pracovných miest a podpory realizácie investícií. Pôjde predovšetkým o príjmy z priamych daní a nepriamych daní. Zároveň v spojitosti s nárastom zamestnanosti možno očakávať pozitívny vplyv na rozpočet verejnej správy v podobe poklesu výdavkov na podporu sociálne odkázaných domácností v najmenej rozvinutých okresoch. Výšku príjmov v súčasnosti nie je možné vyčísliť.</w:t>
      </w:r>
    </w:p>
    <w:p w14:paraId="67E3BCBE" w14:textId="77777777" w:rsidR="00142FD9" w:rsidRPr="00142FD9" w:rsidRDefault="00142FD9" w:rsidP="00142FD9">
      <w:pPr>
        <w:widowControl/>
        <w:adjustRightInd/>
        <w:rPr>
          <w:b/>
          <w:bCs/>
        </w:rPr>
      </w:pPr>
    </w:p>
    <w:p w14:paraId="26CCB531" w14:textId="77777777" w:rsidR="00142FD9" w:rsidRPr="00142FD9" w:rsidRDefault="00142FD9" w:rsidP="00142FD9">
      <w:pPr>
        <w:widowControl/>
        <w:adjustRightInd/>
        <w:rPr>
          <w:b/>
          <w:bCs/>
        </w:rPr>
      </w:pPr>
    </w:p>
    <w:p w14:paraId="164FEF6C" w14:textId="77777777" w:rsidR="00142FD9" w:rsidRPr="00142FD9" w:rsidRDefault="00142FD9" w:rsidP="00142FD9">
      <w:pPr>
        <w:widowControl/>
        <w:adjustRightInd/>
        <w:rPr>
          <w:b/>
          <w:bCs/>
        </w:rPr>
      </w:pPr>
    </w:p>
    <w:p w14:paraId="13A0B4D0" w14:textId="77777777" w:rsidR="00142FD9" w:rsidRPr="00142FD9" w:rsidRDefault="00142FD9" w:rsidP="00142FD9">
      <w:pPr>
        <w:widowControl/>
        <w:adjustRightInd/>
        <w:rPr>
          <w:b/>
          <w:bCs/>
        </w:rPr>
      </w:pPr>
    </w:p>
    <w:p w14:paraId="17455A58" w14:textId="77777777" w:rsidR="00142FD9" w:rsidRPr="00142FD9" w:rsidRDefault="00142FD9" w:rsidP="00142FD9">
      <w:pPr>
        <w:widowControl/>
        <w:adjustRightInd/>
        <w:rPr>
          <w:b/>
          <w:bCs/>
        </w:rPr>
      </w:pPr>
      <w:r w:rsidRPr="00142FD9">
        <w:rPr>
          <w:b/>
          <w:bCs/>
        </w:rPr>
        <w:t>2.2. Popis a charakteristika návrhu</w:t>
      </w:r>
    </w:p>
    <w:p w14:paraId="5AA7A015" w14:textId="77777777" w:rsidR="00142FD9" w:rsidRPr="00142FD9" w:rsidRDefault="00142FD9" w:rsidP="00142FD9">
      <w:pPr>
        <w:widowControl/>
        <w:adjustRightInd/>
      </w:pPr>
    </w:p>
    <w:p w14:paraId="6BB535B8" w14:textId="77777777" w:rsidR="00142FD9" w:rsidRPr="00142FD9" w:rsidRDefault="00142FD9" w:rsidP="00142FD9">
      <w:pPr>
        <w:widowControl/>
        <w:adjustRightInd/>
        <w:jc w:val="both"/>
        <w:rPr>
          <w:b/>
          <w:bCs/>
        </w:rPr>
      </w:pPr>
      <w:r w:rsidRPr="00142FD9">
        <w:rPr>
          <w:b/>
          <w:bCs/>
        </w:rPr>
        <w:t>2.2.1. Popis návrhu:</w:t>
      </w:r>
    </w:p>
    <w:p w14:paraId="21DAC9DC" w14:textId="77777777" w:rsidR="00142FD9" w:rsidRPr="00142FD9" w:rsidRDefault="00142FD9" w:rsidP="00142FD9">
      <w:pPr>
        <w:widowControl/>
        <w:adjustRightInd/>
        <w:jc w:val="both"/>
        <w:rPr>
          <w:b/>
          <w:bCs/>
          <w:highlight w:val="yellow"/>
        </w:rPr>
      </w:pPr>
    </w:p>
    <w:p w14:paraId="617EB3B1" w14:textId="77777777" w:rsidR="00142FD9" w:rsidRPr="00142FD9" w:rsidRDefault="00142FD9" w:rsidP="00142FD9">
      <w:pPr>
        <w:adjustRightInd/>
        <w:spacing w:line="270" w:lineRule="exact"/>
        <w:ind w:left="64" w:firstLine="644"/>
        <w:jc w:val="both"/>
        <w:rPr>
          <w:sz w:val="22"/>
          <w:szCs w:val="22"/>
          <w:lang w:eastAsia="en-US"/>
        </w:rPr>
      </w:pPr>
      <w:r w:rsidRPr="00142FD9">
        <w:rPr>
          <w:sz w:val="22"/>
          <w:szCs w:val="22"/>
          <w:lang w:eastAsia="en-US"/>
        </w:rPr>
        <w:t>Návrh zákona v rámci plánovania podpory najmenej rozvinutých okresov na Slovensku nahrádza model tvorby abstraktného akčného plánu a na to nadväzujúcich ročných priorít modelom tvorby jedného plánovacieho dokumentu v podobe plánu rozvoja. Rovnako umožňuje tento dokument vytvoriť i pre niekoľko najmenej rozvinutých okresov dohromady v podobe plánu rozvoja najmenej rozvinutého územia, nakoľko rozvojový problém v danom území častokrát presahuje hranice okresu a jeho riešenie je tak potrebné hľadať v kontexte viacerých okresov. Po prijatí novely budú plány rozvoja vychádzať zo strategických dokumentov kraja.</w:t>
      </w:r>
    </w:p>
    <w:p w14:paraId="54C08509" w14:textId="77777777" w:rsidR="00142FD9" w:rsidRPr="00142FD9" w:rsidRDefault="00142FD9" w:rsidP="00142FD9">
      <w:pPr>
        <w:adjustRightInd/>
        <w:spacing w:line="270" w:lineRule="exact"/>
        <w:ind w:left="64" w:firstLine="644"/>
        <w:jc w:val="both"/>
        <w:rPr>
          <w:sz w:val="22"/>
          <w:szCs w:val="22"/>
          <w:lang w:eastAsia="en-US"/>
        </w:rPr>
      </w:pPr>
      <w:r w:rsidRPr="00142FD9">
        <w:rPr>
          <w:sz w:val="22"/>
          <w:szCs w:val="22"/>
          <w:lang w:eastAsia="en-US"/>
        </w:rPr>
        <w:t xml:space="preserve">Novela rovnako nahrádza model prípravy a vyhodnocovania výziev na poskytnutie regionálneho príspevku založeného na odporúčaniach okresných úradov modelom riadiacich výborov. </w:t>
      </w:r>
    </w:p>
    <w:p w14:paraId="78BC8E25" w14:textId="77777777" w:rsidR="00142FD9" w:rsidRPr="00142FD9" w:rsidRDefault="00142FD9" w:rsidP="00142FD9">
      <w:pPr>
        <w:widowControl/>
        <w:adjustRightInd/>
        <w:jc w:val="both"/>
      </w:pPr>
      <w:r w:rsidRPr="00142FD9">
        <w:rPr>
          <w:rFonts w:eastAsia="Calibri"/>
          <w:sz w:val="22"/>
          <w:szCs w:val="22"/>
          <w:lang w:eastAsia="en-US"/>
        </w:rPr>
        <w:t>Predkladaná novela súčasne reflektuje na prechod právomocí i miery zodpovednosti za regionálny rozvoj na MIRRI SR a zakotvuje v prospech tohto ministerstva oprávnenie rozhodovať o poskytnutí regionálneho príspevku. Začiatok realizácia podpory najmenej rozvinutých okresov podľa novely zákona je od roku 2022 na obdobie 5 rokov.</w:t>
      </w:r>
    </w:p>
    <w:p w14:paraId="74A62683" w14:textId="77777777" w:rsidR="00142FD9" w:rsidRPr="00142FD9" w:rsidRDefault="00142FD9" w:rsidP="00142FD9">
      <w:pPr>
        <w:widowControl/>
        <w:adjustRightInd/>
      </w:pPr>
      <w:r w:rsidRPr="00142FD9">
        <w:t>.......................................................................................................................................................</w:t>
      </w:r>
    </w:p>
    <w:p w14:paraId="25206036" w14:textId="77777777" w:rsidR="00142FD9" w:rsidRPr="00142FD9" w:rsidRDefault="00142FD9" w:rsidP="00142FD9">
      <w:pPr>
        <w:widowControl/>
        <w:adjustRightInd/>
      </w:pPr>
    </w:p>
    <w:p w14:paraId="6617AB64" w14:textId="77777777" w:rsidR="00142FD9" w:rsidRPr="00142FD9" w:rsidRDefault="00142FD9" w:rsidP="00142FD9">
      <w:pPr>
        <w:widowControl/>
        <w:adjustRightInd/>
        <w:rPr>
          <w:b/>
          <w:bCs/>
        </w:rPr>
      </w:pPr>
      <w:r w:rsidRPr="00142FD9">
        <w:rPr>
          <w:b/>
          <w:bCs/>
        </w:rPr>
        <w:t>2.2.2. Charakteristika návrhu:</w:t>
      </w:r>
    </w:p>
    <w:p w14:paraId="351708E0" w14:textId="77777777" w:rsidR="00142FD9" w:rsidRPr="00142FD9" w:rsidRDefault="00142FD9" w:rsidP="00142FD9">
      <w:pPr>
        <w:widowControl/>
        <w:adjustRightInd/>
      </w:pPr>
    </w:p>
    <w:p w14:paraId="4FBC4248" w14:textId="77777777" w:rsidR="00142FD9" w:rsidRPr="00142FD9" w:rsidRDefault="00142FD9" w:rsidP="00142FD9">
      <w:pPr>
        <w:widowControl/>
        <w:adjustRightInd/>
      </w:pPr>
      <w:r w:rsidRPr="00142FD9">
        <w:rPr>
          <w:b/>
          <w:bdr w:val="single" w:sz="4" w:space="0" w:color="auto"/>
        </w:rPr>
        <w:t xml:space="preserve">     </w:t>
      </w:r>
      <w:r w:rsidRPr="00142FD9">
        <w:rPr>
          <w:b/>
        </w:rPr>
        <w:t xml:space="preserve">  </w:t>
      </w:r>
      <w:r w:rsidRPr="00142FD9">
        <w:t>zmena sadzby</w:t>
      </w:r>
    </w:p>
    <w:p w14:paraId="044793E2" w14:textId="77777777" w:rsidR="00142FD9" w:rsidRPr="00142FD9" w:rsidRDefault="00142FD9" w:rsidP="00142FD9">
      <w:pPr>
        <w:widowControl/>
        <w:adjustRightInd/>
      </w:pPr>
      <w:r w:rsidRPr="00142FD9">
        <w:rPr>
          <w:bdr w:val="single" w:sz="4" w:space="0" w:color="auto"/>
        </w:rPr>
        <w:t xml:space="preserve">     </w:t>
      </w:r>
      <w:r w:rsidRPr="00142FD9">
        <w:t xml:space="preserve">  zmena v nároku</w:t>
      </w:r>
    </w:p>
    <w:p w14:paraId="490102C4" w14:textId="77777777" w:rsidR="00142FD9" w:rsidRPr="00142FD9" w:rsidRDefault="00142FD9" w:rsidP="00142FD9">
      <w:pPr>
        <w:widowControl/>
        <w:adjustRightInd/>
      </w:pPr>
      <w:r w:rsidRPr="00142FD9">
        <w:rPr>
          <w:bdr w:val="single" w:sz="4" w:space="0" w:color="auto"/>
        </w:rPr>
        <w:t xml:space="preserve">     </w:t>
      </w:r>
      <w:r w:rsidRPr="00142FD9">
        <w:t xml:space="preserve">  nová služba alebo nariadenie (alebo ich zrušenie)</w:t>
      </w:r>
    </w:p>
    <w:p w14:paraId="46D405D9" w14:textId="77777777" w:rsidR="00142FD9" w:rsidRPr="00142FD9" w:rsidRDefault="00142FD9" w:rsidP="00142FD9">
      <w:pPr>
        <w:widowControl/>
        <w:adjustRightInd/>
      </w:pPr>
      <w:r w:rsidRPr="00142FD9">
        <w:rPr>
          <w:bdr w:val="single" w:sz="4" w:space="0" w:color="auto"/>
        </w:rPr>
        <w:t xml:space="preserve">     </w:t>
      </w:r>
      <w:r w:rsidRPr="00142FD9">
        <w:t xml:space="preserve">  kombinovaný návrh</w:t>
      </w:r>
    </w:p>
    <w:p w14:paraId="4EF13E35" w14:textId="77777777" w:rsidR="00142FD9" w:rsidRPr="00142FD9" w:rsidRDefault="00142FD9" w:rsidP="00142FD9">
      <w:pPr>
        <w:widowControl/>
        <w:adjustRightInd/>
      </w:pPr>
      <w:r w:rsidRPr="00142FD9">
        <w:rPr>
          <w:bdr w:val="single" w:sz="4" w:space="0" w:color="auto"/>
        </w:rPr>
        <w:t xml:space="preserve"> x  </w:t>
      </w:r>
      <w:r w:rsidRPr="00142FD9">
        <w:t xml:space="preserve">  iné </w:t>
      </w:r>
    </w:p>
    <w:p w14:paraId="17EC5212" w14:textId="77777777" w:rsidR="00142FD9" w:rsidRPr="00142FD9" w:rsidRDefault="00142FD9" w:rsidP="00142FD9">
      <w:pPr>
        <w:widowControl/>
        <w:adjustRightInd/>
      </w:pPr>
    </w:p>
    <w:p w14:paraId="601535B5" w14:textId="77777777" w:rsidR="00142FD9" w:rsidRPr="00142FD9" w:rsidRDefault="00142FD9" w:rsidP="00142FD9">
      <w:pPr>
        <w:widowControl/>
        <w:adjustRightInd/>
      </w:pPr>
    </w:p>
    <w:p w14:paraId="28BA514C" w14:textId="77777777" w:rsidR="00142FD9" w:rsidRPr="00142FD9" w:rsidRDefault="00142FD9" w:rsidP="00142FD9">
      <w:pPr>
        <w:widowControl/>
        <w:adjustRightInd/>
      </w:pPr>
      <w:r w:rsidRPr="00142FD9">
        <w:rPr>
          <w:b/>
          <w:bCs/>
        </w:rPr>
        <w:t>2.2.3. Predpoklady vývoja objemu aktivít:</w:t>
      </w:r>
    </w:p>
    <w:p w14:paraId="0ECDA3B5" w14:textId="77777777" w:rsidR="00142FD9" w:rsidRPr="00142FD9" w:rsidRDefault="00142FD9" w:rsidP="00142FD9">
      <w:pPr>
        <w:widowControl/>
        <w:adjustRightInd/>
      </w:pPr>
    </w:p>
    <w:p w14:paraId="020E1B18" w14:textId="77777777" w:rsidR="00142FD9" w:rsidRPr="00142FD9" w:rsidRDefault="00142FD9" w:rsidP="00142FD9">
      <w:pPr>
        <w:widowControl/>
        <w:adjustRightInd/>
        <w:ind w:firstLine="708"/>
        <w:jc w:val="both"/>
      </w:pPr>
      <w:r w:rsidRPr="00142FD9">
        <w:t>Jasne popíšte, v prípade potreby použite nižšie uvedenú tabuľku. Uveďte aj odhady základov daní a/alebo poplatkov, ak sa ich táto zmena týka.</w:t>
      </w:r>
    </w:p>
    <w:p w14:paraId="72320E01" w14:textId="77777777" w:rsidR="00142FD9" w:rsidRPr="00142FD9" w:rsidRDefault="00142FD9" w:rsidP="00142FD9">
      <w:pPr>
        <w:widowControl/>
        <w:adjustRightInd/>
        <w:jc w:val="right"/>
        <w:rPr>
          <w:sz w:val="20"/>
          <w:szCs w:val="20"/>
        </w:rPr>
      </w:pPr>
      <w:r w:rsidRPr="00142FD9">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142FD9" w:rsidRPr="00142FD9" w14:paraId="379B080F" w14:textId="77777777" w:rsidTr="00142FD9">
        <w:trPr>
          <w:cantSplit/>
          <w:trHeight w:val="70"/>
        </w:trPr>
        <w:tc>
          <w:tcPr>
            <w:tcW w:w="4530" w:type="dxa"/>
            <w:vMerge w:val="restart"/>
            <w:shd w:val="clear" w:color="auto" w:fill="BFBFBF"/>
            <w:vAlign w:val="center"/>
          </w:tcPr>
          <w:p w14:paraId="0550359A" w14:textId="77777777" w:rsidR="00142FD9" w:rsidRPr="00142FD9" w:rsidRDefault="00142FD9" w:rsidP="00142FD9">
            <w:pPr>
              <w:widowControl/>
              <w:autoSpaceDE w:val="0"/>
              <w:autoSpaceDN w:val="0"/>
              <w:jc w:val="center"/>
              <w:rPr>
                <w:b/>
                <w:bCs/>
              </w:rPr>
            </w:pPr>
            <w:r w:rsidRPr="00142FD9">
              <w:rPr>
                <w:b/>
                <w:bCs/>
              </w:rPr>
              <w:t>Objem aktivít</w:t>
            </w:r>
          </w:p>
        </w:tc>
        <w:tc>
          <w:tcPr>
            <w:tcW w:w="1134" w:type="dxa"/>
            <w:gridSpan w:val="4"/>
            <w:shd w:val="clear" w:color="auto" w:fill="BFBFBF"/>
            <w:vAlign w:val="center"/>
          </w:tcPr>
          <w:p w14:paraId="71251B73" w14:textId="77777777" w:rsidR="00142FD9" w:rsidRPr="00142FD9" w:rsidRDefault="00142FD9" w:rsidP="00142FD9">
            <w:pPr>
              <w:widowControl/>
              <w:autoSpaceDE w:val="0"/>
              <w:autoSpaceDN w:val="0"/>
              <w:jc w:val="center"/>
              <w:rPr>
                <w:b/>
                <w:bCs/>
              </w:rPr>
            </w:pPr>
            <w:r w:rsidRPr="00142FD9">
              <w:rPr>
                <w:b/>
                <w:bCs/>
              </w:rPr>
              <w:t>Odhadované objemy</w:t>
            </w:r>
          </w:p>
        </w:tc>
      </w:tr>
      <w:tr w:rsidR="00142FD9" w:rsidRPr="00142FD9" w14:paraId="0B20C4BD" w14:textId="77777777" w:rsidTr="00142FD9">
        <w:trPr>
          <w:cantSplit/>
          <w:trHeight w:val="70"/>
        </w:trPr>
        <w:tc>
          <w:tcPr>
            <w:tcW w:w="4530" w:type="dxa"/>
            <w:vMerge/>
            <w:shd w:val="clear" w:color="auto" w:fill="BFBFBF"/>
          </w:tcPr>
          <w:p w14:paraId="5190F5E6" w14:textId="77777777" w:rsidR="00142FD9" w:rsidRPr="00142FD9" w:rsidRDefault="00142FD9" w:rsidP="00142FD9">
            <w:pPr>
              <w:widowControl/>
              <w:autoSpaceDE w:val="0"/>
              <w:autoSpaceDN w:val="0"/>
              <w:jc w:val="center"/>
              <w:rPr>
                <w:b/>
                <w:bCs/>
              </w:rPr>
            </w:pPr>
          </w:p>
        </w:tc>
        <w:tc>
          <w:tcPr>
            <w:tcW w:w="1134" w:type="dxa"/>
            <w:shd w:val="clear" w:color="auto" w:fill="BFBFBF"/>
            <w:vAlign w:val="center"/>
          </w:tcPr>
          <w:p w14:paraId="41365936" w14:textId="77777777" w:rsidR="00142FD9" w:rsidRPr="00142FD9" w:rsidRDefault="00142FD9" w:rsidP="00142FD9">
            <w:pPr>
              <w:widowControl/>
              <w:autoSpaceDE w:val="0"/>
              <w:autoSpaceDN w:val="0"/>
              <w:jc w:val="center"/>
              <w:rPr>
                <w:b/>
                <w:bCs/>
              </w:rPr>
            </w:pPr>
            <w:r w:rsidRPr="00142FD9">
              <w:rPr>
                <w:b/>
                <w:bCs/>
              </w:rPr>
              <w:t>r</w:t>
            </w:r>
          </w:p>
        </w:tc>
        <w:tc>
          <w:tcPr>
            <w:tcW w:w="1134" w:type="dxa"/>
            <w:shd w:val="clear" w:color="auto" w:fill="BFBFBF"/>
            <w:vAlign w:val="center"/>
          </w:tcPr>
          <w:p w14:paraId="5D095298" w14:textId="77777777" w:rsidR="00142FD9" w:rsidRPr="00142FD9" w:rsidRDefault="00142FD9" w:rsidP="00142FD9">
            <w:pPr>
              <w:widowControl/>
              <w:autoSpaceDE w:val="0"/>
              <w:autoSpaceDN w:val="0"/>
              <w:jc w:val="center"/>
              <w:rPr>
                <w:b/>
                <w:bCs/>
              </w:rPr>
            </w:pPr>
            <w:r w:rsidRPr="00142FD9">
              <w:rPr>
                <w:b/>
                <w:bCs/>
              </w:rPr>
              <w:t>r + 1</w:t>
            </w:r>
          </w:p>
        </w:tc>
        <w:tc>
          <w:tcPr>
            <w:tcW w:w="1134" w:type="dxa"/>
            <w:shd w:val="clear" w:color="auto" w:fill="BFBFBF"/>
            <w:vAlign w:val="center"/>
          </w:tcPr>
          <w:p w14:paraId="49B2733A" w14:textId="77777777" w:rsidR="00142FD9" w:rsidRPr="00142FD9" w:rsidRDefault="00142FD9" w:rsidP="00142FD9">
            <w:pPr>
              <w:widowControl/>
              <w:autoSpaceDE w:val="0"/>
              <w:autoSpaceDN w:val="0"/>
              <w:jc w:val="center"/>
              <w:rPr>
                <w:b/>
                <w:bCs/>
              </w:rPr>
            </w:pPr>
            <w:r w:rsidRPr="00142FD9">
              <w:rPr>
                <w:b/>
                <w:bCs/>
              </w:rPr>
              <w:t>r + 2</w:t>
            </w:r>
          </w:p>
        </w:tc>
        <w:tc>
          <w:tcPr>
            <w:tcW w:w="1134" w:type="dxa"/>
            <w:shd w:val="clear" w:color="auto" w:fill="BFBFBF"/>
            <w:vAlign w:val="center"/>
          </w:tcPr>
          <w:p w14:paraId="5DFB4206" w14:textId="77777777" w:rsidR="00142FD9" w:rsidRPr="00142FD9" w:rsidRDefault="00142FD9" w:rsidP="00142FD9">
            <w:pPr>
              <w:widowControl/>
              <w:autoSpaceDE w:val="0"/>
              <w:autoSpaceDN w:val="0"/>
              <w:jc w:val="center"/>
              <w:rPr>
                <w:b/>
                <w:bCs/>
              </w:rPr>
            </w:pPr>
            <w:r w:rsidRPr="00142FD9">
              <w:rPr>
                <w:b/>
                <w:bCs/>
              </w:rPr>
              <w:t>r + 3</w:t>
            </w:r>
          </w:p>
        </w:tc>
      </w:tr>
      <w:tr w:rsidR="00142FD9" w:rsidRPr="00142FD9" w14:paraId="78CA9540" w14:textId="77777777" w:rsidTr="00142FD9">
        <w:trPr>
          <w:trHeight w:val="70"/>
        </w:trPr>
        <w:tc>
          <w:tcPr>
            <w:tcW w:w="4530" w:type="dxa"/>
          </w:tcPr>
          <w:p w14:paraId="03283100" w14:textId="77777777" w:rsidR="00142FD9" w:rsidRPr="00142FD9" w:rsidRDefault="00142FD9" w:rsidP="00142FD9">
            <w:pPr>
              <w:widowControl/>
              <w:autoSpaceDE w:val="0"/>
              <w:autoSpaceDN w:val="0"/>
              <w:rPr>
                <w:color w:val="000000"/>
              </w:rPr>
            </w:pPr>
            <w:r w:rsidRPr="00142FD9">
              <w:rPr>
                <w:color w:val="000000"/>
              </w:rPr>
              <w:t>Indikátor ABC</w:t>
            </w:r>
          </w:p>
        </w:tc>
        <w:tc>
          <w:tcPr>
            <w:tcW w:w="1134" w:type="dxa"/>
          </w:tcPr>
          <w:p w14:paraId="37EC722A" w14:textId="77777777" w:rsidR="00142FD9" w:rsidRPr="00142FD9" w:rsidRDefault="00142FD9" w:rsidP="00142FD9">
            <w:pPr>
              <w:widowControl/>
              <w:autoSpaceDE w:val="0"/>
              <w:autoSpaceDN w:val="0"/>
              <w:jc w:val="right"/>
              <w:rPr>
                <w:color w:val="000000"/>
              </w:rPr>
            </w:pPr>
          </w:p>
        </w:tc>
        <w:tc>
          <w:tcPr>
            <w:tcW w:w="1134" w:type="dxa"/>
          </w:tcPr>
          <w:p w14:paraId="04E492B3" w14:textId="77777777" w:rsidR="00142FD9" w:rsidRPr="00142FD9" w:rsidRDefault="00142FD9" w:rsidP="00142FD9">
            <w:pPr>
              <w:widowControl/>
              <w:autoSpaceDE w:val="0"/>
              <w:autoSpaceDN w:val="0"/>
              <w:jc w:val="right"/>
              <w:rPr>
                <w:color w:val="000000"/>
              </w:rPr>
            </w:pPr>
          </w:p>
        </w:tc>
        <w:tc>
          <w:tcPr>
            <w:tcW w:w="1134" w:type="dxa"/>
          </w:tcPr>
          <w:p w14:paraId="4FDC948C" w14:textId="77777777" w:rsidR="00142FD9" w:rsidRPr="00142FD9" w:rsidRDefault="00142FD9" w:rsidP="00142FD9">
            <w:pPr>
              <w:widowControl/>
              <w:autoSpaceDE w:val="0"/>
              <w:autoSpaceDN w:val="0"/>
              <w:jc w:val="right"/>
              <w:rPr>
                <w:color w:val="000000"/>
              </w:rPr>
            </w:pPr>
          </w:p>
        </w:tc>
        <w:tc>
          <w:tcPr>
            <w:tcW w:w="1134" w:type="dxa"/>
          </w:tcPr>
          <w:p w14:paraId="5C3BAF8D" w14:textId="77777777" w:rsidR="00142FD9" w:rsidRPr="00142FD9" w:rsidRDefault="00142FD9" w:rsidP="00142FD9">
            <w:pPr>
              <w:widowControl/>
              <w:autoSpaceDE w:val="0"/>
              <w:autoSpaceDN w:val="0"/>
              <w:jc w:val="right"/>
              <w:rPr>
                <w:color w:val="000000"/>
              </w:rPr>
            </w:pPr>
          </w:p>
        </w:tc>
      </w:tr>
      <w:tr w:rsidR="00142FD9" w:rsidRPr="00142FD9" w14:paraId="4E61A560" w14:textId="77777777" w:rsidTr="00142FD9">
        <w:trPr>
          <w:trHeight w:val="70"/>
        </w:trPr>
        <w:tc>
          <w:tcPr>
            <w:tcW w:w="4530" w:type="dxa"/>
          </w:tcPr>
          <w:p w14:paraId="0ECCC113" w14:textId="77777777" w:rsidR="00142FD9" w:rsidRPr="00142FD9" w:rsidRDefault="00142FD9" w:rsidP="00142FD9">
            <w:pPr>
              <w:widowControl/>
              <w:autoSpaceDE w:val="0"/>
              <w:autoSpaceDN w:val="0"/>
              <w:rPr>
                <w:color w:val="000000"/>
              </w:rPr>
            </w:pPr>
            <w:r w:rsidRPr="00142FD9">
              <w:rPr>
                <w:color w:val="000000"/>
              </w:rPr>
              <w:t>Indikátor KLM</w:t>
            </w:r>
          </w:p>
        </w:tc>
        <w:tc>
          <w:tcPr>
            <w:tcW w:w="1134" w:type="dxa"/>
          </w:tcPr>
          <w:p w14:paraId="60179D17" w14:textId="77777777" w:rsidR="00142FD9" w:rsidRPr="00142FD9" w:rsidRDefault="00142FD9" w:rsidP="00142FD9">
            <w:pPr>
              <w:widowControl/>
              <w:autoSpaceDE w:val="0"/>
              <w:autoSpaceDN w:val="0"/>
              <w:jc w:val="right"/>
              <w:rPr>
                <w:color w:val="000000"/>
              </w:rPr>
            </w:pPr>
          </w:p>
        </w:tc>
        <w:tc>
          <w:tcPr>
            <w:tcW w:w="1134" w:type="dxa"/>
          </w:tcPr>
          <w:p w14:paraId="04F25520" w14:textId="77777777" w:rsidR="00142FD9" w:rsidRPr="00142FD9" w:rsidRDefault="00142FD9" w:rsidP="00142FD9">
            <w:pPr>
              <w:widowControl/>
              <w:autoSpaceDE w:val="0"/>
              <w:autoSpaceDN w:val="0"/>
              <w:jc w:val="right"/>
              <w:rPr>
                <w:color w:val="000000"/>
              </w:rPr>
            </w:pPr>
          </w:p>
        </w:tc>
        <w:tc>
          <w:tcPr>
            <w:tcW w:w="1134" w:type="dxa"/>
          </w:tcPr>
          <w:p w14:paraId="5FB850F7" w14:textId="77777777" w:rsidR="00142FD9" w:rsidRPr="00142FD9" w:rsidRDefault="00142FD9" w:rsidP="00142FD9">
            <w:pPr>
              <w:widowControl/>
              <w:autoSpaceDE w:val="0"/>
              <w:autoSpaceDN w:val="0"/>
              <w:jc w:val="right"/>
              <w:rPr>
                <w:color w:val="000000"/>
              </w:rPr>
            </w:pPr>
          </w:p>
        </w:tc>
        <w:tc>
          <w:tcPr>
            <w:tcW w:w="1134" w:type="dxa"/>
          </w:tcPr>
          <w:p w14:paraId="3D06F13E" w14:textId="77777777" w:rsidR="00142FD9" w:rsidRPr="00142FD9" w:rsidRDefault="00142FD9" w:rsidP="00142FD9">
            <w:pPr>
              <w:widowControl/>
              <w:autoSpaceDE w:val="0"/>
              <w:autoSpaceDN w:val="0"/>
              <w:jc w:val="right"/>
              <w:rPr>
                <w:color w:val="000000"/>
              </w:rPr>
            </w:pPr>
          </w:p>
        </w:tc>
      </w:tr>
      <w:tr w:rsidR="00142FD9" w:rsidRPr="00142FD9" w14:paraId="07D1D19E" w14:textId="77777777" w:rsidTr="00142FD9">
        <w:trPr>
          <w:trHeight w:val="70"/>
        </w:trPr>
        <w:tc>
          <w:tcPr>
            <w:tcW w:w="4530" w:type="dxa"/>
          </w:tcPr>
          <w:p w14:paraId="13122327" w14:textId="77777777" w:rsidR="00142FD9" w:rsidRPr="00142FD9" w:rsidRDefault="00142FD9" w:rsidP="00142FD9">
            <w:pPr>
              <w:widowControl/>
              <w:autoSpaceDE w:val="0"/>
              <w:autoSpaceDN w:val="0"/>
              <w:rPr>
                <w:color w:val="000000"/>
              </w:rPr>
            </w:pPr>
            <w:r w:rsidRPr="00142FD9">
              <w:rPr>
                <w:color w:val="000000"/>
              </w:rPr>
              <w:t>Indikátor XYZ</w:t>
            </w:r>
          </w:p>
        </w:tc>
        <w:tc>
          <w:tcPr>
            <w:tcW w:w="1134" w:type="dxa"/>
          </w:tcPr>
          <w:p w14:paraId="39DB4963" w14:textId="77777777" w:rsidR="00142FD9" w:rsidRPr="00142FD9" w:rsidRDefault="00142FD9" w:rsidP="00142FD9">
            <w:pPr>
              <w:widowControl/>
              <w:autoSpaceDE w:val="0"/>
              <w:autoSpaceDN w:val="0"/>
              <w:jc w:val="right"/>
              <w:rPr>
                <w:color w:val="000000"/>
              </w:rPr>
            </w:pPr>
          </w:p>
        </w:tc>
        <w:tc>
          <w:tcPr>
            <w:tcW w:w="1134" w:type="dxa"/>
          </w:tcPr>
          <w:p w14:paraId="2C9B39FA" w14:textId="77777777" w:rsidR="00142FD9" w:rsidRPr="00142FD9" w:rsidRDefault="00142FD9" w:rsidP="00142FD9">
            <w:pPr>
              <w:widowControl/>
              <w:autoSpaceDE w:val="0"/>
              <w:autoSpaceDN w:val="0"/>
              <w:jc w:val="right"/>
              <w:rPr>
                <w:color w:val="000000"/>
              </w:rPr>
            </w:pPr>
          </w:p>
        </w:tc>
        <w:tc>
          <w:tcPr>
            <w:tcW w:w="1134" w:type="dxa"/>
          </w:tcPr>
          <w:p w14:paraId="5A0BEB95" w14:textId="77777777" w:rsidR="00142FD9" w:rsidRPr="00142FD9" w:rsidRDefault="00142FD9" w:rsidP="00142FD9">
            <w:pPr>
              <w:widowControl/>
              <w:autoSpaceDE w:val="0"/>
              <w:autoSpaceDN w:val="0"/>
              <w:jc w:val="right"/>
              <w:rPr>
                <w:color w:val="000000"/>
              </w:rPr>
            </w:pPr>
          </w:p>
        </w:tc>
        <w:tc>
          <w:tcPr>
            <w:tcW w:w="1134" w:type="dxa"/>
          </w:tcPr>
          <w:p w14:paraId="1659A313" w14:textId="77777777" w:rsidR="00142FD9" w:rsidRPr="00142FD9" w:rsidRDefault="00142FD9" w:rsidP="00142FD9">
            <w:pPr>
              <w:widowControl/>
              <w:autoSpaceDE w:val="0"/>
              <w:autoSpaceDN w:val="0"/>
              <w:jc w:val="right"/>
              <w:rPr>
                <w:color w:val="000000"/>
              </w:rPr>
            </w:pPr>
          </w:p>
        </w:tc>
      </w:tr>
    </w:tbl>
    <w:p w14:paraId="17635957" w14:textId="77777777" w:rsidR="00142FD9" w:rsidRPr="00142FD9" w:rsidRDefault="00142FD9" w:rsidP="00142FD9">
      <w:pPr>
        <w:widowControl/>
        <w:adjustRightInd/>
      </w:pPr>
    </w:p>
    <w:p w14:paraId="59672842" w14:textId="77777777" w:rsidR="00142FD9" w:rsidRPr="00142FD9" w:rsidRDefault="00142FD9" w:rsidP="00142FD9">
      <w:pPr>
        <w:widowControl/>
        <w:adjustRightInd/>
      </w:pPr>
    </w:p>
    <w:p w14:paraId="65805B05" w14:textId="77777777" w:rsidR="00142FD9" w:rsidRPr="00142FD9" w:rsidRDefault="00142FD9" w:rsidP="00142FD9">
      <w:pPr>
        <w:widowControl/>
        <w:adjustRightInd/>
        <w:rPr>
          <w:b/>
          <w:bCs/>
        </w:rPr>
      </w:pPr>
    </w:p>
    <w:p w14:paraId="0830B001" w14:textId="77777777" w:rsidR="00142FD9" w:rsidRPr="00142FD9" w:rsidRDefault="00142FD9" w:rsidP="00142FD9">
      <w:pPr>
        <w:widowControl/>
        <w:adjustRightInd/>
        <w:rPr>
          <w:b/>
          <w:bCs/>
        </w:rPr>
      </w:pPr>
    </w:p>
    <w:p w14:paraId="4EDCBA07" w14:textId="77777777" w:rsidR="00142FD9" w:rsidRPr="00142FD9" w:rsidRDefault="00142FD9" w:rsidP="00142FD9">
      <w:pPr>
        <w:widowControl/>
        <w:adjustRightInd/>
        <w:rPr>
          <w:b/>
          <w:bCs/>
        </w:rPr>
      </w:pPr>
      <w:r w:rsidRPr="00142FD9">
        <w:rPr>
          <w:b/>
          <w:bCs/>
        </w:rPr>
        <w:t>2.2.4. Výpočty vplyvov na verejné financie</w:t>
      </w:r>
    </w:p>
    <w:p w14:paraId="04D98A12" w14:textId="77777777" w:rsidR="00142FD9" w:rsidRPr="00142FD9" w:rsidRDefault="00142FD9" w:rsidP="00142FD9">
      <w:pPr>
        <w:widowControl/>
        <w:adjustRightInd/>
      </w:pPr>
    </w:p>
    <w:p w14:paraId="28927AC1" w14:textId="77777777" w:rsidR="00142FD9" w:rsidRPr="00142FD9" w:rsidRDefault="00142FD9" w:rsidP="00142FD9">
      <w:pPr>
        <w:widowControl/>
        <w:adjustRightInd/>
        <w:ind w:firstLine="708"/>
        <w:jc w:val="both"/>
      </w:pPr>
      <w:r w:rsidRPr="00142FD9">
        <w:t xml:space="preserve">Pozitívne efekty sa predpokladajú najmä na strane príjmov štátneho rozpočtu plynúcich z tvorby nových pracovných miest a podpory realizácie investícií. Pôjde predovšetkým o príjmy z priamych daní a nepriamych daní. Zároveň v spojitosti s nárastom zamestnanosti možno očakávať pozitívny vplyv na rozpočet verejnej správy v podobe poklesu výdavkov na podporu sociálne odkázaných domácností v najmenej rozvinutých okresoch. Od roku 2016 bolo podporených celkovo 917 subjektov v celkovej výške 62,5 mil. eur, z toho 335 podnikateľských subjektov, v celkovej výške takmer 21, 1 mil. eur. Podporené projekty vytvorili približne 1300 pracovných miest, z toho 830 pracovných miest vzniklo u podnikateľských subjektov. </w:t>
      </w:r>
    </w:p>
    <w:p w14:paraId="167C0A05" w14:textId="77777777" w:rsidR="00142FD9" w:rsidRPr="00142FD9" w:rsidRDefault="00142FD9" w:rsidP="00142FD9">
      <w:pPr>
        <w:widowControl/>
        <w:adjustRightInd/>
        <w:ind w:firstLine="708"/>
        <w:jc w:val="both"/>
      </w:pPr>
      <w:r w:rsidRPr="00142FD9">
        <w:t>Pri výpočte vplyvov na verejné financie sa vychádzalo z predpokladu, že plán rozvoja bude spracovaný pre devätnásť najmenej rozvinutých okresov, ktoré v súčasnosti spĺňajú kritériá na poskytnutie podpory podľa navrhovaného znenia zákona. Celková výška regionálneho príspevku rozpočtovaná na podporu implementácie plánov rozvoja podľa navrhovaného znenia zákona počas piatich rozpočtových rokov je rovnaká, ako bola stanovená na realizáciu akčných plánov podľa pôvodného znenia zákona, t. j. 67,4 mil. eur. Rozloženie alokácie medzi jednotlivé najmenej rozvinuté okresy bolo stanovené výpočtom, ktorý pozostával z fixnej a variabilnej zložky. Fixná zložka tvorí 40 % celkovej alokácie (27 mil. eur) a je rovnaká pre každý najmenej rozvinutý okres (cca 1,41 mil. eur). Variabilná zložka tvorí 60 % celkovej alokácie (40,4 mil. eur) a pre každý najmenej rozvinutý okres je stanovená ako podiel počtu uchádzačov o zamestnanie</w:t>
      </w:r>
      <w:r w:rsidRPr="00142FD9">
        <w:rPr>
          <w:vertAlign w:val="superscript"/>
        </w:rPr>
        <w:footnoteReference w:id="1"/>
      </w:r>
      <w:r w:rsidRPr="00142FD9">
        <w:t xml:space="preserve"> v okrese z celkového počtu uchádzačov o zamestnanie vo všetkých najmenej rozvinutých okresoch k decembru 2020. Výsledná alokácia pre jednotlivé okresy je následne rozdelená do piatich rokov implementácie plánov rozvoja.</w:t>
      </w:r>
    </w:p>
    <w:p w14:paraId="2F99155E" w14:textId="77777777" w:rsidR="00142FD9" w:rsidRPr="00142FD9" w:rsidRDefault="00142FD9" w:rsidP="00142FD9">
      <w:pPr>
        <w:widowControl/>
        <w:adjustRightInd/>
        <w:jc w:val="both"/>
      </w:pPr>
    </w:p>
    <w:p w14:paraId="1ED58FCA" w14:textId="77777777" w:rsidR="00142FD9" w:rsidRPr="00142FD9" w:rsidRDefault="00142FD9" w:rsidP="00142FD9">
      <w:pPr>
        <w:widowControl/>
        <w:tabs>
          <w:tab w:val="num" w:pos="1080"/>
        </w:tabs>
        <w:adjustRightInd/>
        <w:jc w:val="both"/>
        <w:rPr>
          <w:bCs/>
        </w:rPr>
      </w:pPr>
    </w:p>
    <w:p w14:paraId="01FA0DA8" w14:textId="77777777" w:rsidR="00142FD9" w:rsidRPr="00142FD9" w:rsidRDefault="00142FD9" w:rsidP="00142FD9">
      <w:pPr>
        <w:widowControl/>
        <w:tabs>
          <w:tab w:val="num" w:pos="1080"/>
        </w:tabs>
        <w:adjustRightInd/>
        <w:jc w:val="both"/>
        <w:rPr>
          <w:bCs/>
        </w:rPr>
      </w:pPr>
    </w:p>
    <w:p w14:paraId="70EA8E44" w14:textId="77777777" w:rsidR="00142FD9" w:rsidRPr="00142FD9" w:rsidRDefault="00142FD9" w:rsidP="00142FD9">
      <w:pPr>
        <w:widowControl/>
        <w:tabs>
          <w:tab w:val="num" w:pos="1080"/>
        </w:tabs>
        <w:adjustRightInd/>
        <w:jc w:val="both"/>
        <w:rPr>
          <w:bCs/>
        </w:rPr>
      </w:pPr>
    </w:p>
    <w:p w14:paraId="7160B54C" w14:textId="77777777" w:rsidR="00142FD9" w:rsidRPr="00142FD9" w:rsidRDefault="00142FD9" w:rsidP="00142FD9">
      <w:pPr>
        <w:widowControl/>
        <w:tabs>
          <w:tab w:val="num" w:pos="1080"/>
        </w:tabs>
        <w:adjustRightInd/>
        <w:jc w:val="both"/>
        <w:rPr>
          <w:bCs/>
          <w:szCs w:val="20"/>
        </w:rPr>
      </w:pPr>
    </w:p>
    <w:p w14:paraId="2618196D" w14:textId="77777777" w:rsidR="00142FD9" w:rsidRPr="00142FD9" w:rsidRDefault="00142FD9" w:rsidP="00142FD9">
      <w:pPr>
        <w:widowControl/>
        <w:tabs>
          <w:tab w:val="num" w:pos="1080"/>
        </w:tabs>
        <w:adjustRightInd/>
        <w:jc w:val="both"/>
        <w:rPr>
          <w:bCs/>
          <w:szCs w:val="20"/>
        </w:rPr>
      </w:pPr>
    </w:p>
    <w:p w14:paraId="059424F8" w14:textId="77777777" w:rsidR="00142FD9" w:rsidRPr="00142FD9" w:rsidRDefault="00142FD9" w:rsidP="00142FD9">
      <w:pPr>
        <w:widowControl/>
        <w:tabs>
          <w:tab w:val="num" w:pos="1080"/>
        </w:tabs>
        <w:adjustRightInd/>
        <w:jc w:val="both"/>
        <w:rPr>
          <w:bCs/>
          <w:szCs w:val="20"/>
        </w:rPr>
      </w:pPr>
    </w:p>
    <w:p w14:paraId="1F5B04AE" w14:textId="77777777" w:rsidR="00142FD9" w:rsidRPr="00142FD9" w:rsidRDefault="00142FD9" w:rsidP="00142FD9">
      <w:pPr>
        <w:widowControl/>
        <w:tabs>
          <w:tab w:val="num" w:pos="1080"/>
        </w:tabs>
        <w:adjustRightInd/>
        <w:jc w:val="both"/>
        <w:rPr>
          <w:bCs/>
          <w:szCs w:val="20"/>
        </w:rPr>
        <w:sectPr w:rsidR="00142FD9" w:rsidRPr="00142FD9" w:rsidSect="00C40CC4">
          <w:headerReference w:type="even" r:id="rId26"/>
          <w:footerReference w:type="even" r:id="rId27"/>
          <w:footerReference w:type="default" r:id="rId28"/>
          <w:headerReference w:type="first" r:id="rId29"/>
          <w:footerReference w:type="first" r:id="rId30"/>
          <w:pgSz w:w="11906" w:h="16838"/>
          <w:pgMar w:top="1417" w:right="1417" w:bottom="1276" w:left="1417" w:header="708" w:footer="708" w:gutter="0"/>
          <w:cols w:space="708"/>
          <w:docGrid w:linePitch="360"/>
        </w:sectPr>
      </w:pPr>
    </w:p>
    <w:p w14:paraId="01CF3EBD" w14:textId="77777777" w:rsidR="00142FD9" w:rsidRPr="00142FD9" w:rsidRDefault="00142FD9" w:rsidP="00142FD9">
      <w:pPr>
        <w:widowControl/>
        <w:tabs>
          <w:tab w:val="num" w:pos="1080"/>
        </w:tabs>
        <w:adjustRightInd/>
        <w:jc w:val="right"/>
        <w:rPr>
          <w:bCs/>
        </w:rPr>
      </w:pPr>
      <w:r w:rsidRPr="00142FD9">
        <w:rPr>
          <w:bCs/>
        </w:rPr>
        <w:t xml:space="preserve">Tabuľka č. 3 </w:t>
      </w:r>
    </w:p>
    <w:p w14:paraId="06A67CA1" w14:textId="77777777" w:rsidR="00142FD9" w:rsidRPr="00142FD9" w:rsidRDefault="00142FD9" w:rsidP="00142FD9">
      <w:pPr>
        <w:widowControl/>
        <w:tabs>
          <w:tab w:val="num" w:pos="1080"/>
        </w:tabs>
        <w:adjustRightInd/>
        <w:jc w:val="both"/>
        <w:rPr>
          <w:bCs/>
          <w:szCs w:val="20"/>
        </w:rPr>
      </w:pPr>
    </w:p>
    <w:tbl>
      <w:tblPr>
        <w:tblpPr w:leftFromText="141" w:rightFromText="141" w:horzAnchor="margin" w:tblpXSpec="center" w:tblpY="533"/>
        <w:tblW w:w="10627" w:type="dxa"/>
        <w:tblCellMar>
          <w:left w:w="70" w:type="dxa"/>
          <w:right w:w="70" w:type="dxa"/>
        </w:tblCellMar>
        <w:tblLook w:val="0000" w:firstRow="0" w:lastRow="0" w:firstColumn="0" w:lastColumn="0" w:noHBand="0" w:noVBand="0"/>
      </w:tblPr>
      <w:tblGrid>
        <w:gridCol w:w="3741"/>
        <w:gridCol w:w="1133"/>
        <w:gridCol w:w="1133"/>
        <w:gridCol w:w="1133"/>
        <w:gridCol w:w="1136"/>
        <w:gridCol w:w="2351"/>
      </w:tblGrid>
      <w:tr w:rsidR="00142FD9" w:rsidRPr="00142FD9" w14:paraId="4327C223" w14:textId="77777777" w:rsidTr="0016331A">
        <w:trPr>
          <w:cantSplit/>
          <w:trHeight w:val="195"/>
        </w:trPr>
        <w:tc>
          <w:tcPr>
            <w:tcW w:w="374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C07E729" w14:textId="77777777" w:rsidR="00142FD9" w:rsidRPr="00142FD9" w:rsidRDefault="00142FD9" w:rsidP="0016331A">
            <w:pPr>
              <w:widowControl/>
              <w:adjustRightInd/>
              <w:ind w:left="-75"/>
              <w:jc w:val="center"/>
              <w:rPr>
                <w:b/>
                <w:bCs/>
              </w:rPr>
            </w:pPr>
            <w:r w:rsidRPr="00142FD9">
              <w:rPr>
                <w:b/>
                <w:bCs/>
              </w:rPr>
              <w:t>Príjmy (v eurách)</w:t>
            </w:r>
          </w:p>
        </w:tc>
        <w:tc>
          <w:tcPr>
            <w:tcW w:w="4535" w:type="dxa"/>
            <w:gridSpan w:val="4"/>
            <w:tcBorders>
              <w:top w:val="single" w:sz="4" w:space="0" w:color="auto"/>
              <w:left w:val="nil"/>
              <w:bottom w:val="single" w:sz="4" w:space="0" w:color="auto"/>
              <w:right w:val="single" w:sz="4" w:space="0" w:color="auto"/>
            </w:tcBorders>
            <w:shd w:val="clear" w:color="auto" w:fill="BFBFBF"/>
          </w:tcPr>
          <w:p w14:paraId="163BE2FC" w14:textId="77777777" w:rsidR="00142FD9" w:rsidRPr="00142FD9" w:rsidRDefault="00142FD9" w:rsidP="00142FD9">
            <w:pPr>
              <w:widowControl/>
              <w:adjustRightInd/>
              <w:jc w:val="center"/>
              <w:rPr>
                <w:b/>
                <w:bCs/>
              </w:rPr>
            </w:pPr>
            <w:r w:rsidRPr="00142FD9">
              <w:rPr>
                <w:b/>
                <w:bCs/>
              </w:rPr>
              <w:t>Vplyv na rozpočet verejnej správy</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127F9299" w14:textId="77777777" w:rsidR="00142FD9" w:rsidRPr="00142FD9" w:rsidRDefault="00142FD9" w:rsidP="00142FD9">
            <w:pPr>
              <w:widowControl/>
              <w:adjustRightInd/>
              <w:jc w:val="center"/>
              <w:rPr>
                <w:b/>
                <w:bCs/>
              </w:rPr>
            </w:pPr>
            <w:r w:rsidRPr="00142FD9">
              <w:rPr>
                <w:b/>
                <w:bCs/>
              </w:rPr>
              <w:t>poznámka</w:t>
            </w:r>
          </w:p>
        </w:tc>
      </w:tr>
      <w:tr w:rsidR="00142FD9" w:rsidRPr="00142FD9" w14:paraId="5756E2F3" w14:textId="77777777" w:rsidTr="0016331A">
        <w:trPr>
          <w:cantSplit/>
          <w:trHeight w:val="195"/>
        </w:trPr>
        <w:tc>
          <w:tcPr>
            <w:tcW w:w="3741" w:type="dxa"/>
            <w:vMerge/>
            <w:tcBorders>
              <w:top w:val="single" w:sz="4" w:space="0" w:color="auto"/>
              <w:left w:val="single" w:sz="4" w:space="0" w:color="auto"/>
              <w:bottom w:val="single" w:sz="4" w:space="0" w:color="auto"/>
              <w:right w:val="single" w:sz="4" w:space="0" w:color="auto"/>
            </w:tcBorders>
            <w:vAlign w:val="center"/>
          </w:tcPr>
          <w:p w14:paraId="674F8849" w14:textId="77777777" w:rsidR="00142FD9" w:rsidRPr="00142FD9" w:rsidRDefault="00142FD9" w:rsidP="00142FD9">
            <w:pPr>
              <w:widowControl/>
              <w:adjustRightInd/>
              <w:rPr>
                <w:b/>
                <w:bCs/>
                <w:color w:val="FFFFFF"/>
              </w:rPr>
            </w:pPr>
          </w:p>
        </w:tc>
        <w:tc>
          <w:tcPr>
            <w:tcW w:w="1133" w:type="dxa"/>
            <w:tcBorders>
              <w:top w:val="nil"/>
              <w:left w:val="nil"/>
              <w:bottom w:val="single" w:sz="4" w:space="0" w:color="auto"/>
              <w:right w:val="single" w:sz="4" w:space="0" w:color="auto"/>
            </w:tcBorders>
            <w:shd w:val="clear" w:color="auto" w:fill="BFBFBF"/>
          </w:tcPr>
          <w:p w14:paraId="712C54F9" w14:textId="77777777" w:rsidR="00142FD9" w:rsidRPr="00142FD9" w:rsidRDefault="00142FD9" w:rsidP="00142FD9">
            <w:pPr>
              <w:widowControl/>
              <w:adjustRightInd/>
              <w:jc w:val="center"/>
              <w:rPr>
                <w:b/>
                <w:bCs/>
              </w:rPr>
            </w:pPr>
            <w:r w:rsidRPr="00142FD9">
              <w:rPr>
                <w:b/>
                <w:bCs/>
              </w:rPr>
              <w:t>r</w:t>
            </w:r>
          </w:p>
        </w:tc>
        <w:tc>
          <w:tcPr>
            <w:tcW w:w="1133" w:type="dxa"/>
            <w:tcBorders>
              <w:top w:val="nil"/>
              <w:left w:val="nil"/>
              <w:bottom w:val="single" w:sz="4" w:space="0" w:color="auto"/>
              <w:right w:val="single" w:sz="4" w:space="0" w:color="auto"/>
            </w:tcBorders>
            <w:shd w:val="clear" w:color="auto" w:fill="BFBFBF"/>
          </w:tcPr>
          <w:p w14:paraId="4CC4C958" w14:textId="77777777" w:rsidR="00142FD9" w:rsidRPr="00142FD9" w:rsidRDefault="00142FD9" w:rsidP="00142FD9">
            <w:pPr>
              <w:widowControl/>
              <w:adjustRightInd/>
              <w:jc w:val="center"/>
              <w:rPr>
                <w:b/>
                <w:bCs/>
              </w:rPr>
            </w:pPr>
            <w:r w:rsidRPr="00142FD9">
              <w:rPr>
                <w:b/>
                <w:bCs/>
              </w:rPr>
              <w:t>r + 1</w:t>
            </w:r>
          </w:p>
        </w:tc>
        <w:tc>
          <w:tcPr>
            <w:tcW w:w="1133" w:type="dxa"/>
            <w:tcBorders>
              <w:top w:val="nil"/>
              <w:left w:val="nil"/>
              <w:bottom w:val="single" w:sz="4" w:space="0" w:color="auto"/>
              <w:right w:val="single" w:sz="4" w:space="0" w:color="auto"/>
            </w:tcBorders>
            <w:shd w:val="clear" w:color="auto" w:fill="BFBFBF"/>
          </w:tcPr>
          <w:p w14:paraId="346D1C98" w14:textId="77777777" w:rsidR="00142FD9" w:rsidRPr="00142FD9" w:rsidRDefault="00142FD9" w:rsidP="00142FD9">
            <w:pPr>
              <w:widowControl/>
              <w:adjustRightInd/>
              <w:jc w:val="center"/>
              <w:rPr>
                <w:b/>
                <w:bCs/>
              </w:rPr>
            </w:pPr>
            <w:r w:rsidRPr="00142FD9">
              <w:rPr>
                <w:b/>
                <w:bCs/>
              </w:rPr>
              <w:t>r + 2</w:t>
            </w:r>
          </w:p>
        </w:tc>
        <w:tc>
          <w:tcPr>
            <w:tcW w:w="1136" w:type="dxa"/>
            <w:tcBorders>
              <w:top w:val="nil"/>
              <w:left w:val="nil"/>
              <w:bottom w:val="single" w:sz="4" w:space="0" w:color="auto"/>
              <w:right w:val="single" w:sz="4" w:space="0" w:color="auto"/>
            </w:tcBorders>
            <w:shd w:val="clear" w:color="auto" w:fill="BFBFBF"/>
          </w:tcPr>
          <w:p w14:paraId="58EED513" w14:textId="77777777" w:rsidR="00142FD9" w:rsidRPr="00142FD9" w:rsidRDefault="00142FD9" w:rsidP="00142FD9">
            <w:pPr>
              <w:widowControl/>
              <w:adjustRightInd/>
              <w:jc w:val="center"/>
              <w:rPr>
                <w:b/>
                <w:bCs/>
              </w:rPr>
            </w:pPr>
            <w:r w:rsidRPr="00142FD9">
              <w:rPr>
                <w:b/>
                <w:bCs/>
              </w:rPr>
              <w:t>r + 3</w:t>
            </w:r>
          </w:p>
        </w:tc>
        <w:tc>
          <w:tcPr>
            <w:tcW w:w="2351" w:type="dxa"/>
            <w:vMerge/>
            <w:tcBorders>
              <w:top w:val="single" w:sz="4" w:space="0" w:color="auto"/>
              <w:left w:val="single" w:sz="4" w:space="0" w:color="auto"/>
              <w:bottom w:val="single" w:sz="4" w:space="0" w:color="auto"/>
              <w:right w:val="single" w:sz="4" w:space="0" w:color="auto"/>
            </w:tcBorders>
            <w:vAlign w:val="center"/>
          </w:tcPr>
          <w:p w14:paraId="5D711C48" w14:textId="77777777" w:rsidR="00142FD9" w:rsidRPr="00142FD9" w:rsidRDefault="00142FD9" w:rsidP="00142FD9">
            <w:pPr>
              <w:widowControl/>
              <w:adjustRightInd/>
              <w:rPr>
                <w:b/>
                <w:bCs/>
                <w:color w:val="FFFFFF"/>
              </w:rPr>
            </w:pPr>
          </w:p>
        </w:tc>
      </w:tr>
      <w:tr w:rsidR="00142FD9" w:rsidRPr="00142FD9" w14:paraId="56AF4C2A" w14:textId="77777777" w:rsidTr="0016331A">
        <w:trPr>
          <w:trHeight w:val="195"/>
        </w:trPr>
        <w:tc>
          <w:tcPr>
            <w:tcW w:w="3741" w:type="dxa"/>
            <w:tcBorders>
              <w:top w:val="nil"/>
              <w:left w:val="single" w:sz="4" w:space="0" w:color="auto"/>
              <w:bottom w:val="single" w:sz="4" w:space="0" w:color="auto"/>
              <w:right w:val="single" w:sz="4" w:space="0" w:color="auto"/>
            </w:tcBorders>
          </w:tcPr>
          <w:p w14:paraId="3B4D7A97" w14:textId="77777777" w:rsidR="00142FD9" w:rsidRPr="00142FD9" w:rsidRDefault="00142FD9" w:rsidP="00142FD9">
            <w:pPr>
              <w:widowControl/>
              <w:adjustRightInd/>
              <w:rPr>
                <w:b/>
                <w:bCs/>
                <w:vertAlign w:val="superscript"/>
              </w:rPr>
            </w:pPr>
            <w:r w:rsidRPr="00142FD9">
              <w:rPr>
                <w:b/>
                <w:bCs/>
              </w:rPr>
              <w:t>Daňové príjmy (100)</w:t>
            </w:r>
            <w:r w:rsidRPr="00142FD9">
              <w:rPr>
                <w:b/>
                <w:bCs/>
                <w:vertAlign w:val="superscript"/>
              </w:rPr>
              <w:t>1</w:t>
            </w:r>
          </w:p>
        </w:tc>
        <w:tc>
          <w:tcPr>
            <w:tcW w:w="1133" w:type="dxa"/>
            <w:tcBorders>
              <w:top w:val="nil"/>
              <w:left w:val="nil"/>
              <w:bottom w:val="single" w:sz="4" w:space="0" w:color="auto"/>
              <w:right w:val="single" w:sz="4" w:space="0" w:color="auto"/>
            </w:tcBorders>
          </w:tcPr>
          <w:p w14:paraId="2664C56E" w14:textId="77777777" w:rsidR="00142FD9" w:rsidRPr="00142FD9" w:rsidRDefault="00142FD9" w:rsidP="00142FD9">
            <w:pPr>
              <w:widowControl/>
              <w:adjustRightInd/>
              <w:jc w:val="center"/>
              <w:rPr>
                <w:b/>
                <w:bCs/>
              </w:rPr>
            </w:pPr>
          </w:p>
        </w:tc>
        <w:tc>
          <w:tcPr>
            <w:tcW w:w="1133" w:type="dxa"/>
            <w:tcBorders>
              <w:top w:val="nil"/>
              <w:left w:val="nil"/>
              <w:bottom w:val="single" w:sz="4" w:space="0" w:color="auto"/>
              <w:right w:val="single" w:sz="4" w:space="0" w:color="auto"/>
            </w:tcBorders>
          </w:tcPr>
          <w:p w14:paraId="02F6C6E2" w14:textId="77777777" w:rsidR="00142FD9" w:rsidRPr="00142FD9" w:rsidRDefault="00142FD9" w:rsidP="00142FD9">
            <w:pPr>
              <w:widowControl/>
              <w:adjustRightInd/>
              <w:jc w:val="center"/>
              <w:rPr>
                <w:b/>
                <w:bCs/>
              </w:rPr>
            </w:pPr>
          </w:p>
        </w:tc>
        <w:tc>
          <w:tcPr>
            <w:tcW w:w="1133" w:type="dxa"/>
            <w:tcBorders>
              <w:top w:val="nil"/>
              <w:left w:val="nil"/>
              <w:bottom w:val="single" w:sz="4" w:space="0" w:color="auto"/>
              <w:right w:val="single" w:sz="4" w:space="0" w:color="auto"/>
            </w:tcBorders>
          </w:tcPr>
          <w:p w14:paraId="50388F3D" w14:textId="77777777" w:rsidR="00142FD9" w:rsidRPr="00142FD9" w:rsidRDefault="00142FD9" w:rsidP="00142FD9">
            <w:pPr>
              <w:widowControl/>
              <w:adjustRightInd/>
              <w:jc w:val="center"/>
              <w:rPr>
                <w:b/>
                <w:bCs/>
              </w:rPr>
            </w:pPr>
          </w:p>
        </w:tc>
        <w:tc>
          <w:tcPr>
            <w:tcW w:w="1136" w:type="dxa"/>
            <w:tcBorders>
              <w:top w:val="nil"/>
              <w:left w:val="nil"/>
              <w:bottom w:val="single" w:sz="4" w:space="0" w:color="auto"/>
              <w:right w:val="single" w:sz="4" w:space="0" w:color="auto"/>
            </w:tcBorders>
          </w:tcPr>
          <w:p w14:paraId="24DBE76A" w14:textId="77777777" w:rsidR="00142FD9" w:rsidRPr="00142FD9" w:rsidRDefault="00142FD9" w:rsidP="00142FD9">
            <w:pPr>
              <w:widowControl/>
              <w:adjustRightInd/>
              <w:jc w:val="center"/>
              <w:rPr>
                <w:b/>
                <w:bCs/>
              </w:rPr>
            </w:pPr>
          </w:p>
        </w:tc>
        <w:tc>
          <w:tcPr>
            <w:tcW w:w="2351" w:type="dxa"/>
            <w:tcBorders>
              <w:top w:val="nil"/>
              <w:left w:val="nil"/>
              <w:bottom w:val="single" w:sz="4" w:space="0" w:color="auto"/>
              <w:right w:val="single" w:sz="4" w:space="0" w:color="auto"/>
            </w:tcBorders>
            <w:noWrap/>
            <w:vAlign w:val="bottom"/>
          </w:tcPr>
          <w:p w14:paraId="2349863B" w14:textId="77777777" w:rsidR="00142FD9" w:rsidRPr="00142FD9" w:rsidRDefault="00142FD9" w:rsidP="00142FD9">
            <w:pPr>
              <w:widowControl/>
              <w:adjustRightInd/>
            </w:pPr>
            <w:r w:rsidRPr="00142FD9">
              <w:t> </w:t>
            </w:r>
          </w:p>
        </w:tc>
      </w:tr>
      <w:tr w:rsidR="00142FD9" w:rsidRPr="00142FD9" w14:paraId="2C68A8F6" w14:textId="77777777" w:rsidTr="0016331A">
        <w:trPr>
          <w:trHeight w:val="195"/>
        </w:trPr>
        <w:tc>
          <w:tcPr>
            <w:tcW w:w="3741" w:type="dxa"/>
            <w:tcBorders>
              <w:top w:val="nil"/>
              <w:left w:val="single" w:sz="4" w:space="0" w:color="auto"/>
              <w:bottom w:val="single" w:sz="4" w:space="0" w:color="auto"/>
              <w:right w:val="single" w:sz="4" w:space="0" w:color="auto"/>
            </w:tcBorders>
          </w:tcPr>
          <w:p w14:paraId="1E09D315" w14:textId="77777777" w:rsidR="00142FD9" w:rsidRPr="00142FD9" w:rsidRDefault="00142FD9" w:rsidP="00142FD9">
            <w:pPr>
              <w:widowControl/>
              <w:adjustRightInd/>
              <w:rPr>
                <w:b/>
                <w:bCs/>
              </w:rPr>
            </w:pPr>
            <w:r w:rsidRPr="00142FD9">
              <w:rPr>
                <w:b/>
                <w:bCs/>
              </w:rPr>
              <w:t>Nedaňové príjmy (200)</w:t>
            </w:r>
            <w:r w:rsidRPr="00142FD9">
              <w:rPr>
                <w:b/>
                <w:bCs/>
                <w:vertAlign w:val="superscript"/>
              </w:rPr>
              <w:t>1</w:t>
            </w:r>
          </w:p>
        </w:tc>
        <w:tc>
          <w:tcPr>
            <w:tcW w:w="1133" w:type="dxa"/>
            <w:tcBorders>
              <w:top w:val="nil"/>
              <w:left w:val="nil"/>
              <w:bottom w:val="single" w:sz="4" w:space="0" w:color="auto"/>
              <w:right w:val="single" w:sz="4" w:space="0" w:color="auto"/>
            </w:tcBorders>
          </w:tcPr>
          <w:p w14:paraId="79F38EB6" w14:textId="77777777" w:rsidR="00142FD9" w:rsidRPr="00142FD9" w:rsidRDefault="00142FD9" w:rsidP="00142FD9">
            <w:pPr>
              <w:widowControl/>
              <w:adjustRightInd/>
              <w:jc w:val="center"/>
              <w:rPr>
                <w:b/>
                <w:bCs/>
              </w:rPr>
            </w:pPr>
          </w:p>
        </w:tc>
        <w:tc>
          <w:tcPr>
            <w:tcW w:w="1133" w:type="dxa"/>
            <w:tcBorders>
              <w:top w:val="nil"/>
              <w:left w:val="nil"/>
              <w:bottom w:val="single" w:sz="4" w:space="0" w:color="auto"/>
              <w:right w:val="single" w:sz="4" w:space="0" w:color="auto"/>
            </w:tcBorders>
          </w:tcPr>
          <w:p w14:paraId="0FB6E444" w14:textId="77777777" w:rsidR="00142FD9" w:rsidRPr="00142FD9" w:rsidRDefault="00142FD9" w:rsidP="00142FD9">
            <w:pPr>
              <w:widowControl/>
              <w:adjustRightInd/>
              <w:jc w:val="center"/>
              <w:rPr>
                <w:b/>
                <w:bCs/>
              </w:rPr>
            </w:pPr>
          </w:p>
        </w:tc>
        <w:tc>
          <w:tcPr>
            <w:tcW w:w="1133" w:type="dxa"/>
            <w:tcBorders>
              <w:top w:val="nil"/>
              <w:left w:val="nil"/>
              <w:bottom w:val="single" w:sz="4" w:space="0" w:color="auto"/>
              <w:right w:val="single" w:sz="4" w:space="0" w:color="auto"/>
            </w:tcBorders>
          </w:tcPr>
          <w:p w14:paraId="765FB9D3" w14:textId="77777777" w:rsidR="00142FD9" w:rsidRPr="00142FD9" w:rsidRDefault="00142FD9" w:rsidP="00142FD9">
            <w:pPr>
              <w:widowControl/>
              <w:adjustRightInd/>
              <w:jc w:val="center"/>
              <w:rPr>
                <w:b/>
                <w:bCs/>
              </w:rPr>
            </w:pPr>
          </w:p>
        </w:tc>
        <w:tc>
          <w:tcPr>
            <w:tcW w:w="1136" w:type="dxa"/>
            <w:tcBorders>
              <w:top w:val="nil"/>
              <w:left w:val="nil"/>
              <w:bottom w:val="single" w:sz="4" w:space="0" w:color="auto"/>
              <w:right w:val="single" w:sz="4" w:space="0" w:color="auto"/>
            </w:tcBorders>
          </w:tcPr>
          <w:p w14:paraId="5168CB89" w14:textId="77777777" w:rsidR="00142FD9" w:rsidRPr="00142FD9" w:rsidRDefault="00142FD9" w:rsidP="00142FD9">
            <w:pPr>
              <w:widowControl/>
              <w:adjustRightInd/>
              <w:jc w:val="center"/>
              <w:rPr>
                <w:b/>
                <w:bCs/>
              </w:rPr>
            </w:pPr>
          </w:p>
        </w:tc>
        <w:tc>
          <w:tcPr>
            <w:tcW w:w="2351" w:type="dxa"/>
            <w:tcBorders>
              <w:top w:val="nil"/>
              <w:left w:val="nil"/>
              <w:bottom w:val="single" w:sz="4" w:space="0" w:color="auto"/>
              <w:right w:val="single" w:sz="4" w:space="0" w:color="auto"/>
            </w:tcBorders>
            <w:noWrap/>
            <w:vAlign w:val="bottom"/>
          </w:tcPr>
          <w:p w14:paraId="3C553896" w14:textId="77777777" w:rsidR="00142FD9" w:rsidRPr="00142FD9" w:rsidRDefault="00142FD9" w:rsidP="00142FD9">
            <w:pPr>
              <w:widowControl/>
              <w:adjustRightInd/>
            </w:pPr>
            <w:r w:rsidRPr="00142FD9">
              <w:t> </w:t>
            </w:r>
          </w:p>
        </w:tc>
      </w:tr>
      <w:tr w:rsidR="00142FD9" w:rsidRPr="00142FD9" w14:paraId="3E0010A0" w14:textId="77777777" w:rsidTr="0016331A">
        <w:trPr>
          <w:trHeight w:val="195"/>
        </w:trPr>
        <w:tc>
          <w:tcPr>
            <w:tcW w:w="3741" w:type="dxa"/>
            <w:tcBorders>
              <w:top w:val="nil"/>
              <w:left w:val="single" w:sz="4" w:space="0" w:color="auto"/>
              <w:bottom w:val="single" w:sz="4" w:space="0" w:color="auto"/>
              <w:right w:val="single" w:sz="4" w:space="0" w:color="auto"/>
            </w:tcBorders>
          </w:tcPr>
          <w:p w14:paraId="4626B05F" w14:textId="77777777" w:rsidR="00142FD9" w:rsidRPr="00142FD9" w:rsidRDefault="00142FD9" w:rsidP="00142FD9">
            <w:pPr>
              <w:widowControl/>
              <w:adjustRightInd/>
              <w:rPr>
                <w:b/>
                <w:bCs/>
              </w:rPr>
            </w:pPr>
            <w:r w:rsidRPr="00142FD9">
              <w:rPr>
                <w:b/>
                <w:bCs/>
              </w:rPr>
              <w:t>Granty a transfery (300)</w:t>
            </w:r>
            <w:r w:rsidRPr="00142FD9">
              <w:rPr>
                <w:b/>
                <w:bCs/>
                <w:vertAlign w:val="superscript"/>
              </w:rPr>
              <w:t>1</w:t>
            </w:r>
          </w:p>
        </w:tc>
        <w:tc>
          <w:tcPr>
            <w:tcW w:w="1133" w:type="dxa"/>
            <w:tcBorders>
              <w:top w:val="nil"/>
              <w:left w:val="nil"/>
              <w:bottom w:val="single" w:sz="4" w:space="0" w:color="auto"/>
              <w:right w:val="single" w:sz="4" w:space="0" w:color="auto"/>
            </w:tcBorders>
          </w:tcPr>
          <w:p w14:paraId="5548FF88" w14:textId="77777777" w:rsidR="00142FD9" w:rsidRPr="00142FD9" w:rsidRDefault="00142FD9" w:rsidP="00142FD9">
            <w:pPr>
              <w:widowControl/>
              <w:adjustRightInd/>
              <w:jc w:val="center"/>
              <w:rPr>
                <w:b/>
                <w:bCs/>
              </w:rPr>
            </w:pPr>
          </w:p>
        </w:tc>
        <w:tc>
          <w:tcPr>
            <w:tcW w:w="1133" w:type="dxa"/>
            <w:tcBorders>
              <w:top w:val="nil"/>
              <w:left w:val="nil"/>
              <w:bottom w:val="single" w:sz="4" w:space="0" w:color="auto"/>
              <w:right w:val="single" w:sz="4" w:space="0" w:color="auto"/>
            </w:tcBorders>
          </w:tcPr>
          <w:p w14:paraId="6C7FE822" w14:textId="77777777" w:rsidR="00142FD9" w:rsidRPr="00142FD9" w:rsidRDefault="00142FD9" w:rsidP="00142FD9">
            <w:pPr>
              <w:widowControl/>
              <w:adjustRightInd/>
              <w:jc w:val="center"/>
              <w:rPr>
                <w:b/>
                <w:bCs/>
              </w:rPr>
            </w:pPr>
          </w:p>
        </w:tc>
        <w:tc>
          <w:tcPr>
            <w:tcW w:w="1133" w:type="dxa"/>
            <w:tcBorders>
              <w:top w:val="nil"/>
              <w:left w:val="nil"/>
              <w:bottom w:val="single" w:sz="4" w:space="0" w:color="auto"/>
              <w:right w:val="single" w:sz="4" w:space="0" w:color="auto"/>
            </w:tcBorders>
          </w:tcPr>
          <w:p w14:paraId="01F9577E" w14:textId="77777777" w:rsidR="00142FD9" w:rsidRPr="00142FD9" w:rsidRDefault="00142FD9" w:rsidP="00142FD9">
            <w:pPr>
              <w:widowControl/>
              <w:adjustRightInd/>
              <w:jc w:val="center"/>
              <w:rPr>
                <w:b/>
                <w:bCs/>
              </w:rPr>
            </w:pPr>
          </w:p>
        </w:tc>
        <w:tc>
          <w:tcPr>
            <w:tcW w:w="1136" w:type="dxa"/>
            <w:tcBorders>
              <w:top w:val="nil"/>
              <w:left w:val="nil"/>
              <w:bottom w:val="single" w:sz="4" w:space="0" w:color="auto"/>
              <w:right w:val="single" w:sz="4" w:space="0" w:color="auto"/>
            </w:tcBorders>
          </w:tcPr>
          <w:p w14:paraId="559E290E" w14:textId="77777777" w:rsidR="00142FD9" w:rsidRPr="00142FD9" w:rsidRDefault="00142FD9" w:rsidP="00142FD9">
            <w:pPr>
              <w:widowControl/>
              <w:adjustRightInd/>
              <w:jc w:val="center"/>
              <w:rPr>
                <w:b/>
                <w:bCs/>
              </w:rPr>
            </w:pPr>
          </w:p>
        </w:tc>
        <w:tc>
          <w:tcPr>
            <w:tcW w:w="2351" w:type="dxa"/>
            <w:tcBorders>
              <w:top w:val="nil"/>
              <w:left w:val="nil"/>
              <w:bottom w:val="single" w:sz="4" w:space="0" w:color="auto"/>
              <w:right w:val="single" w:sz="4" w:space="0" w:color="auto"/>
            </w:tcBorders>
            <w:noWrap/>
            <w:vAlign w:val="bottom"/>
          </w:tcPr>
          <w:p w14:paraId="2F99E557" w14:textId="77777777" w:rsidR="00142FD9" w:rsidRPr="00142FD9" w:rsidRDefault="00142FD9" w:rsidP="00142FD9">
            <w:pPr>
              <w:widowControl/>
              <w:adjustRightInd/>
            </w:pPr>
            <w:r w:rsidRPr="00142FD9">
              <w:t> </w:t>
            </w:r>
          </w:p>
        </w:tc>
      </w:tr>
      <w:tr w:rsidR="00142FD9" w:rsidRPr="00142FD9" w14:paraId="7D24758C" w14:textId="77777777" w:rsidTr="0016331A">
        <w:trPr>
          <w:trHeight w:val="195"/>
        </w:trPr>
        <w:tc>
          <w:tcPr>
            <w:tcW w:w="3741" w:type="dxa"/>
            <w:tcBorders>
              <w:top w:val="nil"/>
              <w:left w:val="single" w:sz="4" w:space="0" w:color="auto"/>
              <w:bottom w:val="single" w:sz="4" w:space="0" w:color="auto"/>
              <w:right w:val="single" w:sz="4" w:space="0" w:color="auto"/>
            </w:tcBorders>
          </w:tcPr>
          <w:p w14:paraId="238A91AF" w14:textId="77777777" w:rsidR="00142FD9" w:rsidRPr="00142FD9" w:rsidRDefault="00142FD9" w:rsidP="00142FD9">
            <w:pPr>
              <w:widowControl/>
              <w:adjustRightInd/>
              <w:rPr>
                <w:b/>
                <w:bCs/>
              </w:rPr>
            </w:pPr>
            <w:r w:rsidRPr="00142FD9">
              <w:rPr>
                <w:b/>
                <w:bCs/>
              </w:rPr>
              <w:t>Príjmy z transakcií s finančnými aktívami a finančnými pasívami (400)</w:t>
            </w:r>
          </w:p>
        </w:tc>
        <w:tc>
          <w:tcPr>
            <w:tcW w:w="1133" w:type="dxa"/>
            <w:tcBorders>
              <w:top w:val="nil"/>
              <w:left w:val="nil"/>
              <w:bottom w:val="single" w:sz="4" w:space="0" w:color="auto"/>
              <w:right w:val="single" w:sz="4" w:space="0" w:color="auto"/>
            </w:tcBorders>
            <w:shd w:val="clear" w:color="auto" w:fill="FFFF99"/>
          </w:tcPr>
          <w:p w14:paraId="1603ABF6" w14:textId="77777777" w:rsidR="00142FD9" w:rsidRPr="00142FD9" w:rsidRDefault="00142FD9" w:rsidP="00142FD9">
            <w:pPr>
              <w:widowControl/>
              <w:adjustRightInd/>
              <w:jc w:val="center"/>
              <w:rPr>
                <w:b/>
                <w:bCs/>
              </w:rPr>
            </w:pPr>
            <w:r w:rsidRPr="00142FD9">
              <w:rPr>
                <w:b/>
                <w:bCs/>
              </w:rPr>
              <w:t> </w:t>
            </w:r>
          </w:p>
        </w:tc>
        <w:tc>
          <w:tcPr>
            <w:tcW w:w="1133" w:type="dxa"/>
            <w:tcBorders>
              <w:top w:val="nil"/>
              <w:left w:val="nil"/>
              <w:bottom w:val="single" w:sz="4" w:space="0" w:color="auto"/>
              <w:right w:val="single" w:sz="4" w:space="0" w:color="auto"/>
            </w:tcBorders>
            <w:shd w:val="clear" w:color="auto" w:fill="FFFF99"/>
          </w:tcPr>
          <w:p w14:paraId="25E8B77D" w14:textId="77777777" w:rsidR="00142FD9" w:rsidRPr="00142FD9" w:rsidRDefault="00142FD9" w:rsidP="00142FD9">
            <w:pPr>
              <w:widowControl/>
              <w:adjustRightInd/>
              <w:jc w:val="center"/>
              <w:rPr>
                <w:b/>
                <w:bCs/>
              </w:rPr>
            </w:pPr>
            <w:r w:rsidRPr="00142FD9">
              <w:rPr>
                <w:b/>
                <w:bCs/>
              </w:rPr>
              <w:t> </w:t>
            </w:r>
          </w:p>
        </w:tc>
        <w:tc>
          <w:tcPr>
            <w:tcW w:w="1133" w:type="dxa"/>
            <w:tcBorders>
              <w:top w:val="nil"/>
              <w:left w:val="nil"/>
              <w:bottom w:val="single" w:sz="4" w:space="0" w:color="auto"/>
              <w:right w:val="single" w:sz="4" w:space="0" w:color="auto"/>
            </w:tcBorders>
            <w:shd w:val="clear" w:color="auto" w:fill="FFFF99"/>
          </w:tcPr>
          <w:p w14:paraId="6BD3F5F2" w14:textId="77777777" w:rsidR="00142FD9" w:rsidRPr="00142FD9" w:rsidRDefault="00142FD9" w:rsidP="00142FD9">
            <w:pPr>
              <w:widowControl/>
              <w:adjustRightInd/>
              <w:jc w:val="center"/>
              <w:rPr>
                <w:b/>
                <w:bCs/>
              </w:rPr>
            </w:pPr>
            <w:r w:rsidRPr="00142FD9">
              <w:rPr>
                <w:b/>
                <w:bCs/>
              </w:rPr>
              <w:t> </w:t>
            </w:r>
          </w:p>
        </w:tc>
        <w:tc>
          <w:tcPr>
            <w:tcW w:w="1136" w:type="dxa"/>
            <w:tcBorders>
              <w:top w:val="nil"/>
              <w:left w:val="nil"/>
              <w:bottom w:val="single" w:sz="4" w:space="0" w:color="auto"/>
              <w:right w:val="single" w:sz="4" w:space="0" w:color="auto"/>
            </w:tcBorders>
            <w:shd w:val="clear" w:color="auto" w:fill="FFFF99"/>
          </w:tcPr>
          <w:p w14:paraId="3D8F4651" w14:textId="77777777" w:rsidR="00142FD9" w:rsidRPr="00142FD9" w:rsidRDefault="00142FD9" w:rsidP="00142FD9">
            <w:pPr>
              <w:widowControl/>
              <w:adjustRightInd/>
              <w:jc w:val="center"/>
              <w:rPr>
                <w:b/>
                <w:bCs/>
              </w:rPr>
            </w:pPr>
            <w:r w:rsidRPr="00142FD9">
              <w:rPr>
                <w:b/>
                <w:bCs/>
              </w:rPr>
              <w:t> </w:t>
            </w:r>
          </w:p>
        </w:tc>
        <w:tc>
          <w:tcPr>
            <w:tcW w:w="2351" w:type="dxa"/>
            <w:tcBorders>
              <w:top w:val="nil"/>
              <w:left w:val="nil"/>
              <w:bottom w:val="single" w:sz="4" w:space="0" w:color="auto"/>
              <w:right w:val="single" w:sz="4" w:space="0" w:color="auto"/>
            </w:tcBorders>
            <w:noWrap/>
            <w:vAlign w:val="bottom"/>
          </w:tcPr>
          <w:p w14:paraId="3C895F94" w14:textId="77777777" w:rsidR="00142FD9" w:rsidRPr="00142FD9" w:rsidRDefault="00142FD9" w:rsidP="00142FD9">
            <w:pPr>
              <w:widowControl/>
              <w:adjustRightInd/>
            </w:pPr>
            <w:r w:rsidRPr="00142FD9">
              <w:t> </w:t>
            </w:r>
          </w:p>
        </w:tc>
      </w:tr>
      <w:tr w:rsidR="00142FD9" w:rsidRPr="00142FD9" w14:paraId="7353FC34" w14:textId="77777777" w:rsidTr="0016331A">
        <w:trPr>
          <w:trHeight w:val="195"/>
        </w:trPr>
        <w:tc>
          <w:tcPr>
            <w:tcW w:w="3741" w:type="dxa"/>
            <w:tcBorders>
              <w:top w:val="nil"/>
              <w:left w:val="single" w:sz="4" w:space="0" w:color="auto"/>
              <w:bottom w:val="single" w:sz="4" w:space="0" w:color="auto"/>
              <w:right w:val="single" w:sz="4" w:space="0" w:color="auto"/>
            </w:tcBorders>
          </w:tcPr>
          <w:p w14:paraId="7ABE7251" w14:textId="77777777" w:rsidR="00142FD9" w:rsidRPr="00142FD9" w:rsidRDefault="00142FD9" w:rsidP="00142FD9">
            <w:pPr>
              <w:widowControl/>
              <w:adjustRightInd/>
              <w:rPr>
                <w:b/>
                <w:bCs/>
              </w:rPr>
            </w:pPr>
            <w:r w:rsidRPr="00142FD9">
              <w:rPr>
                <w:b/>
                <w:bCs/>
              </w:rPr>
              <w:t>Prijaté úvery, pôžičky a návratné finančné výpomoci (500)</w:t>
            </w:r>
          </w:p>
        </w:tc>
        <w:tc>
          <w:tcPr>
            <w:tcW w:w="1133" w:type="dxa"/>
            <w:tcBorders>
              <w:top w:val="nil"/>
              <w:left w:val="nil"/>
              <w:bottom w:val="single" w:sz="4" w:space="0" w:color="auto"/>
              <w:right w:val="single" w:sz="4" w:space="0" w:color="auto"/>
            </w:tcBorders>
            <w:shd w:val="clear" w:color="auto" w:fill="FFFF99"/>
          </w:tcPr>
          <w:p w14:paraId="7734945E" w14:textId="77777777" w:rsidR="00142FD9" w:rsidRPr="00142FD9" w:rsidRDefault="00142FD9" w:rsidP="00142FD9">
            <w:pPr>
              <w:widowControl/>
              <w:adjustRightInd/>
              <w:jc w:val="center"/>
              <w:rPr>
                <w:b/>
                <w:bCs/>
              </w:rPr>
            </w:pPr>
            <w:r w:rsidRPr="00142FD9">
              <w:rPr>
                <w:b/>
                <w:bCs/>
              </w:rPr>
              <w:t> </w:t>
            </w:r>
          </w:p>
        </w:tc>
        <w:tc>
          <w:tcPr>
            <w:tcW w:w="1133" w:type="dxa"/>
            <w:tcBorders>
              <w:top w:val="nil"/>
              <w:left w:val="nil"/>
              <w:bottom w:val="single" w:sz="4" w:space="0" w:color="auto"/>
              <w:right w:val="single" w:sz="4" w:space="0" w:color="auto"/>
            </w:tcBorders>
            <w:shd w:val="clear" w:color="auto" w:fill="FFFF99"/>
          </w:tcPr>
          <w:p w14:paraId="372CDF99" w14:textId="77777777" w:rsidR="00142FD9" w:rsidRPr="00142FD9" w:rsidRDefault="00142FD9" w:rsidP="00142FD9">
            <w:pPr>
              <w:widowControl/>
              <w:adjustRightInd/>
              <w:jc w:val="center"/>
              <w:rPr>
                <w:b/>
                <w:bCs/>
              </w:rPr>
            </w:pPr>
            <w:r w:rsidRPr="00142FD9">
              <w:rPr>
                <w:b/>
                <w:bCs/>
              </w:rPr>
              <w:t> </w:t>
            </w:r>
          </w:p>
        </w:tc>
        <w:tc>
          <w:tcPr>
            <w:tcW w:w="1133" w:type="dxa"/>
            <w:tcBorders>
              <w:top w:val="nil"/>
              <w:left w:val="nil"/>
              <w:bottom w:val="single" w:sz="4" w:space="0" w:color="auto"/>
              <w:right w:val="single" w:sz="4" w:space="0" w:color="auto"/>
            </w:tcBorders>
            <w:shd w:val="clear" w:color="auto" w:fill="FFFF99"/>
          </w:tcPr>
          <w:p w14:paraId="4F8AB763" w14:textId="77777777" w:rsidR="00142FD9" w:rsidRPr="00142FD9" w:rsidRDefault="00142FD9" w:rsidP="00142FD9">
            <w:pPr>
              <w:widowControl/>
              <w:adjustRightInd/>
              <w:jc w:val="center"/>
              <w:rPr>
                <w:b/>
                <w:bCs/>
              </w:rPr>
            </w:pPr>
            <w:r w:rsidRPr="00142FD9">
              <w:rPr>
                <w:b/>
                <w:bCs/>
              </w:rPr>
              <w:t> </w:t>
            </w:r>
          </w:p>
        </w:tc>
        <w:tc>
          <w:tcPr>
            <w:tcW w:w="1136" w:type="dxa"/>
            <w:tcBorders>
              <w:top w:val="nil"/>
              <w:left w:val="nil"/>
              <w:bottom w:val="single" w:sz="4" w:space="0" w:color="auto"/>
              <w:right w:val="single" w:sz="4" w:space="0" w:color="auto"/>
            </w:tcBorders>
            <w:shd w:val="clear" w:color="auto" w:fill="FFFF99"/>
          </w:tcPr>
          <w:p w14:paraId="17AA43C2" w14:textId="77777777" w:rsidR="00142FD9" w:rsidRPr="00142FD9" w:rsidRDefault="00142FD9" w:rsidP="00142FD9">
            <w:pPr>
              <w:widowControl/>
              <w:adjustRightInd/>
              <w:jc w:val="center"/>
              <w:rPr>
                <w:b/>
                <w:bCs/>
              </w:rPr>
            </w:pPr>
            <w:r w:rsidRPr="00142FD9">
              <w:rPr>
                <w:b/>
                <w:bCs/>
              </w:rPr>
              <w:t> </w:t>
            </w:r>
          </w:p>
        </w:tc>
        <w:tc>
          <w:tcPr>
            <w:tcW w:w="2351" w:type="dxa"/>
            <w:tcBorders>
              <w:top w:val="nil"/>
              <w:left w:val="nil"/>
              <w:bottom w:val="single" w:sz="4" w:space="0" w:color="auto"/>
              <w:right w:val="single" w:sz="4" w:space="0" w:color="auto"/>
            </w:tcBorders>
            <w:noWrap/>
            <w:vAlign w:val="bottom"/>
          </w:tcPr>
          <w:p w14:paraId="79F62770" w14:textId="77777777" w:rsidR="00142FD9" w:rsidRPr="00142FD9" w:rsidRDefault="00142FD9" w:rsidP="00142FD9">
            <w:pPr>
              <w:widowControl/>
              <w:adjustRightInd/>
            </w:pPr>
            <w:r w:rsidRPr="00142FD9">
              <w:t> </w:t>
            </w:r>
          </w:p>
        </w:tc>
      </w:tr>
      <w:tr w:rsidR="00142FD9" w:rsidRPr="00142FD9" w14:paraId="7F132027" w14:textId="77777777" w:rsidTr="0016331A">
        <w:trPr>
          <w:trHeight w:val="195"/>
        </w:trPr>
        <w:tc>
          <w:tcPr>
            <w:tcW w:w="3741" w:type="dxa"/>
            <w:tcBorders>
              <w:top w:val="nil"/>
              <w:left w:val="single" w:sz="4" w:space="0" w:color="auto"/>
              <w:bottom w:val="single" w:sz="4" w:space="0" w:color="auto"/>
              <w:right w:val="single" w:sz="4" w:space="0" w:color="auto"/>
            </w:tcBorders>
            <w:shd w:val="clear" w:color="auto" w:fill="BFBFBF"/>
          </w:tcPr>
          <w:p w14:paraId="77FF554B" w14:textId="77777777" w:rsidR="00142FD9" w:rsidRPr="00142FD9" w:rsidRDefault="00142FD9" w:rsidP="00142FD9">
            <w:pPr>
              <w:widowControl/>
              <w:adjustRightInd/>
              <w:rPr>
                <w:b/>
                <w:bCs/>
              </w:rPr>
            </w:pPr>
            <w:r w:rsidRPr="00142FD9">
              <w:rPr>
                <w:b/>
                <w:bCs/>
              </w:rPr>
              <w:t>Dopad na príjmy verejnej správy celkom</w:t>
            </w:r>
          </w:p>
        </w:tc>
        <w:tc>
          <w:tcPr>
            <w:tcW w:w="1133" w:type="dxa"/>
            <w:tcBorders>
              <w:top w:val="nil"/>
              <w:left w:val="nil"/>
              <w:bottom w:val="single" w:sz="4" w:space="0" w:color="auto"/>
              <w:right w:val="single" w:sz="4" w:space="0" w:color="auto"/>
            </w:tcBorders>
            <w:shd w:val="clear" w:color="auto" w:fill="BFBFBF"/>
          </w:tcPr>
          <w:p w14:paraId="19780892" w14:textId="77777777" w:rsidR="00142FD9" w:rsidRPr="00142FD9" w:rsidRDefault="00142FD9" w:rsidP="00142FD9">
            <w:pPr>
              <w:widowControl/>
              <w:adjustRightInd/>
              <w:jc w:val="center"/>
              <w:rPr>
                <w:b/>
                <w:bCs/>
              </w:rPr>
            </w:pPr>
            <w:r w:rsidRPr="00142FD9">
              <w:rPr>
                <w:b/>
                <w:bCs/>
              </w:rPr>
              <w:t>0</w:t>
            </w:r>
          </w:p>
        </w:tc>
        <w:tc>
          <w:tcPr>
            <w:tcW w:w="1133" w:type="dxa"/>
            <w:tcBorders>
              <w:top w:val="nil"/>
              <w:left w:val="nil"/>
              <w:bottom w:val="single" w:sz="4" w:space="0" w:color="auto"/>
              <w:right w:val="single" w:sz="4" w:space="0" w:color="auto"/>
            </w:tcBorders>
            <w:shd w:val="clear" w:color="auto" w:fill="BFBFBF"/>
          </w:tcPr>
          <w:p w14:paraId="2CED994A" w14:textId="77777777" w:rsidR="00142FD9" w:rsidRPr="00142FD9" w:rsidRDefault="00142FD9" w:rsidP="00142FD9">
            <w:pPr>
              <w:widowControl/>
              <w:adjustRightInd/>
              <w:jc w:val="center"/>
              <w:rPr>
                <w:b/>
                <w:bCs/>
              </w:rPr>
            </w:pPr>
            <w:r w:rsidRPr="00142FD9">
              <w:rPr>
                <w:b/>
                <w:bCs/>
              </w:rPr>
              <w:t>0</w:t>
            </w:r>
          </w:p>
        </w:tc>
        <w:tc>
          <w:tcPr>
            <w:tcW w:w="1133" w:type="dxa"/>
            <w:tcBorders>
              <w:top w:val="nil"/>
              <w:left w:val="nil"/>
              <w:bottom w:val="single" w:sz="4" w:space="0" w:color="auto"/>
              <w:right w:val="single" w:sz="4" w:space="0" w:color="auto"/>
            </w:tcBorders>
            <w:shd w:val="clear" w:color="auto" w:fill="BFBFBF"/>
          </w:tcPr>
          <w:p w14:paraId="321E73F7" w14:textId="77777777" w:rsidR="00142FD9" w:rsidRPr="00142FD9" w:rsidRDefault="00142FD9" w:rsidP="00142FD9">
            <w:pPr>
              <w:widowControl/>
              <w:adjustRightInd/>
              <w:jc w:val="center"/>
              <w:rPr>
                <w:b/>
                <w:bCs/>
              </w:rPr>
            </w:pPr>
            <w:r w:rsidRPr="00142FD9">
              <w:rPr>
                <w:b/>
                <w:bCs/>
              </w:rPr>
              <w:t>0</w:t>
            </w:r>
          </w:p>
        </w:tc>
        <w:tc>
          <w:tcPr>
            <w:tcW w:w="1136" w:type="dxa"/>
            <w:tcBorders>
              <w:top w:val="nil"/>
              <w:left w:val="nil"/>
              <w:bottom w:val="single" w:sz="4" w:space="0" w:color="auto"/>
              <w:right w:val="single" w:sz="4" w:space="0" w:color="auto"/>
            </w:tcBorders>
            <w:shd w:val="clear" w:color="auto" w:fill="BFBFBF"/>
          </w:tcPr>
          <w:p w14:paraId="55539A87" w14:textId="77777777" w:rsidR="00142FD9" w:rsidRPr="00142FD9" w:rsidRDefault="00142FD9" w:rsidP="00142FD9">
            <w:pPr>
              <w:widowControl/>
              <w:adjustRightInd/>
              <w:jc w:val="center"/>
              <w:rPr>
                <w:b/>
                <w:bCs/>
              </w:rPr>
            </w:pPr>
            <w:r w:rsidRPr="00142FD9">
              <w:rPr>
                <w:b/>
                <w:bCs/>
              </w:rPr>
              <w:t>0</w:t>
            </w:r>
          </w:p>
        </w:tc>
        <w:tc>
          <w:tcPr>
            <w:tcW w:w="2351" w:type="dxa"/>
            <w:tcBorders>
              <w:top w:val="nil"/>
              <w:left w:val="nil"/>
              <w:bottom w:val="single" w:sz="4" w:space="0" w:color="auto"/>
              <w:right w:val="single" w:sz="4" w:space="0" w:color="auto"/>
            </w:tcBorders>
            <w:shd w:val="clear" w:color="auto" w:fill="BFBFBF"/>
            <w:noWrap/>
            <w:vAlign w:val="bottom"/>
          </w:tcPr>
          <w:p w14:paraId="035C180B" w14:textId="77777777" w:rsidR="00142FD9" w:rsidRPr="00142FD9" w:rsidRDefault="00142FD9" w:rsidP="00142FD9">
            <w:pPr>
              <w:widowControl/>
              <w:adjustRightInd/>
            </w:pPr>
            <w:r w:rsidRPr="00142FD9">
              <w:t> </w:t>
            </w:r>
          </w:p>
        </w:tc>
      </w:tr>
    </w:tbl>
    <w:p w14:paraId="1BC58749" w14:textId="77777777" w:rsidR="00142FD9" w:rsidRPr="00142FD9" w:rsidRDefault="00142FD9" w:rsidP="00142FD9">
      <w:pPr>
        <w:widowControl/>
        <w:tabs>
          <w:tab w:val="num" w:pos="1080"/>
        </w:tabs>
        <w:adjustRightInd/>
        <w:jc w:val="both"/>
        <w:rPr>
          <w:bCs/>
          <w:sz w:val="20"/>
          <w:szCs w:val="20"/>
        </w:rPr>
      </w:pPr>
      <w:r w:rsidRPr="00142FD9">
        <w:rPr>
          <w:bCs/>
          <w:sz w:val="20"/>
          <w:szCs w:val="20"/>
        </w:rPr>
        <w:t>1 –  príjmy rozpísať až do položiek platnej ekonomickej klasifikácie</w:t>
      </w:r>
    </w:p>
    <w:p w14:paraId="03E3AC9A" w14:textId="77777777" w:rsidR="00142FD9" w:rsidRPr="00142FD9" w:rsidRDefault="00142FD9" w:rsidP="00142FD9">
      <w:pPr>
        <w:widowControl/>
        <w:tabs>
          <w:tab w:val="num" w:pos="1080"/>
        </w:tabs>
        <w:adjustRightInd/>
        <w:jc w:val="both"/>
        <w:rPr>
          <w:bCs/>
          <w:szCs w:val="20"/>
        </w:rPr>
      </w:pPr>
    </w:p>
    <w:p w14:paraId="50614272" w14:textId="77777777" w:rsidR="00142FD9" w:rsidRPr="00142FD9" w:rsidRDefault="00142FD9" w:rsidP="00142FD9">
      <w:pPr>
        <w:widowControl/>
        <w:tabs>
          <w:tab w:val="num" w:pos="1080"/>
        </w:tabs>
        <w:adjustRightInd/>
        <w:jc w:val="both"/>
        <w:rPr>
          <w:b/>
          <w:bCs/>
          <w:szCs w:val="20"/>
        </w:rPr>
      </w:pPr>
      <w:r w:rsidRPr="00142FD9">
        <w:rPr>
          <w:b/>
          <w:bCs/>
          <w:szCs w:val="20"/>
        </w:rPr>
        <w:t>Poznámka:</w:t>
      </w:r>
    </w:p>
    <w:p w14:paraId="3E3EF996" w14:textId="77777777" w:rsidR="00142FD9" w:rsidRPr="00142FD9" w:rsidRDefault="00142FD9" w:rsidP="00142FD9">
      <w:pPr>
        <w:widowControl/>
        <w:tabs>
          <w:tab w:val="num" w:pos="1080"/>
        </w:tabs>
        <w:adjustRightInd/>
        <w:jc w:val="both"/>
        <w:rPr>
          <w:bCs/>
          <w:szCs w:val="20"/>
        </w:rPr>
      </w:pPr>
      <w:r w:rsidRPr="00142FD9">
        <w:rPr>
          <w:bCs/>
          <w:szCs w:val="20"/>
        </w:rPr>
        <w:t>Ak sa vplyv týka viacerých subjektov verejnej správy, vypĺňa sa samostatná tabuľka za každý subjekt.</w:t>
      </w:r>
    </w:p>
    <w:p w14:paraId="10F9D818" w14:textId="77777777" w:rsidR="00142FD9" w:rsidRPr="00142FD9" w:rsidRDefault="00142FD9" w:rsidP="00142FD9">
      <w:pPr>
        <w:widowControl/>
        <w:tabs>
          <w:tab w:val="num" w:pos="1080"/>
        </w:tabs>
        <w:adjustRightInd/>
        <w:ind w:right="-578"/>
        <w:jc w:val="right"/>
        <w:rPr>
          <w:bCs/>
        </w:rPr>
      </w:pPr>
      <w:r w:rsidRPr="00142FD9">
        <w:rPr>
          <w:bCs/>
        </w:rPr>
        <w:t xml:space="preserve"> </w:t>
      </w:r>
    </w:p>
    <w:p w14:paraId="4F31DE12" w14:textId="77777777" w:rsidR="00142FD9" w:rsidRPr="00142FD9" w:rsidRDefault="00142FD9" w:rsidP="00142FD9">
      <w:pPr>
        <w:widowControl/>
        <w:tabs>
          <w:tab w:val="num" w:pos="1080"/>
        </w:tabs>
        <w:adjustRightInd/>
        <w:ind w:right="-578"/>
        <w:jc w:val="right"/>
        <w:rPr>
          <w:bCs/>
        </w:rPr>
      </w:pPr>
    </w:p>
    <w:p w14:paraId="3A2361AB" w14:textId="77777777" w:rsidR="00142FD9" w:rsidRPr="00142FD9" w:rsidRDefault="00142FD9" w:rsidP="00142FD9">
      <w:pPr>
        <w:widowControl/>
        <w:tabs>
          <w:tab w:val="num" w:pos="1080"/>
        </w:tabs>
        <w:adjustRightInd/>
        <w:ind w:right="-578"/>
        <w:jc w:val="right"/>
        <w:rPr>
          <w:bCs/>
        </w:rPr>
      </w:pPr>
    </w:p>
    <w:p w14:paraId="7A66AE44" w14:textId="77777777" w:rsidR="00142FD9" w:rsidRPr="00142FD9" w:rsidRDefault="00142FD9" w:rsidP="00142FD9">
      <w:pPr>
        <w:widowControl/>
        <w:tabs>
          <w:tab w:val="num" w:pos="1080"/>
        </w:tabs>
        <w:adjustRightInd/>
        <w:ind w:right="-32"/>
        <w:jc w:val="right"/>
        <w:rPr>
          <w:bCs/>
        </w:rPr>
      </w:pPr>
      <w:r w:rsidRPr="00142FD9">
        <w:rPr>
          <w:bCs/>
        </w:rPr>
        <w:t xml:space="preserve">Tabuľka č. 4 </w:t>
      </w:r>
    </w:p>
    <w:p w14:paraId="50385C0A" w14:textId="77777777" w:rsidR="00142FD9" w:rsidRPr="00142FD9" w:rsidRDefault="00142FD9" w:rsidP="00142FD9">
      <w:pPr>
        <w:widowControl/>
        <w:tabs>
          <w:tab w:val="num" w:pos="1080"/>
        </w:tabs>
        <w:adjustRightInd/>
        <w:jc w:val="both"/>
        <w:rPr>
          <w:bCs/>
          <w:szCs w:val="20"/>
        </w:rPr>
      </w:pPr>
    </w:p>
    <w:tbl>
      <w:tblPr>
        <w:tblpPr w:leftFromText="141" w:rightFromText="141" w:vertAnchor="text" w:horzAnchor="page" w:tblpX="629" w:tblpY="2"/>
        <w:tblW w:w="10634" w:type="dxa"/>
        <w:tblCellMar>
          <w:left w:w="70" w:type="dxa"/>
          <w:right w:w="70" w:type="dxa"/>
        </w:tblCellMar>
        <w:tblLook w:val="0000" w:firstRow="0" w:lastRow="0" w:firstColumn="0" w:lastColumn="0" w:noHBand="0" w:noVBand="0"/>
      </w:tblPr>
      <w:tblGrid>
        <w:gridCol w:w="4866"/>
        <w:gridCol w:w="1060"/>
        <w:gridCol w:w="1060"/>
        <w:gridCol w:w="1060"/>
        <w:gridCol w:w="1060"/>
        <w:gridCol w:w="1528"/>
      </w:tblGrid>
      <w:tr w:rsidR="00142FD9" w:rsidRPr="00142FD9" w14:paraId="26464E02" w14:textId="77777777" w:rsidTr="0016331A">
        <w:trPr>
          <w:cantSplit/>
          <w:trHeight w:val="354"/>
        </w:trPr>
        <w:tc>
          <w:tcPr>
            <w:tcW w:w="4866"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1D2FD6DC" w14:textId="77777777" w:rsidR="00142FD9" w:rsidRPr="00142FD9" w:rsidRDefault="00142FD9" w:rsidP="00142FD9">
            <w:pPr>
              <w:widowControl/>
              <w:adjustRightInd/>
              <w:jc w:val="center"/>
              <w:rPr>
                <w:b/>
                <w:bCs/>
                <w:sz w:val="20"/>
                <w:szCs w:val="20"/>
              </w:rPr>
            </w:pPr>
            <w:r w:rsidRPr="00142FD9">
              <w:rPr>
                <w:b/>
                <w:bCs/>
                <w:sz w:val="20"/>
                <w:szCs w:val="20"/>
              </w:rPr>
              <w:t>Výdavky (v eurách)</w:t>
            </w:r>
          </w:p>
        </w:tc>
        <w:tc>
          <w:tcPr>
            <w:tcW w:w="4240" w:type="dxa"/>
            <w:gridSpan w:val="4"/>
            <w:tcBorders>
              <w:top w:val="single" w:sz="4" w:space="0" w:color="auto"/>
              <w:left w:val="nil"/>
              <w:bottom w:val="single" w:sz="4" w:space="0" w:color="auto"/>
              <w:right w:val="single" w:sz="4" w:space="0" w:color="auto"/>
            </w:tcBorders>
            <w:shd w:val="clear" w:color="auto" w:fill="BFBFBF"/>
          </w:tcPr>
          <w:p w14:paraId="4F5266A0" w14:textId="77777777" w:rsidR="00142FD9" w:rsidRPr="00142FD9" w:rsidRDefault="00142FD9" w:rsidP="00142FD9">
            <w:pPr>
              <w:widowControl/>
              <w:adjustRightInd/>
              <w:jc w:val="center"/>
              <w:rPr>
                <w:b/>
                <w:bCs/>
                <w:sz w:val="20"/>
                <w:szCs w:val="20"/>
              </w:rPr>
            </w:pPr>
            <w:r w:rsidRPr="00142FD9">
              <w:rPr>
                <w:b/>
                <w:bCs/>
                <w:sz w:val="20"/>
                <w:szCs w:val="20"/>
              </w:rPr>
              <w:t>Vplyv na rozpočet verejnej správy</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2737E483" w14:textId="77777777" w:rsidR="00142FD9" w:rsidRPr="00142FD9" w:rsidRDefault="00142FD9" w:rsidP="00142FD9">
            <w:pPr>
              <w:widowControl/>
              <w:adjustRightInd/>
              <w:jc w:val="center"/>
              <w:rPr>
                <w:b/>
                <w:bCs/>
              </w:rPr>
            </w:pPr>
            <w:r w:rsidRPr="00142FD9">
              <w:rPr>
                <w:b/>
                <w:bCs/>
              </w:rPr>
              <w:t>poznámka</w:t>
            </w:r>
          </w:p>
        </w:tc>
      </w:tr>
      <w:tr w:rsidR="00142FD9" w:rsidRPr="00142FD9" w14:paraId="004F7CA2" w14:textId="77777777" w:rsidTr="0016331A">
        <w:trPr>
          <w:cantSplit/>
          <w:trHeight w:val="354"/>
        </w:trPr>
        <w:tc>
          <w:tcPr>
            <w:tcW w:w="4866" w:type="dxa"/>
            <w:vMerge/>
            <w:tcBorders>
              <w:top w:val="single" w:sz="4" w:space="0" w:color="auto"/>
              <w:left w:val="single" w:sz="4" w:space="0" w:color="auto"/>
              <w:bottom w:val="single" w:sz="4" w:space="0" w:color="000000"/>
              <w:right w:val="single" w:sz="4" w:space="0" w:color="auto"/>
            </w:tcBorders>
            <w:vAlign w:val="center"/>
          </w:tcPr>
          <w:p w14:paraId="722B6316" w14:textId="77777777" w:rsidR="00142FD9" w:rsidRPr="00142FD9" w:rsidRDefault="00142FD9" w:rsidP="00142FD9">
            <w:pPr>
              <w:widowControl/>
              <w:adjustRightInd/>
              <w:rPr>
                <w:b/>
                <w:bCs/>
                <w:color w:val="FFFFFF"/>
                <w:sz w:val="20"/>
                <w:szCs w:val="20"/>
              </w:rPr>
            </w:pPr>
          </w:p>
        </w:tc>
        <w:tc>
          <w:tcPr>
            <w:tcW w:w="1060" w:type="dxa"/>
            <w:tcBorders>
              <w:top w:val="nil"/>
              <w:left w:val="nil"/>
              <w:bottom w:val="single" w:sz="4" w:space="0" w:color="auto"/>
              <w:right w:val="single" w:sz="4" w:space="0" w:color="auto"/>
            </w:tcBorders>
            <w:shd w:val="clear" w:color="auto" w:fill="BFBFBF"/>
          </w:tcPr>
          <w:p w14:paraId="05854453" w14:textId="77777777" w:rsidR="00142FD9" w:rsidRPr="00142FD9" w:rsidRDefault="00142FD9" w:rsidP="00142FD9">
            <w:pPr>
              <w:widowControl/>
              <w:adjustRightInd/>
              <w:jc w:val="center"/>
              <w:rPr>
                <w:b/>
                <w:bCs/>
                <w:sz w:val="20"/>
                <w:szCs w:val="20"/>
              </w:rPr>
            </w:pPr>
            <w:r w:rsidRPr="00142FD9">
              <w:rPr>
                <w:b/>
                <w:bCs/>
                <w:sz w:val="20"/>
                <w:szCs w:val="20"/>
              </w:rPr>
              <w:t>2021</w:t>
            </w:r>
          </w:p>
        </w:tc>
        <w:tc>
          <w:tcPr>
            <w:tcW w:w="1060" w:type="dxa"/>
            <w:tcBorders>
              <w:top w:val="nil"/>
              <w:left w:val="nil"/>
              <w:bottom w:val="single" w:sz="4" w:space="0" w:color="auto"/>
              <w:right w:val="single" w:sz="4" w:space="0" w:color="auto"/>
            </w:tcBorders>
            <w:shd w:val="clear" w:color="auto" w:fill="BFBFBF"/>
          </w:tcPr>
          <w:p w14:paraId="649AC50B" w14:textId="77777777" w:rsidR="00142FD9" w:rsidRPr="00142FD9" w:rsidRDefault="00142FD9" w:rsidP="00142FD9">
            <w:pPr>
              <w:widowControl/>
              <w:adjustRightInd/>
              <w:jc w:val="center"/>
              <w:rPr>
                <w:b/>
                <w:bCs/>
                <w:sz w:val="20"/>
                <w:szCs w:val="20"/>
              </w:rPr>
            </w:pPr>
            <w:r w:rsidRPr="00142FD9">
              <w:rPr>
                <w:b/>
                <w:bCs/>
                <w:sz w:val="20"/>
                <w:szCs w:val="20"/>
              </w:rPr>
              <w:t>2022</w:t>
            </w:r>
          </w:p>
        </w:tc>
        <w:tc>
          <w:tcPr>
            <w:tcW w:w="1060" w:type="dxa"/>
            <w:tcBorders>
              <w:top w:val="nil"/>
              <w:left w:val="nil"/>
              <w:bottom w:val="single" w:sz="4" w:space="0" w:color="auto"/>
              <w:right w:val="single" w:sz="4" w:space="0" w:color="auto"/>
            </w:tcBorders>
            <w:shd w:val="clear" w:color="auto" w:fill="BFBFBF"/>
          </w:tcPr>
          <w:p w14:paraId="20862D3C" w14:textId="77777777" w:rsidR="00142FD9" w:rsidRPr="00142FD9" w:rsidRDefault="00142FD9" w:rsidP="00142FD9">
            <w:pPr>
              <w:widowControl/>
              <w:adjustRightInd/>
              <w:jc w:val="center"/>
              <w:rPr>
                <w:b/>
                <w:bCs/>
                <w:sz w:val="20"/>
                <w:szCs w:val="20"/>
              </w:rPr>
            </w:pPr>
            <w:r w:rsidRPr="00142FD9">
              <w:rPr>
                <w:b/>
                <w:bCs/>
                <w:sz w:val="20"/>
                <w:szCs w:val="20"/>
              </w:rPr>
              <w:t>2023</w:t>
            </w:r>
          </w:p>
        </w:tc>
        <w:tc>
          <w:tcPr>
            <w:tcW w:w="1060" w:type="dxa"/>
            <w:tcBorders>
              <w:top w:val="nil"/>
              <w:left w:val="nil"/>
              <w:bottom w:val="single" w:sz="4" w:space="0" w:color="auto"/>
              <w:right w:val="single" w:sz="4" w:space="0" w:color="auto"/>
            </w:tcBorders>
            <w:shd w:val="clear" w:color="auto" w:fill="BFBFBF"/>
          </w:tcPr>
          <w:p w14:paraId="56822266" w14:textId="77777777" w:rsidR="00142FD9" w:rsidRPr="00142FD9" w:rsidRDefault="00142FD9" w:rsidP="00142FD9">
            <w:pPr>
              <w:widowControl/>
              <w:adjustRightInd/>
              <w:jc w:val="center"/>
              <w:rPr>
                <w:b/>
                <w:bCs/>
              </w:rPr>
            </w:pPr>
            <w:r w:rsidRPr="00142FD9">
              <w:rPr>
                <w:b/>
                <w:bCs/>
                <w:sz w:val="20"/>
                <w:szCs w:val="20"/>
              </w:rPr>
              <w:t>2024</w:t>
            </w:r>
          </w:p>
        </w:tc>
        <w:tc>
          <w:tcPr>
            <w:tcW w:w="1528" w:type="dxa"/>
            <w:vMerge/>
            <w:tcBorders>
              <w:top w:val="single" w:sz="4" w:space="0" w:color="auto"/>
              <w:left w:val="single" w:sz="4" w:space="0" w:color="auto"/>
              <w:bottom w:val="single" w:sz="4" w:space="0" w:color="auto"/>
              <w:right w:val="single" w:sz="4" w:space="0" w:color="auto"/>
            </w:tcBorders>
            <w:vAlign w:val="center"/>
          </w:tcPr>
          <w:p w14:paraId="596E8775" w14:textId="77777777" w:rsidR="00142FD9" w:rsidRPr="00142FD9" w:rsidRDefault="00142FD9" w:rsidP="00142FD9">
            <w:pPr>
              <w:widowControl/>
              <w:adjustRightInd/>
              <w:rPr>
                <w:b/>
                <w:bCs/>
                <w:color w:val="FFFFFF"/>
              </w:rPr>
            </w:pPr>
          </w:p>
        </w:tc>
      </w:tr>
      <w:tr w:rsidR="00142FD9" w:rsidRPr="00142FD9" w14:paraId="3884DB7E" w14:textId="77777777" w:rsidTr="0016331A">
        <w:trPr>
          <w:trHeight w:val="354"/>
        </w:trPr>
        <w:tc>
          <w:tcPr>
            <w:tcW w:w="4866" w:type="dxa"/>
            <w:tcBorders>
              <w:top w:val="nil"/>
              <w:left w:val="single" w:sz="4" w:space="0" w:color="auto"/>
              <w:bottom w:val="single" w:sz="4" w:space="0" w:color="auto"/>
              <w:right w:val="single" w:sz="4" w:space="0" w:color="auto"/>
            </w:tcBorders>
          </w:tcPr>
          <w:p w14:paraId="046D0043" w14:textId="77777777" w:rsidR="00142FD9" w:rsidRPr="00142FD9" w:rsidRDefault="00142FD9" w:rsidP="00142FD9">
            <w:pPr>
              <w:widowControl/>
              <w:adjustRightInd/>
              <w:rPr>
                <w:b/>
                <w:bCs/>
                <w:sz w:val="20"/>
                <w:szCs w:val="20"/>
              </w:rPr>
            </w:pPr>
            <w:r w:rsidRPr="00142FD9">
              <w:rPr>
                <w:b/>
                <w:bCs/>
                <w:sz w:val="20"/>
                <w:szCs w:val="20"/>
              </w:rPr>
              <w:t>Bežné výdavky (600)</w:t>
            </w:r>
          </w:p>
        </w:tc>
        <w:tc>
          <w:tcPr>
            <w:tcW w:w="1060" w:type="dxa"/>
            <w:tcBorders>
              <w:top w:val="nil"/>
              <w:left w:val="nil"/>
              <w:bottom w:val="single" w:sz="4" w:space="0" w:color="auto"/>
              <w:right w:val="single" w:sz="4" w:space="0" w:color="auto"/>
            </w:tcBorders>
            <w:vAlign w:val="center"/>
          </w:tcPr>
          <w:p w14:paraId="64AFC0AA" w14:textId="77777777" w:rsidR="00142FD9" w:rsidRPr="00142FD9" w:rsidRDefault="00142FD9" w:rsidP="00142FD9">
            <w:pPr>
              <w:widowControl/>
              <w:adjustRightInd/>
              <w:jc w:val="right"/>
              <w:rPr>
                <w:b/>
                <w:bCs/>
                <w:highlight w:val="green"/>
              </w:rPr>
            </w:pPr>
            <w:r w:rsidRPr="00142FD9">
              <w:rPr>
                <w:b/>
                <w:bCs/>
              </w:rPr>
              <w:t>13 185 150</w:t>
            </w:r>
          </w:p>
        </w:tc>
        <w:tc>
          <w:tcPr>
            <w:tcW w:w="1060" w:type="dxa"/>
            <w:tcBorders>
              <w:top w:val="nil"/>
              <w:left w:val="nil"/>
              <w:bottom w:val="single" w:sz="4" w:space="0" w:color="auto"/>
              <w:right w:val="single" w:sz="4" w:space="0" w:color="auto"/>
            </w:tcBorders>
            <w:vAlign w:val="center"/>
          </w:tcPr>
          <w:p w14:paraId="457F160E" w14:textId="77777777" w:rsidR="00142FD9" w:rsidRPr="00142FD9" w:rsidRDefault="00142FD9" w:rsidP="00142FD9">
            <w:pPr>
              <w:widowControl/>
              <w:adjustRightInd/>
              <w:jc w:val="right"/>
              <w:rPr>
                <w:b/>
                <w:bCs/>
              </w:rPr>
            </w:pPr>
            <w:r w:rsidRPr="00142FD9">
              <w:rPr>
                <w:b/>
              </w:rPr>
              <w:t>10 339 900</w:t>
            </w:r>
          </w:p>
        </w:tc>
        <w:tc>
          <w:tcPr>
            <w:tcW w:w="1060" w:type="dxa"/>
            <w:tcBorders>
              <w:top w:val="nil"/>
              <w:left w:val="nil"/>
              <w:bottom w:val="single" w:sz="4" w:space="0" w:color="auto"/>
              <w:right w:val="single" w:sz="4" w:space="0" w:color="auto"/>
            </w:tcBorders>
            <w:vAlign w:val="center"/>
          </w:tcPr>
          <w:p w14:paraId="377DF80B" w14:textId="77777777" w:rsidR="00142FD9" w:rsidRPr="00142FD9" w:rsidRDefault="00142FD9" w:rsidP="00142FD9">
            <w:pPr>
              <w:widowControl/>
              <w:adjustRightInd/>
              <w:jc w:val="right"/>
              <w:rPr>
                <w:rFonts w:ascii="Calibri" w:eastAsia="Calibri" w:hAnsi="Calibri" w:cs="Calibri"/>
                <w:color w:val="000000"/>
                <w:sz w:val="22"/>
                <w:szCs w:val="22"/>
                <w:lang w:eastAsia="en-US"/>
              </w:rPr>
            </w:pPr>
            <w:r w:rsidRPr="00142FD9">
              <w:rPr>
                <w:b/>
              </w:rPr>
              <w:t>18 086 550</w:t>
            </w:r>
          </w:p>
        </w:tc>
        <w:tc>
          <w:tcPr>
            <w:tcW w:w="1060" w:type="dxa"/>
            <w:tcBorders>
              <w:top w:val="nil"/>
              <w:left w:val="nil"/>
              <w:bottom w:val="single" w:sz="4" w:space="0" w:color="auto"/>
              <w:right w:val="single" w:sz="4" w:space="0" w:color="auto"/>
            </w:tcBorders>
            <w:vAlign w:val="center"/>
          </w:tcPr>
          <w:p w14:paraId="76A1997B" w14:textId="77777777" w:rsidR="00142FD9" w:rsidRPr="00142FD9" w:rsidRDefault="00142FD9" w:rsidP="00142FD9">
            <w:pPr>
              <w:widowControl/>
              <w:adjustRightInd/>
              <w:jc w:val="right"/>
              <w:rPr>
                <w:b/>
              </w:rPr>
            </w:pPr>
            <w:r w:rsidRPr="00142FD9">
              <w:rPr>
                <w:b/>
              </w:rPr>
              <w:t>13 077 240</w:t>
            </w:r>
          </w:p>
        </w:tc>
        <w:tc>
          <w:tcPr>
            <w:tcW w:w="1528" w:type="dxa"/>
            <w:tcBorders>
              <w:top w:val="nil"/>
              <w:left w:val="nil"/>
              <w:bottom w:val="single" w:sz="4" w:space="0" w:color="auto"/>
              <w:right w:val="single" w:sz="4" w:space="0" w:color="auto"/>
            </w:tcBorders>
            <w:noWrap/>
            <w:vAlign w:val="bottom"/>
          </w:tcPr>
          <w:p w14:paraId="3089FB92" w14:textId="77777777" w:rsidR="00142FD9" w:rsidRPr="00142FD9" w:rsidRDefault="00142FD9" w:rsidP="00142FD9">
            <w:pPr>
              <w:widowControl/>
              <w:adjustRightInd/>
            </w:pPr>
            <w:r w:rsidRPr="00142FD9">
              <w:t> </w:t>
            </w:r>
          </w:p>
        </w:tc>
      </w:tr>
      <w:tr w:rsidR="00142FD9" w:rsidRPr="00142FD9" w14:paraId="2EC21AA1" w14:textId="77777777" w:rsidTr="0016331A">
        <w:trPr>
          <w:trHeight w:val="354"/>
        </w:trPr>
        <w:tc>
          <w:tcPr>
            <w:tcW w:w="4866" w:type="dxa"/>
            <w:tcBorders>
              <w:top w:val="nil"/>
              <w:left w:val="single" w:sz="4" w:space="0" w:color="auto"/>
              <w:bottom w:val="single" w:sz="4" w:space="0" w:color="auto"/>
              <w:right w:val="single" w:sz="4" w:space="0" w:color="auto"/>
            </w:tcBorders>
          </w:tcPr>
          <w:p w14:paraId="5BE5473D" w14:textId="77777777" w:rsidR="00142FD9" w:rsidRPr="00142FD9" w:rsidRDefault="00142FD9" w:rsidP="00142FD9">
            <w:pPr>
              <w:widowControl/>
              <w:adjustRightInd/>
              <w:rPr>
                <w:sz w:val="20"/>
                <w:szCs w:val="20"/>
              </w:rPr>
            </w:pPr>
            <w:r w:rsidRPr="00142FD9">
              <w:rPr>
                <w:sz w:val="20"/>
                <w:szCs w:val="20"/>
              </w:rPr>
              <w:t xml:space="preserve">  Mzdy, platy, služobné príjmy a ostatné osobné vyrovnania (610)</w:t>
            </w:r>
          </w:p>
        </w:tc>
        <w:tc>
          <w:tcPr>
            <w:tcW w:w="1060" w:type="dxa"/>
            <w:tcBorders>
              <w:top w:val="nil"/>
              <w:left w:val="nil"/>
              <w:bottom w:val="single" w:sz="4" w:space="0" w:color="auto"/>
              <w:right w:val="single" w:sz="4" w:space="0" w:color="auto"/>
            </w:tcBorders>
          </w:tcPr>
          <w:p w14:paraId="05EAE088"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1EB46E11"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0AEF3F8C"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17658846" w14:textId="77777777" w:rsidR="00142FD9" w:rsidRPr="00142FD9" w:rsidRDefault="00142FD9" w:rsidP="00142FD9">
            <w:pPr>
              <w:widowControl/>
              <w:adjustRightInd/>
              <w:jc w:val="center"/>
            </w:pPr>
          </w:p>
        </w:tc>
        <w:tc>
          <w:tcPr>
            <w:tcW w:w="1528" w:type="dxa"/>
            <w:tcBorders>
              <w:top w:val="nil"/>
              <w:left w:val="nil"/>
              <w:bottom w:val="single" w:sz="4" w:space="0" w:color="auto"/>
              <w:right w:val="single" w:sz="4" w:space="0" w:color="auto"/>
            </w:tcBorders>
            <w:noWrap/>
            <w:vAlign w:val="bottom"/>
          </w:tcPr>
          <w:p w14:paraId="2D299190" w14:textId="77777777" w:rsidR="00142FD9" w:rsidRPr="00142FD9" w:rsidRDefault="00142FD9" w:rsidP="00142FD9">
            <w:pPr>
              <w:widowControl/>
              <w:adjustRightInd/>
            </w:pPr>
            <w:r w:rsidRPr="00142FD9">
              <w:t> </w:t>
            </w:r>
          </w:p>
        </w:tc>
      </w:tr>
      <w:tr w:rsidR="00142FD9" w:rsidRPr="00142FD9" w14:paraId="5EC22E70" w14:textId="77777777" w:rsidTr="0016331A">
        <w:trPr>
          <w:trHeight w:val="354"/>
        </w:trPr>
        <w:tc>
          <w:tcPr>
            <w:tcW w:w="4866" w:type="dxa"/>
            <w:tcBorders>
              <w:top w:val="nil"/>
              <w:left w:val="single" w:sz="4" w:space="0" w:color="auto"/>
              <w:bottom w:val="single" w:sz="4" w:space="0" w:color="auto"/>
              <w:right w:val="single" w:sz="4" w:space="0" w:color="auto"/>
            </w:tcBorders>
          </w:tcPr>
          <w:p w14:paraId="678459BE" w14:textId="77777777" w:rsidR="00142FD9" w:rsidRPr="00142FD9" w:rsidRDefault="00142FD9" w:rsidP="00142FD9">
            <w:pPr>
              <w:widowControl/>
              <w:adjustRightInd/>
              <w:rPr>
                <w:sz w:val="20"/>
                <w:szCs w:val="20"/>
                <w:vertAlign w:val="superscript"/>
              </w:rPr>
            </w:pPr>
            <w:r w:rsidRPr="00142FD9">
              <w:rPr>
                <w:sz w:val="20"/>
                <w:szCs w:val="20"/>
              </w:rPr>
              <w:t xml:space="preserve">  Poistné a príspevok do poisťovní (620)</w:t>
            </w:r>
          </w:p>
        </w:tc>
        <w:tc>
          <w:tcPr>
            <w:tcW w:w="1060" w:type="dxa"/>
            <w:tcBorders>
              <w:top w:val="nil"/>
              <w:left w:val="nil"/>
              <w:bottom w:val="single" w:sz="4" w:space="0" w:color="auto"/>
              <w:right w:val="single" w:sz="4" w:space="0" w:color="auto"/>
            </w:tcBorders>
          </w:tcPr>
          <w:p w14:paraId="5B73C442"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033D09F2"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57B346F4"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13B5E7C5" w14:textId="77777777" w:rsidR="00142FD9" w:rsidRPr="00142FD9" w:rsidRDefault="00142FD9" w:rsidP="00142FD9">
            <w:pPr>
              <w:widowControl/>
              <w:adjustRightInd/>
              <w:jc w:val="center"/>
            </w:pPr>
          </w:p>
        </w:tc>
        <w:tc>
          <w:tcPr>
            <w:tcW w:w="1528" w:type="dxa"/>
            <w:tcBorders>
              <w:top w:val="nil"/>
              <w:left w:val="nil"/>
              <w:bottom w:val="single" w:sz="4" w:space="0" w:color="auto"/>
              <w:right w:val="single" w:sz="4" w:space="0" w:color="auto"/>
            </w:tcBorders>
            <w:noWrap/>
            <w:vAlign w:val="bottom"/>
          </w:tcPr>
          <w:p w14:paraId="448934FA" w14:textId="77777777" w:rsidR="00142FD9" w:rsidRPr="00142FD9" w:rsidRDefault="00142FD9" w:rsidP="00142FD9">
            <w:pPr>
              <w:widowControl/>
              <w:adjustRightInd/>
            </w:pPr>
            <w:r w:rsidRPr="00142FD9">
              <w:t> </w:t>
            </w:r>
          </w:p>
        </w:tc>
      </w:tr>
      <w:tr w:rsidR="00142FD9" w:rsidRPr="00142FD9" w14:paraId="20D5E5EE" w14:textId="77777777" w:rsidTr="0016331A">
        <w:trPr>
          <w:trHeight w:val="354"/>
        </w:trPr>
        <w:tc>
          <w:tcPr>
            <w:tcW w:w="4866" w:type="dxa"/>
            <w:tcBorders>
              <w:top w:val="nil"/>
              <w:left w:val="single" w:sz="4" w:space="0" w:color="auto"/>
              <w:bottom w:val="single" w:sz="4" w:space="0" w:color="auto"/>
              <w:right w:val="single" w:sz="4" w:space="0" w:color="auto"/>
            </w:tcBorders>
          </w:tcPr>
          <w:p w14:paraId="5A7C73CD" w14:textId="77777777" w:rsidR="00142FD9" w:rsidRPr="00142FD9" w:rsidRDefault="00142FD9" w:rsidP="00142FD9">
            <w:pPr>
              <w:widowControl/>
              <w:adjustRightInd/>
              <w:rPr>
                <w:sz w:val="20"/>
                <w:szCs w:val="20"/>
                <w:vertAlign w:val="superscript"/>
              </w:rPr>
            </w:pPr>
            <w:r w:rsidRPr="00142FD9">
              <w:rPr>
                <w:sz w:val="20"/>
                <w:szCs w:val="20"/>
              </w:rPr>
              <w:t xml:space="preserve">  Tovary a služby (630)</w:t>
            </w:r>
            <w:r w:rsidRPr="00142FD9">
              <w:rPr>
                <w:sz w:val="20"/>
                <w:szCs w:val="20"/>
                <w:vertAlign w:val="superscript"/>
              </w:rPr>
              <w:t>2</w:t>
            </w:r>
          </w:p>
        </w:tc>
        <w:tc>
          <w:tcPr>
            <w:tcW w:w="1060" w:type="dxa"/>
            <w:tcBorders>
              <w:top w:val="nil"/>
              <w:left w:val="nil"/>
              <w:bottom w:val="single" w:sz="4" w:space="0" w:color="auto"/>
              <w:right w:val="single" w:sz="4" w:space="0" w:color="auto"/>
            </w:tcBorders>
          </w:tcPr>
          <w:p w14:paraId="737355A3"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2AA94A13"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3B8B781F"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708C0018" w14:textId="77777777" w:rsidR="00142FD9" w:rsidRPr="00142FD9" w:rsidRDefault="00142FD9" w:rsidP="00142FD9">
            <w:pPr>
              <w:widowControl/>
              <w:adjustRightInd/>
              <w:jc w:val="center"/>
            </w:pPr>
          </w:p>
        </w:tc>
        <w:tc>
          <w:tcPr>
            <w:tcW w:w="1528" w:type="dxa"/>
            <w:tcBorders>
              <w:top w:val="nil"/>
              <w:left w:val="nil"/>
              <w:bottom w:val="single" w:sz="4" w:space="0" w:color="auto"/>
              <w:right w:val="single" w:sz="4" w:space="0" w:color="auto"/>
            </w:tcBorders>
            <w:noWrap/>
            <w:vAlign w:val="bottom"/>
          </w:tcPr>
          <w:p w14:paraId="45EC99D2" w14:textId="77777777" w:rsidR="00142FD9" w:rsidRPr="00142FD9" w:rsidRDefault="00142FD9" w:rsidP="00142FD9">
            <w:pPr>
              <w:widowControl/>
              <w:adjustRightInd/>
            </w:pPr>
            <w:r w:rsidRPr="00142FD9">
              <w:t> </w:t>
            </w:r>
          </w:p>
        </w:tc>
      </w:tr>
      <w:tr w:rsidR="00142FD9" w:rsidRPr="00142FD9" w14:paraId="249AED3C" w14:textId="77777777" w:rsidTr="0016331A">
        <w:trPr>
          <w:trHeight w:val="354"/>
        </w:trPr>
        <w:tc>
          <w:tcPr>
            <w:tcW w:w="4866" w:type="dxa"/>
            <w:tcBorders>
              <w:top w:val="nil"/>
              <w:left w:val="single" w:sz="4" w:space="0" w:color="auto"/>
              <w:bottom w:val="single" w:sz="4" w:space="0" w:color="auto"/>
              <w:right w:val="single" w:sz="4" w:space="0" w:color="auto"/>
            </w:tcBorders>
          </w:tcPr>
          <w:p w14:paraId="48E2B0BB" w14:textId="77777777" w:rsidR="00142FD9" w:rsidRPr="00142FD9" w:rsidRDefault="00142FD9" w:rsidP="00142FD9">
            <w:pPr>
              <w:widowControl/>
              <w:adjustRightInd/>
              <w:rPr>
                <w:sz w:val="20"/>
                <w:szCs w:val="20"/>
              </w:rPr>
            </w:pPr>
            <w:r w:rsidRPr="00142FD9">
              <w:rPr>
                <w:sz w:val="20"/>
                <w:szCs w:val="20"/>
              </w:rPr>
              <w:t xml:space="preserve">  Bežné transfery (640)</w:t>
            </w:r>
            <w:r w:rsidRPr="00142FD9">
              <w:rPr>
                <w:sz w:val="20"/>
                <w:szCs w:val="20"/>
                <w:vertAlign w:val="superscript"/>
              </w:rPr>
              <w:t>2</w:t>
            </w:r>
          </w:p>
        </w:tc>
        <w:tc>
          <w:tcPr>
            <w:tcW w:w="1060" w:type="dxa"/>
            <w:tcBorders>
              <w:top w:val="nil"/>
              <w:left w:val="nil"/>
              <w:bottom w:val="single" w:sz="4" w:space="0" w:color="auto"/>
              <w:right w:val="single" w:sz="4" w:space="0" w:color="auto"/>
            </w:tcBorders>
            <w:vAlign w:val="center"/>
          </w:tcPr>
          <w:p w14:paraId="3BA2C489" w14:textId="77777777" w:rsidR="00142FD9" w:rsidRPr="00142FD9" w:rsidRDefault="00142FD9" w:rsidP="00142FD9">
            <w:pPr>
              <w:widowControl/>
              <w:adjustRightInd/>
              <w:jc w:val="right"/>
              <w:rPr>
                <w:bCs/>
                <w:highlight w:val="green"/>
              </w:rPr>
            </w:pPr>
            <w:r w:rsidRPr="00142FD9">
              <w:rPr>
                <w:bCs/>
              </w:rPr>
              <w:t>13 185 150</w:t>
            </w:r>
          </w:p>
        </w:tc>
        <w:tc>
          <w:tcPr>
            <w:tcW w:w="1060" w:type="dxa"/>
            <w:tcBorders>
              <w:top w:val="nil"/>
              <w:left w:val="nil"/>
              <w:bottom w:val="single" w:sz="4" w:space="0" w:color="auto"/>
              <w:right w:val="single" w:sz="4" w:space="0" w:color="auto"/>
            </w:tcBorders>
            <w:vAlign w:val="center"/>
          </w:tcPr>
          <w:p w14:paraId="6E5A83FF" w14:textId="77777777" w:rsidR="00142FD9" w:rsidRPr="00142FD9" w:rsidRDefault="00142FD9" w:rsidP="00142FD9">
            <w:pPr>
              <w:widowControl/>
              <w:adjustRightInd/>
              <w:jc w:val="right"/>
              <w:rPr>
                <w:bCs/>
              </w:rPr>
            </w:pPr>
            <w:r w:rsidRPr="00142FD9">
              <w:t>10 339 900</w:t>
            </w:r>
          </w:p>
        </w:tc>
        <w:tc>
          <w:tcPr>
            <w:tcW w:w="1060" w:type="dxa"/>
            <w:tcBorders>
              <w:top w:val="nil"/>
              <w:left w:val="nil"/>
              <w:bottom w:val="single" w:sz="4" w:space="0" w:color="auto"/>
              <w:right w:val="single" w:sz="4" w:space="0" w:color="auto"/>
            </w:tcBorders>
            <w:vAlign w:val="center"/>
          </w:tcPr>
          <w:p w14:paraId="2186D1BD" w14:textId="77777777" w:rsidR="00142FD9" w:rsidRPr="00142FD9" w:rsidRDefault="00142FD9" w:rsidP="00142FD9">
            <w:pPr>
              <w:widowControl/>
              <w:adjustRightInd/>
              <w:jc w:val="right"/>
              <w:rPr>
                <w:rFonts w:ascii="Calibri" w:eastAsia="Calibri" w:hAnsi="Calibri" w:cs="Calibri"/>
                <w:color w:val="000000"/>
                <w:sz w:val="22"/>
                <w:szCs w:val="22"/>
                <w:lang w:eastAsia="en-US"/>
              </w:rPr>
            </w:pPr>
            <w:r w:rsidRPr="00142FD9">
              <w:t>18 086 550</w:t>
            </w:r>
          </w:p>
        </w:tc>
        <w:tc>
          <w:tcPr>
            <w:tcW w:w="1060" w:type="dxa"/>
            <w:tcBorders>
              <w:top w:val="nil"/>
              <w:left w:val="nil"/>
              <w:bottom w:val="single" w:sz="4" w:space="0" w:color="auto"/>
              <w:right w:val="single" w:sz="4" w:space="0" w:color="auto"/>
            </w:tcBorders>
            <w:vAlign w:val="center"/>
          </w:tcPr>
          <w:p w14:paraId="4C28FC20" w14:textId="77777777" w:rsidR="00142FD9" w:rsidRPr="00142FD9" w:rsidRDefault="00142FD9" w:rsidP="00142FD9">
            <w:pPr>
              <w:widowControl/>
              <w:adjustRightInd/>
              <w:jc w:val="right"/>
            </w:pPr>
            <w:r w:rsidRPr="00142FD9">
              <w:t>13 077 240</w:t>
            </w:r>
          </w:p>
        </w:tc>
        <w:tc>
          <w:tcPr>
            <w:tcW w:w="1528" w:type="dxa"/>
            <w:tcBorders>
              <w:top w:val="nil"/>
              <w:left w:val="nil"/>
              <w:bottom w:val="single" w:sz="4" w:space="0" w:color="auto"/>
              <w:right w:val="single" w:sz="4" w:space="0" w:color="auto"/>
            </w:tcBorders>
            <w:noWrap/>
            <w:vAlign w:val="bottom"/>
          </w:tcPr>
          <w:p w14:paraId="5B5D47DE" w14:textId="77777777" w:rsidR="00142FD9" w:rsidRPr="00142FD9" w:rsidRDefault="00142FD9" w:rsidP="00142FD9">
            <w:pPr>
              <w:widowControl/>
              <w:adjustRightInd/>
            </w:pPr>
            <w:r w:rsidRPr="00142FD9">
              <w:t> </w:t>
            </w:r>
          </w:p>
        </w:tc>
      </w:tr>
      <w:tr w:rsidR="00142FD9" w:rsidRPr="00142FD9" w14:paraId="1542ADD1" w14:textId="77777777" w:rsidTr="0016331A">
        <w:trPr>
          <w:trHeight w:val="354"/>
        </w:trPr>
        <w:tc>
          <w:tcPr>
            <w:tcW w:w="4866" w:type="dxa"/>
            <w:tcBorders>
              <w:top w:val="nil"/>
              <w:left w:val="single" w:sz="4" w:space="0" w:color="auto"/>
              <w:bottom w:val="single" w:sz="4" w:space="0" w:color="auto"/>
              <w:right w:val="single" w:sz="4" w:space="0" w:color="auto"/>
            </w:tcBorders>
            <w:vAlign w:val="center"/>
          </w:tcPr>
          <w:p w14:paraId="668BEB9D" w14:textId="77777777" w:rsidR="00142FD9" w:rsidRPr="00142FD9" w:rsidRDefault="00142FD9" w:rsidP="00142FD9">
            <w:pPr>
              <w:widowControl/>
              <w:adjustRightInd/>
              <w:rPr>
                <w:sz w:val="20"/>
                <w:szCs w:val="20"/>
              </w:rPr>
            </w:pPr>
            <w:r w:rsidRPr="00142FD9">
              <w:rPr>
                <w:sz w:val="20"/>
                <w:szCs w:val="20"/>
              </w:rPr>
              <w:t xml:space="preserve">  Splácanie úrokov a ostatné platby súvisiace s </w:t>
            </w:r>
            <w:r w:rsidRPr="00142FD9">
              <w:rPr>
                <w:rFonts w:ascii="Calibri" w:eastAsia="Calibri" w:hAnsi="Calibri"/>
                <w:sz w:val="22"/>
                <w:szCs w:val="22"/>
                <w:lang w:eastAsia="en-US"/>
              </w:rPr>
              <w:t xml:space="preserve"> </w:t>
            </w:r>
            <w:r w:rsidRPr="00142FD9">
              <w:rPr>
                <w:sz w:val="20"/>
                <w:szCs w:val="20"/>
              </w:rPr>
              <w:t>úverom, pôžičkou, návratnou finančnou výpomocou a finančným prenájmom (650)</w:t>
            </w:r>
            <w:r w:rsidRPr="00142FD9">
              <w:rPr>
                <w:sz w:val="20"/>
                <w:szCs w:val="20"/>
                <w:vertAlign w:val="superscript"/>
              </w:rPr>
              <w:t>2</w:t>
            </w:r>
          </w:p>
        </w:tc>
        <w:tc>
          <w:tcPr>
            <w:tcW w:w="1060" w:type="dxa"/>
            <w:tcBorders>
              <w:top w:val="nil"/>
              <w:left w:val="nil"/>
              <w:bottom w:val="single" w:sz="4" w:space="0" w:color="auto"/>
              <w:right w:val="single" w:sz="4" w:space="0" w:color="auto"/>
            </w:tcBorders>
          </w:tcPr>
          <w:p w14:paraId="20DAD78E"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068C1D2F"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48484933"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182CFB0D" w14:textId="77777777" w:rsidR="00142FD9" w:rsidRPr="00142FD9" w:rsidRDefault="00142FD9" w:rsidP="00142FD9">
            <w:pPr>
              <w:widowControl/>
              <w:adjustRightInd/>
              <w:jc w:val="center"/>
            </w:pPr>
          </w:p>
        </w:tc>
        <w:tc>
          <w:tcPr>
            <w:tcW w:w="1528" w:type="dxa"/>
            <w:tcBorders>
              <w:top w:val="nil"/>
              <w:left w:val="nil"/>
              <w:bottom w:val="single" w:sz="4" w:space="0" w:color="auto"/>
              <w:right w:val="single" w:sz="4" w:space="0" w:color="auto"/>
            </w:tcBorders>
            <w:noWrap/>
            <w:vAlign w:val="bottom"/>
          </w:tcPr>
          <w:p w14:paraId="10A7ED2E" w14:textId="77777777" w:rsidR="00142FD9" w:rsidRPr="00142FD9" w:rsidRDefault="00142FD9" w:rsidP="00142FD9">
            <w:pPr>
              <w:widowControl/>
              <w:adjustRightInd/>
            </w:pPr>
          </w:p>
        </w:tc>
      </w:tr>
      <w:tr w:rsidR="00142FD9" w:rsidRPr="00142FD9" w14:paraId="435520CE" w14:textId="77777777" w:rsidTr="0016331A">
        <w:trPr>
          <w:trHeight w:val="354"/>
        </w:trPr>
        <w:tc>
          <w:tcPr>
            <w:tcW w:w="4866" w:type="dxa"/>
            <w:tcBorders>
              <w:top w:val="nil"/>
              <w:left w:val="single" w:sz="4" w:space="0" w:color="auto"/>
              <w:bottom w:val="single" w:sz="4" w:space="0" w:color="auto"/>
              <w:right w:val="single" w:sz="4" w:space="0" w:color="auto"/>
            </w:tcBorders>
          </w:tcPr>
          <w:p w14:paraId="3A12F5EE" w14:textId="77777777" w:rsidR="00142FD9" w:rsidRPr="00142FD9" w:rsidRDefault="00142FD9" w:rsidP="00142FD9">
            <w:pPr>
              <w:widowControl/>
              <w:adjustRightInd/>
              <w:rPr>
                <w:b/>
                <w:bCs/>
                <w:sz w:val="20"/>
                <w:szCs w:val="20"/>
              </w:rPr>
            </w:pPr>
            <w:r w:rsidRPr="00142FD9">
              <w:rPr>
                <w:b/>
                <w:bCs/>
                <w:sz w:val="20"/>
                <w:szCs w:val="20"/>
              </w:rPr>
              <w:t>Kapitálové výdavky (700)</w:t>
            </w:r>
          </w:p>
        </w:tc>
        <w:tc>
          <w:tcPr>
            <w:tcW w:w="1060" w:type="dxa"/>
            <w:tcBorders>
              <w:top w:val="nil"/>
              <w:left w:val="nil"/>
              <w:bottom w:val="single" w:sz="4" w:space="0" w:color="auto"/>
              <w:right w:val="single" w:sz="4" w:space="0" w:color="auto"/>
            </w:tcBorders>
          </w:tcPr>
          <w:p w14:paraId="04717E7C" w14:textId="77777777" w:rsidR="00142FD9" w:rsidRPr="00142FD9" w:rsidRDefault="00142FD9" w:rsidP="00142FD9">
            <w:pPr>
              <w:widowControl/>
              <w:adjustRightInd/>
              <w:jc w:val="center"/>
              <w:rPr>
                <w:b/>
                <w:bCs/>
                <w:sz w:val="20"/>
                <w:szCs w:val="20"/>
              </w:rPr>
            </w:pPr>
          </w:p>
        </w:tc>
        <w:tc>
          <w:tcPr>
            <w:tcW w:w="1060" w:type="dxa"/>
            <w:tcBorders>
              <w:top w:val="nil"/>
              <w:left w:val="nil"/>
              <w:bottom w:val="single" w:sz="4" w:space="0" w:color="auto"/>
              <w:right w:val="single" w:sz="4" w:space="0" w:color="auto"/>
            </w:tcBorders>
          </w:tcPr>
          <w:p w14:paraId="110E186B" w14:textId="77777777" w:rsidR="00142FD9" w:rsidRPr="00142FD9" w:rsidRDefault="00142FD9" w:rsidP="00142FD9">
            <w:pPr>
              <w:widowControl/>
              <w:adjustRightInd/>
              <w:jc w:val="center"/>
              <w:rPr>
                <w:b/>
                <w:bCs/>
                <w:sz w:val="20"/>
                <w:szCs w:val="20"/>
              </w:rPr>
            </w:pPr>
          </w:p>
        </w:tc>
        <w:tc>
          <w:tcPr>
            <w:tcW w:w="1060" w:type="dxa"/>
            <w:tcBorders>
              <w:top w:val="nil"/>
              <w:left w:val="nil"/>
              <w:bottom w:val="single" w:sz="4" w:space="0" w:color="auto"/>
              <w:right w:val="single" w:sz="4" w:space="0" w:color="auto"/>
            </w:tcBorders>
          </w:tcPr>
          <w:p w14:paraId="64CB6B47" w14:textId="77777777" w:rsidR="00142FD9" w:rsidRPr="00142FD9" w:rsidRDefault="00142FD9" w:rsidP="00142FD9">
            <w:pPr>
              <w:widowControl/>
              <w:adjustRightInd/>
              <w:jc w:val="center"/>
              <w:rPr>
                <w:b/>
                <w:bCs/>
                <w:sz w:val="20"/>
                <w:szCs w:val="20"/>
              </w:rPr>
            </w:pPr>
          </w:p>
        </w:tc>
        <w:tc>
          <w:tcPr>
            <w:tcW w:w="1060" w:type="dxa"/>
            <w:tcBorders>
              <w:top w:val="nil"/>
              <w:left w:val="nil"/>
              <w:bottom w:val="single" w:sz="4" w:space="0" w:color="auto"/>
              <w:right w:val="single" w:sz="4" w:space="0" w:color="auto"/>
            </w:tcBorders>
          </w:tcPr>
          <w:p w14:paraId="6ADF7BA6" w14:textId="77777777" w:rsidR="00142FD9" w:rsidRPr="00142FD9" w:rsidRDefault="00142FD9" w:rsidP="00142FD9">
            <w:pPr>
              <w:widowControl/>
              <w:adjustRightInd/>
              <w:jc w:val="center"/>
              <w:rPr>
                <w:b/>
                <w:bCs/>
              </w:rPr>
            </w:pPr>
          </w:p>
        </w:tc>
        <w:tc>
          <w:tcPr>
            <w:tcW w:w="1528" w:type="dxa"/>
            <w:tcBorders>
              <w:top w:val="nil"/>
              <w:left w:val="nil"/>
              <w:bottom w:val="single" w:sz="4" w:space="0" w:color="auto"/>
              <w:right w:val="single" w:sz="4" w:space="0" w:color="auto"/>
            </w:tcBorders>
            <w:noWrap/>
            <w:vAlign w:val="bottom"/>
          </w:tcPr>
          <w:p w14:paraId="1A978EFC" w14:textId="77777777" w:rsidR="00142FD9" w:rsidRPr="00142FD9" w:rsidRDefault="00142FD9" w:rsidP="00142FD9">
            <w:pPr>
              <w:widowControl/>
              <w:adjustRightInd/>
            </w:pPr>
            <w:r w:rsidRPr="00142FD9">
              <w:t> </w:t>
            </w:r>
          </w:p>
        </w:tc>
      </w:tr>
      <w:tr w:rsidR="00142FD9" w:rsidRPr="00142FD9" w14:paraId="00196C9A" w14:textId="77777777" w:rsidTr="0016331A">
        <w:trPr>
          <w:trHeight w:val="354"/>
        </w:trPr>
        <w:tc>
          <w:tcPr>
            <w:tcW w:w="4866" w:type="dxa"/>
            <w:tcBorders>
              <w:top w:val="nil"/>
              <w:left w:val="single" w:sz="4" w:space="0" w:color="auto"/>
              <w:bottom w:val="single" w:sz="4" w:space="0" w:color="auto"/>
              <w:right w:val="single" w:sz="4" w:space="0" w:color="auto"/>
            </w:tcBorders>
          </w:tcPr>
          <w:p w14:paraId="33D84EB6" w14:textId="77777777" w:rsidR="00142FD9" w:rsidRPr="00142FD9" w:rsidRDefault="00142FD9" w:rsidP="00142FD9">
            <w:pPr>
              <w:widowControl/>
              <w:adjustRightInd/>
              <w:rPr>
                <w:sz w:val="20"/>
                <w:szCs w:val="20"/>
              </w:rPr>
            </w:pPr>
            <w:r w:rsidRPr="00142FD9">
              <w:rPr>
                <w:sz w:val="20"/>
                <w:szCs w:val="20"/>
              </w:rPr>
              <w:t xml:space="preserve">  Obstarávanie kapitálových aktív (710)</w:t>
            </w:r>
            <w:r w:rsidRPr="00142FD9">
              <w:rPr>
                <w:sz w:val="20"/>
                <w:szCs w:val="20"/>
                <w:vertAlign w:val="superscript"/>
              </w:rPr>
              <w:t>2</w:t>
            </w:r>
          </w:p>
        </w:tc>
        <w:tc>
          <w:tcPr>
            <w:tcW w:w="1060" w:type="dxa"/>
            <w:tcBorders>
              <w:top w:val="nil"/>
              <w:left w:val="nil"/>
              <w:bottom w:val="single" w:sz="4" w:space="0" w:color="auto"/>
              <w:right w:val="single" w:sz="4" w:space="0" w:color="auto"/>
            </w:tcBorders>
          </w:tcPr>
          <w:p w14:paraId="0C5067B9"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03A7E240"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5A9F7403"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32326ADC" w14:textId="77777777" w:rsidR="00142FD9" w:rsidRPr="00142FD9" w:rsidRDefault="00142FD9" w:rsidP="00142FD9">
            <w:pPr>
              <w:widowControl/>
              <w:adjustRightInd/>
              <w:jc w:val="center"/>
            </w:pPr>
          </w:p>
        </w:tc>
        <w:tc>
          <w:tcPr>
            <w:tcW w:w="1528" w:type="dxa"/>
            <w:tcBorders>
              <w:top w:val="nil"/>
              <w:left w:val="nil"/>
              <w:bottom w:val="single" w:sz="4" w:space="0" w:color="auto"/>
              <w:right w:val="single" w:sz="4" w:space="0" w:color="auto"/>
            </w:tcBorders>
            <w:noWrap/>
            <w:vAlign w:val="bottom"/>
          </w:tcPr>
          <w:p w14:paraId="533A569B" w14:textId="77777777" w:rsidR="00142FD9" w:rsidRPr="00142FD9" w:rsidRDefault="00142FD9" w:rsidP="00142FD9">
            <w:pPr>
              <w:widowControl/>
              <w:adjustRightInd/>
            </w:pPr>
            <w:r w:rsidRPr="00142FD9">
              <w:t> </w:t>
            </w:r>
          </w:p>
        </w:tc>
      </w:tr>
      <w:tr w:rsidR="00142FD9" w:rsidRPr="00142FD9" w14:paraId="0C571369" w14:textId="77777777" w:rsidTr="0016331A">
        <w:trPr>
          <w:trHeight w:val="354"/>
        </w:trPr>
        <w:tc>
          <w:tcPr>
            <w:tcW w:w="4866" w:type="dxa"/>
            <w:tcBorders>
              <w:top w:val="nil"/>
              <w:left w:val="single" w:sz="4" w:space="0" w:color="auto"/>
              <w:bottom w:val="single" w:sz="4" w:space="0" w:color="auto"/>
              <w:right w:val="single" w:sz="4" w:space="0" w:color="auto"/>
            </w:tcBorders>
          </w:tcPr>
          <w:p w14:paraId="6A67FFD2" w14:textId="77777777" w:rsidR="00142FD9" w:rsidRPr="00142FD9" w:rsidRDefault="00142FD9" w:rsidP="00142FD9">
            <w:pPr>
              <w:widowControl/>
              <w:adjustRightInd/>
              <w:rPr>
                <w:sz w:val="20"/>
                <w:szCs w:val="20"/>
              </w:rPr>
            </w:pPr>
            <w:r w:rsidRPr="00142FD9">
              <w:rPr>
                <w:sz w:val="20"/>
                <w:szCs w:val="20"/>
              </w:rPr>
              <w:t xml:space="preserve">  Kapitálové transfery (720)</w:t>
            </w:r>
            <w:r w:rsidRPr="00142FD9">
              <w:rPr>
                <w:sz w:val="20"/>
                <w:szCs w:val="20"/>
                <w:vertAlign w:val="superscript"/>
              </w:rPr>
              <w:t>2</w:t>
            </w:r>
          </w:p>
        </w:tc>
        <w:tc>
          <w:tcPr>
            <w:tcW w:w="1060" w:type="dxa"/>
            <w:tcBorders>
              <w:top w:val="nil"/>
              <w:left w:val="nil"/>
              <w:bottom w:val="single" w:sz="4" w:space="0" w:color="auto"/>
              <w:right w:val="single" w:sz="4" w:space="0" w:color="auto"/>
            </w:tcBorders>
          </w:tcPr>
          <w:p w14:paraId="32CE1E1E"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28662B8F"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72A1CB70" w14:textId="77777777" w:rsidR="00142FD9" w:rsidRPr="00142FD9" w:rsidRDefault="00142FD9" w:rsidP="00142FD9">
            <w:pPr>
              <w:widowControl/>
              <w:adjustRightInd/>
              <w:jc w:val="center"/>
              <w:rPr>
                <w:sz w:val="20"/>
                <w:szCs w:val="20"/>
              </w:rPr>
            </w:pPr>
          </w:p>
        </w:tc>
        <w:tc>
          <w:tcPr>
            <w:tcW w:w="1060" w:type="dxa"/>
            <w:tcBorders>
              <w:top w:val="nil"/>
              <w:left w:val="nil"/>
              <w:bottom w:val="single" w:sz="4" w:space="0" w:color="auto"/>
              <w:right w:val="single" w:sz="4" w:space="0" w:color="auto"/>
            </w:tcBorders>
          </w:tcPr>
          <w:p w14:paraId="44067442" w14:textId="77777777" w:rsidR="00142FD9" w:rsidRPr="00142FD9" w:rsidRDefault="00142FD9" w:rsidP="00142FD9">
            <w:pPr>
              <w:widowControl/>
              <w:adjustRightInd/>
              <w:jc w:val="center"/>
            </w:pPr>
          </w:p>
        </w:tc>
        <w:tc>
          <w:tcPr>
            <w:tcW w:w="1528" w:type="dxa"/>
            <w:tcBorders>
              <w:top w:val="nil"/>
              <w:left w:val="nil"/>
              <w:bottom w:val="single" w:sz="4" w:space="0" w:color="auto"/>
              <w:right w:val="single" w:sz="4" w:space="0" w:color="auto"/>
            </w:tcBorders>
            <w:noWrap/>
            <w:vAlign w:val="bottom"/>
          </w:tcPr>
          <w:p w14:paraId="46A6E975" w14:textId="77777777" w:rsidR="00142FD9" w:rsidRPr="00142FD9" w:rsidRDefault="00142FD9" w:rsidP="00142FD9">
            <w:pPr>
              <w:widowControl/>
              <w:adjustRightInd/>
            </w:pPr>
            <w:r w:rsidRPr="00142FD9">
              <w:t> </w:t>
            </w:r>
          </w:p>
        </w:tc>
      </w:tr>
      <w:tr w:rsidR="00142FD9" w:rsidRPr="00142FD9" w14:paraId="3133B03F" w14:textId="77777777" w:rsidTr="0016331A">
        <w:trPr>
          <w:trHeight w:val="354"/>
        </w:trPr>
        <w:tc>
          <w:tcPr>
            <w:tcW w:w="4866" w:type="dxa"/>
            <w:tcBorders>
              <w:top w:val="nil"/>
              <w:left w:val="single" w:sz="4" w:space="0" w:color="auto"/>
              <w:bottom w:val="single" w:sz="4" w:space="0" w:color="auto"/>
              <w:right w:val="single" w:sz="4" w:space="0" w:color="auto"/>
            </w:tcBorders>
          </w:tcPr>
          <w:p w14:paraId="039057D3" w14:textId="77777777" w:rsidR="00142FD9" w:rsidRPr="00142FD9" w:rsidRDefault="00142FD9" w:rsidP="00142FD9">
            <w:pPr>
              <w:widowControl/>
              <w:adjustRightInd/>
              <w:rPr>
                <w:b/>
                <w:bCs/>
                <w:sz w:val="20"/>
                <w:szCs w:val="20"/>
              </w:rPr>
            </w:pPr>
            <w:r w:rsidRPr="00142FD9">
              <w:rPr>
                <w:b/>
                <w:bCs/>
                <w:sz w:val="20"/>
                <w:szCs w:val="20"/>
              </w:rPr>
              <w:t>Výdavky z transakcií s finančnými aktívami a finančnými pasívami (800)</w:t>
            </w:r>
          </w:p>
        </w:tc>
        <w:tc>
          <w:tcPr>
            <w:tcW w:w="1060" w:type="dxa"/>
            <w:tcBorders>
              <w:top w:val="nil"/>
              <w:left w:val="nil"/>
              <w:bottom w:val="single" w:sz="4" w:space="0" w:color="auto"/>
              <w:right w:val="single" w:sz="4" w:space="0" w:color="auto"/>
            </w:tcBorders>
            <w:shd w:val="clear" w:color="auto" w:fill="FFFF99"/>
          </w:tcPr>
          <w:p w14:paraId="5385E15D" w14:textId="77777777" w:rsidR="00142FD9" w:rsidRPr="00142FD9" w:rsidRDefault="00142FD9" w:rsidP="00142FD9">
            <w:pPr>
              <w:widowControl/>
              <w:adjustRightInd/>
              <w:jc w:val="center"/>
              <w:rPr>
                <w:b/>
                <w:bCs/>
                <w:sz w:val="20"/>
                <w:szCs w:val="20"/>
              </w:rPr>
            </w:pPr>
            <w:r w:rsidRPr="00142FD9">
              <w:rPr>
                <w:b/>
                <w:bCs/>
                <w:sz w:val="20"/>
                <w:szCs w:val="20"/>
              </w:rPr>
              <w:t> </w:t>
            </w:r>
          </w:p>
        </w:tc>
        <w:tc>
          <w:tcPr>
            <w:tcW w:w="1060" w:type="dxa"/>
            <w:tcBorders>
              <w:top w:val="nil"/>
              <w:left w:val="nil"/>
              <w:bottom w:val="single" w:sz="4" w:space="0" w:color="auto"/>
              <w:right w:val="single" w:sz="4" w:space="0" w:color="auto"/>
            </w:tcBorders>
            <w:shd w:val="clear" w:color="auto" w:fill="FFFF99"/>
          </w:tcPr>
          <w:p w14:paraId="522390F7" w14:textId="77777777" w:rsidR="00142FD9" w:rsidRPr="00142FD9" w:rsidRDefault="00142FD9" w:rsidP="00142FD9">
            <w:pPr>
              <w:widowControl/>
              <w:adjustRightInd/>
              <w:jc w:val="center"/>
              <w:rPr>
                <w:b/>
                <w:bCs/>
                <w:sz w:val="20"/>
                <w:szCs w:val="20"/>
              </w:rPr>
            </w:pPr>
            <w:r w:rsidRPr="00142FD9">
              <w:rPr>
                <w:b/>
                <w:bCs/>
                <w:sz w:val="20"/>
                <w:szCs w:val="20"/>
              </w:rPr>
              <w:t> </w:t>
            </w:r>
          </w:p>
        </w:tc>
        <w:tc>
          <w:tcPr>
            <w:tcW w:w="1060" w:type="dxa"/>
            <w:tcBorders>
              <w:top w:val="nil"/>
              <w:left w:val="nil"/>
              <w:bottom w:val="single" w:sz="4" w:space="0" w:color="auto"/>
              <w:right w:val="single" w:sz="4" w:space="0" w:color="auto"/>
            </w:tcBorders>
            <w:shd w:val="clear" w:color="auto" w:fill="FFFF99"/>
          </w:tcPr>
          <w:p w14:paraId="397D27F3" w14:textId="77777777" w:rsidR="00142FD9" w:rsidRPr="00142FD9" w:rsidRDefault="00142FD9" w:rsidP="00142FD9">
            <w:pPr>
              <w:widowControl/>
              <w:adjustRightInd/>
              <w:jc w:val="center"/>
              <w:rPr>
                <w:b/>
                <w:bCs/>
                <w:sz w:val="20"/>
                <w:szCs w:val="20"/>
              </w:rPr>
            </w:pPr>
            <w:r w:rsidRPr="00142FD9">
              <w:rPr>
                <w:b/>
                <w:bCs/>
                <w:sz w:val="20"/>
                <w:szCs w:val="20"/>
              </w:rPr>
              <w:t> </w:t>
            </w:r>
          </w:p>
        </w:tc>
        <w:tc>
          <w:tcPr>
            <w:tcW w:w="1060" w:type="dxa"/>
            <w:tcBorders>
              <w:top w:val="nil"/>
              <w:left w:val="nil"/>
              <w:bottom w:val="single" w:sz="4" w:space="0" w:color="auto"/>
              <w:right w:val="single" w:sz="4" w:space="0" w:color="auto"/>
            </w:tcBorders>
            <w:shd w:val="clear" w:color="auto" w:fill="FFFF99"/>
          </w:tcPr>
          <w:p w14:paraId="1172756A" w14:textId="77777777" w:rsidR="00142FD9" w:rsidRPr="00142FD9" w:rsidRDefault="00142FD9" w:rsidP="00142FD9">
            <w:pPr>
              <w:widowControl/>
              <w:adjustRightInd/>
              <w:jc w:val="center"/>
              <w:rPr>
                <w:b/>
                <w:bCs/>
              </w:rPr>
            </w:pPr>
            <w:r w:rsidRPr="00142FD9">
              <w:rPr>
                <w:b/>
                <w:bCs/>
              </w:rPr>
              <w:t> </w:t>
            </w:r>
          </w:p>
        </w:tc>
        <w:tc>
          <w:tcPr>
            <w:tcW w:w="1528" w:type="dxa"/>
            <w:tcBorders>
              <w:top w:val="nil"/>
              <w:left w:val="nil"/>
              <w:bottom w:val="single" w:sz="4" w:space="0" w:color="auto"/>
              <w:right w:val="single" w:sz="4" w:space="0" w:color="auto"/>
            </w:tcBorders>
            <w:noWrap/>
            <w:vAlign w:val="bottom"/>
          </w:tcPr>
          <w:p w14:paraId="6F0F18B4" w14:textId="77777777" w:rsidR="00142FD9" w:rsidRPr="00142FD9" w:rsidRDefault="00142FD9" w:rsidP="00142FD9">
            <w:pPr>
              <w:widowControl/>
              <w:adjustRightInd/>
            </w:pPr>
            <w:r w:rsidRPr="00142FD9">
              <w:t> </w:t>
            </w:r>
          </w:p>
        </w:tc>
      </w:tr>
      <w:tr w:rsidR="00142FD9" w:rsidRPr="00142FD9" w14:paraId="2EF63E6A" w14:textId="77777777" w:rsidTr="0016331A">
        <w:trPr>
          <w:trHeight w:val="354"/>
        </w:trPr>
        <w:tc>
          <w:tcPr>
            <w:tcW w:w="4866" w:type="dxa"/>
            <w:tcBorders>
              <w:top w:val="single" w:sz="4" w:space="0" w:color="auto"/>
              <w:left w:val="single" w:sz="4" w:space="0" w:color="auto"/>
              <w:bottom w:val="single" w:sz="4" w:space="0" w:color="auto"/>
              <w:right w:val="single" w:sz="4" w:space="0" w:color="auto"/>
            </w:tcBorders>
            <w:shd w:val="clear" w:color="auto" w:fill="BFBFBF"/>
          </w:tcPr>
          <w:p w14:paraId="26FD284C" w14:textId="77777777" w:rsidR="00142FD9" w:rsidRPr="00142FD9" w:rsidRDefault="00142FD9" w:rsidP="00142FD9">
            <w:pPr>
              <w:widowControl/>
              <w:adjustRightInd/>
              <w:rPr>
                <w:b/>
                <w:bCs/>
                <w:sz w:val="20"/>
                <w:szCs w:val="20"/>
              </w:rPr>
            </w:pPr>
            <w:r w:rsidRPr="00142FD9">
              <w:rPr>
                <w:b/>
                <w:bCs/>
                <w:sz w:val="20"/>
                <w:szCs w:val="20"/>
              </w:rPr>
              <w:t>Dopad na výdavky verejnej správy celkom</w:t>
            </w:r>
          </w:p>
        </w:tc>
        <w:tc>
          <w:tcPr>
            <w:tcW w:w="1060" w:type="dxa"/>
            <w:tcBorders>
              <w:top w:val="single" w:sz="4" w:space="0" w:color="auto"/>
              <w:left w:val="nil"/>
              <w:bottom w:val="single" w:sz="4" w:space="0" w:color="auto"/>
              <w:right w:val="single" w:sz="4" w:space="0" w:color="auto"/>
            </w:tcBorders>
            <w:shd w:val="clear" w:color="auto" w:fill="BFBFBF"/>
            <w:vAlign w:val="center"/>
          </w:tcPr>
          <w:p w14:paraId="58FFA30E" w14:textId="77777777" w:rsidR="00142FD9" w:rsidRPr="00142FD9" w:rsidRDefault="00142FD9" w:rsidP="00142FD9">
            <w:pPr>
              <w:widowControl/>
              <w:adjustRightInd/>
              <w:jc w:val="right"/>
              <w:rPr>
                <w:b/>
                <w:bCs/>
                <w:highlight w:val="green"/>
              </w:rPr>
            </w:pPr>
            <w:r w:rsidRPr="00142FD9">
              <w:rPr>
                <w:b/>
                <w:bCs/>
              </w:rPr>
              <w:t>13 185 150</w:t>
            </w:r>
          </w:p>
        </w:tc>
        <w:tc>
          <w:tcPr>
            <w:tcW w:w="1060" w:type="dxa"/>
            <w:tcBorders>
              <w:top w:val="single" w:sz="4" w:space="0" w:color="auto"/>
              <w:left w:val="nil"/>
              <w:bottom w:val="single" w:sz="4" w:space="0" w:color="auto"/>
              <w:right w:val="single" w:sz="4" w:space="0" w:color="auto"/>
            </w:tcBorders>
            <w:shd w:val="clear" w:color="auto" w:fill="BFBFBF"/>
            <w:vAlign w:val="center"/>
          </w:tcPr>
          <w:p w14:paraId="621F39CF" w14:textId="77777777" w:rsidR="00142FD9" w:rsidRPr="00142FD9" w:rsidRDefault="00142FD9" w:rsidP="00142FD9">
            <w:pPr>
              <w:widowControl/>
              <w:adjustRightInd/>
              <w:jc w:val="right"/>
              <w:rPr>
                <w:b/>
                <w:bCs/>
              </w:rPr>
            </w:pPr>
            <w:r w:rsidRPr="00142FD9">
              <w:rPr>
                <w:b/>
              </w:rPr>
              <w:t>10 339 900</w:t>
            </w:r>
          </w:p>
        </w:tc>
        <w:tc>
          <w:tcPr>
            <w:tcW w:w="1060" w:type="dxa"/>
            <w:tcBorders>
              <w:top w:val="single" w:sz="4" w:space="0" w:color="auto"/>
              <w:left w:val="nil"/>
              <w:bottom w:val="single" w:sz="4" w:space="0" w:color="auto"/>
              <w:right w:val="single" w:sz="4" w:space="0" w:color="auto"/>
            </w:tcBorders>
            <w:shd w:val="clear" w:color="auto" w:fill="BFBFBF"/>
            <w:vAlign w:val="center"/>
          </w:tcPr>
          <w:p w14:paraId="62F99F5A" w14:textId="77777777" w:rsidR="00142FD9" w:rsidRPr="00142FD9" w:rsidRDefault="00142FD9" w:rsidP="00142FD9">
            <w:pPr>
              <w:widowControl/>
              <w:adjustRightInd/>
              <w:jc w:val="right"/>
              <w:rPr>
                <w:rFonts w:ascii="Calibri" w:eastAsia="Calibri" w:hAnsi="Calibri" w:cs="Calibri"/>
                <w:color w:val="000000"/>
                <w:sz w:val="22"/>
                <w:szCs w:val="22"/>
                <w:lang w:eastAsia="en-US"/>
              </w:rPr>
            </w:pPr>
            <w:r w:rsidRPr="00142FD9">
              <w:rPr>
                <w:b/>
              </w:rPr>
              <w:t>18 086 550</w:t>
            </w:r>
          </w:p>
        </w:tc>
        <w:tc>
          <w:tcPr>
            <w:tcW w:w="1060" w:type="dxa"/>
            <w:tcBorders>
              <w:top w:val="single" w:sz="4" w:space="0" w:color="auto"/>
              <w:left w:val="nil"/>
              <w:bottom w:val="single" w:sz="4" w:space="0" w:color="auto"/>
              <w:right w:val="single" w:sz="4" w:space="0" w:color="auto"/>
            </w:tcBorders>
            <w:shd w:val="clear" w:color="auto" w:fill="BFBFBF"/>
            <w:vAlign w:val="center"/>
          </w:tcPr>
          <w:p w14:paraId="1D6321C7" w14:textId="77777777" w:rsidR="00142FD9" w:rsidRPr="00142FD9" w:rsidRDefault="00142FD9" w:rsidP="00142FD9">
            <w:pPr>
              <w:widowControl/>
              <w:adjustRightInd/>
              <w:jc w:val="right"/>
              <w:rPr>
                <w:b/>
              </w:rPr>
            </w:pPr>
            <w:r w:rsidRPr="00142FD9">
              <w:rPr>
                <w:b/>
              </w:rPr>
              <w:t>13 077 240</w:t>
            </w:r>
          </w:p>
        </w:tc>
        <w:tc>
          <w:tcPr>
            <w:tcW w:w="1528" w:type="dxa"/>
            <w:tcBorders>
              <w:top w:val="single" w:sz="4" w:space="0" w:color="auto"/>
              <w:left w:val="nil"/>
              <w:bottom w:val="single" w:sz="4" w:space="0" w:color="auto"/>
              <w:right w:val="single" w:sz="4" w:space="0" w:color="auto"/>
            </w:tcBorders>
            <w:shd w:val="clear" w:color="auto" w:fill="BFBFBF"/>
            <w:noWrap/>
            <w:vAlign w:val="bottom"/>
          </w:tcPr>
          <w:p w14:paraId="7F13A036" w14:textId="77777777" w:rsidR="00142FD9" w:rsidRPr="00142FD9" w:rsidRDefault="00142FD9" w:rsidP="00142FD9">
            <w:pPr>
              <w:widowControl/>
              <w:adjustRightInd/>
            </w:pPr>
            <w:r w:rsidRPr="00142FD9">
              <w:t> </w:t>
            </w:r>
          </w:p>
        </w:tc>
      </w:tr>
    </w:tbl>
    <w:p w14:paraId="37C539A8" w14:textId="77777777" w:rsidR="00142FD9" w:rsidRPr="00142FD9" w:rsidRDefault="00142FD9" w:rsidP="00142FD9">
      <w:pPr>
        <w:widowControl/>
        <w:tabs>
          <w:tab w:val="num" w:pos="1080"/>
        </w:tabs>
        <w:adjustRightInd/>
        <w:ind w:left="-900"/>
        <w:jc w:val="both"/>
        <w:rPr>
          <w:bCs/>
          <w:sz w:val="20"/>
          <w:szCs w:val="20"/>
        </w:rPr>
      </w:pPr>
      <w:r w:rsidRPr="00142FD9">
        <w:rPr>
          <w:bCs/>
          <w:sz w:val="20"/>
          <w:szCs w:val="20"/>
        </w:rPr>
        <w:t>2 –  výdavky rozpísať až do položiek platnej ekonomickej klasifikácie</w:t>
      </w:r>
    </w:p>
    <w:p w14:paraId="2441B102" w14:textId="77777777" w:rsidR="00142FD9" w:rsidRPr="00142FD9" w:rsidRDefault="00142FD9" w:rsidP="00142FD9">
      <w:pPr>
        <w:widowControl/>
        <w:tabs>
          <w:tab w:val="num" w:pos="1080"/>
        </w:tabs>
        <w:adjustRightInd/>
        <w:ind w:left="-900"/>
        <w:jc w:val="both"/>
        <w:rPr>
          <w:bCs/>
          <w:szCs w:val="20"/>
        </w:rPr>
      </w:pPr>
    </w:p>
    <w:p w14:paraId="07305E71" w14:textId="77777777" w:rsidR="00142FD9" w:rsidRPr="00142FD9" w:rsidRDefault="00142FD9" w:rsidP="00142FD9">
      <w:pPr>
        <w:widowControl/>
        <w:tabs>
          <w:tab w:val="num" w:pos="1080"/>
        </w:tabs>
        <w:adjustRightInd/>
        <w:ind w:left="-900"/>
        <w:jc w:val="both"/>
        <w:rPr>
          <w:b/>
          <w:bCs/>
          <w:sz w:val="20"/>
          <w:szCs w:val="20"/>
        </w:rPr>
      </w:pPr>
      <w:r w:rsidRPr="00142FD9">
        <w:rPr>
          <w:b/>
          <w:bCs/>
          <w:szCs w:val="20"/>
        </w:rPr>
        <w:t>Poznámka:</w:t>
      </w:r>
    </w:p>
    <w:p w14:paraId="65A3B7D1" w14:textId="77777777" w:rsidR="00142FD9" w:rsidRPr="00142FD9" w:rsidRDefault="00142FD9" w:rsidP="00142FD9">
      <w:pPr>
        <w:widowControl/>
        <w:tabs>
          <w:tab w:val="num" w:pos="1080"/>
        </w:tabs>
        <w:adjustRightInd/>
        <w:ind w:left="-900"/>
        <w:jc w:val="both"/>
        <w:rPr>
          <w:bCs/>
          <w:sz w:val="20"/>
          <w:szCs w:val="20"/>
        </w:rPr>
      </w:pPr>
      <w:r w:rsidRPr="00142FD9">
        <w:rPr>
          <w:bCs/>
          <w:szCs w:val="20"/>
        </w:rPr>
        <w:t>Ak sa vplyv týka viacerých subjektov verejnej správy, vypĺňa sa samostatná tabuľka za každý subjekt.</w:t>
      </w:r>
    </w:p>
    <w:p w14:paraId="09FE2686" w14:textId="77777777" w:rsidR="00142FD9" w:rsidRPr="00142FD9" w:rsidRDefault="00142FD9" w:rsidP="00142FD9">
      <w:pPr>
        <w:widowControl/>
        <w:tabs>
          <w:tab w:val="num" w:pos="1080"/>
        </w:tabs>
        <w:adjustRightInd/>
        <w:jc w:val="right"/>
        <w:rPr>
          <w:bCs/>
        </w:rPr>
      </w:pPr>
      <w:r w:rsidRPr="00142FD9">
        <w:rPr>
          <w:bCs/>
        </w:rPr>
        <w:t xml:space="preserve">                 Tabuľka č. 5 </w:t>
      </w:r>
    </w:p>
    <w:p w14:paraId="7618909C" w14:textId="77777777" w:rsidR="00142FD9" w:rsidRPr="00142FD9" w:rsidRDefault="00142FD9" w:rsidP="00142FD9">
      <w:pPr>
        <w:widowControl/>
        <w:tabs>
          <w:tab w:val="num" w:pos="1080"/>
        </w:tabs>
        <w:adjustRightInd/>
        <w:jc w:val="both"/>
        <w:rPr>
          <w:bCs/>
          <w:szCs w:val="20"/>
        </w:rPr>
      </w:pPr>
    </w:p>
    <w:tbl>
      <w:tblPr>
        <w:tblW w:w="10394" w:type="dxa"/>
        <w:tblInd w:w="-784" w:type="dxa"/>
        <w:tblCellMar>
          <w:left w:w="70" w:type="dxa"/>
          <w:right w:w="70" w:type="dxa"/>
        </w:tblCellMar>
        <w:tblLook w:val="0000" w:firstRow="0" w:lastRow="0" w:firstColumn="0" w:lastColumn="0" w:noHBand="0" w:noVBand="0"/>
      </w:tblPr>
      <w:tblGrid>
        <w:gridCol w:w="4167"/>
        <w:gridCol w:w="1143"/>
        <w:gridCol w:w="1204"/>
        <w:gridCol w:w="486"/>
        <w:gridCol w:w="1143"/>
        <w:gridCol w:w="1160"/>
        <w:gridCol w:w="424"/>
        <w:gridCol w:w="913"/>
      </w:tblGrid>
      <w:tr w:rsidR="00142FD9" w:rsidRPr="00142FD9" w14:paraId="1D52BC0D" w14:textId="77777777" w:rsidTr="0016331A">
        <w:trPr>
          <w:cantSplit/>
          <w:trHeight w:val="203"/>
        </w:trPr>
        <w:tc>
          <w:tcPr>
            <w:tcW w:w="4167"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77097C6" w14:textId="77777777" w:rsidR="00142FD9" w:rsidRPr="00142FD9" w:rsidRDefault="00142FD9" w:rsidP="00142FD9">
            <w:pPr>
              <w:widowControl/>
              <w:adjustRightInd/>
              <w:jc w:val="center"/>
              <w:rPr>
                <w:b/>
                <w:bCs/>
              </w:rPr>
            </w:pPr>
            <w:r w:rsidRPr="00142FD9">
              <w:rPr>
                <w:b/>
                <w:bCs/>
              </w:rPr>
              <w:t>Zamestnanosť</w:t>
            </w:r>
          </w:p>
        </w:tc>
        <w:tc>
          <w:tcPr>
            <w:tcW w:w="5136" w:type="dxa"/>
            <w:gridSpan w:val="5"/>
            <w:tcBorders>
              <w:top w:val="single" w:sz="4" w:space="0" w:color="auto"/>
              <w:left w:val="nil"/>
              <w:bottom w:val="single" w:sz="4" w:space="0" w:color="auto"/>
              <w:right w:val="single" w:sz="4" w:space="0" w:color="auto"/>
            </w:tcBorders>
            <w:shd w:val="clear" w:color="auto" w:fill="BFBFBF"/>
          </w:tcPr>
          <w:p w14:paraId="257B5E5F" w14:textId="77777777" w:rsidR="00142FD9" w:rsidRPr="00142FD9" w:rsidRDefault="00142FD9" w:rsidP="00142FD9">
            <w:pPr>
              <w:widowControl/>
              <w:adjustRightInd/>
              <w:jc w:val="center"/>
              <w:rPr>
                <w:b/>
                <w:bCs/>
              </w:rPr>
            </w:pPr>
            <w:r w:rsidRPr="00142FD9">
              <w:rPr>
                <w:b/>
                <w:bCs/>
              </w:rPr>
              <w:t>Vplyv na rozpočet verejnej správy</w:t>
            </w:r>
          </w:p>
        </w:tc>
        <w:tc>
          <w:tcPr>
            <w:tcW w:w="1091"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8E03B61" w14:textId="77777777" w:rsidR="00142FD9" w:rsidRPr="00142FD9" w:rsidRDefault="00142FD9" w:rsidP="00142FD9">
            <w:pPr>
              <w:widowControl/>
              <w:adjustRightInd/>
              <w:jc w:val="center"/>
              <w:rPr>
                <w:b/>
                <w:bCs/>
              </w:rPr>
            </w:pPr>
            <w:r w:rsidRPr="00142FD9">
              <w:rPr>
                <w:b/>
                <w:bCs/>
              </w:rPr>
              <w:t>poznámka</w:t>
            </w:r>
          </w:p>
        </w:tc>
      </w:tr>
      <w:tr w:rsidR="00142FD9" w:rsidRPr="00142FD9" w14:paraId="612D5DCD" w14:textId="77777777" w:rsidTr="0016331A">
        <w:trPr>
          <w:cantSplit/>
          <w:trHeight w:val="203"/>
        </w:trPr>
        <w:tc>
          <w:tcPr>
            <w:tcW w:w="4167"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0A0500F6" w14:textId="77777777" w:rsidR="00142FD9" w:rsidRPr="00142FD9" w:rsidRDefault="00142FD9" w:rsidP="00142FD9">
            <w:pPr>
              <w:widowControl/>
              <w:adjustRightInd/>
              <w:rPr>
                <w:b/>
                <w:bCs/>
              </w:rPr>
            </w:pPr>
          </w:p>
        </w:tc>
        <w:tc>
          <w:tcPr>
            <w:tcW w:w="1143" w:type="dxa"/>
            <w:tcBorders>
              <w:top w:val="nil"/>
              <w:left w:val="nil"/>
              <w:bottom w:val="single" w:sz="4" w:space="0" w:color="auto"/>
              <w:right w:val="single" w:sz="4" w:space="0" w:color="auto"/>
            </w:tcBorders>
            <w:shd w:val="clear" w:color="auto" w:fill="BFBFBF"/>
          </w:tcPr>
          <w:p w14:paraId="7D02A6B8" w14:textId="77777777" w:rsidR="00142FD9" w:rsidRPr="00142FD9" w:rsidRDefault="00142FD9" w:rsidP="00142FD9">
            <w:pPr>
              <w:widowControl/>
              <w:adjustRightInd/>
              <w:jc w:val="center"/>
              <w:rPr>
                <w:b/>
                <w:bCs/>
              </w:rPr>
            </w:pPr>
            <w:r w:rsidRPr="00142FD9">
              <w:rPr>
                <w:b/>
                <w:bCs/>
              </w:rPr>
              <w:t>r</w:t>
            </w:r>
          </w:p>
        </w:tc>
        <w:tc>
          <w:tcPr>
            <w:tcW w:w="1204" w:type="dxa"/>
            <w:tcBorders>
              <w:top w:val="nil"/>
              <w:left w:val="nil"/>
              <w:bottom w:val="single" w:sz="4" w:space="0" w:color="auto"/>
              <w:right w:val="single" w:sz="4" w:space="0" w:color="auto"/>
            </w:tcBorders>
            <w:shd w:val="clear" w:color="auto" w:fill="BFBFBF"/>
          </w:tcPr>
          <w:p w14:paraId="69C2DA60" w14:textId="77777777" w:rsidR="00142FD9" w:rsidRPr="00142FD9" w:rsidRDefault="00142FD9" w:rsidP="00142FD9">
            <w:pPr>
              <w:widowControl/>
              <w:adjustRightInd/>
              <w:jc w:val="center"/>
              <w:rPr>
                <w:b/>
                <w:bCs/>
              </w:rPr>
            </w:pPr>
            <w:r w:rsidRPr="00142FD9">
              <w:rPr>
                <w:b/>
                <w:bCs/>
              </w:rPr>
              <w:t>r + 1</w:t>
            </w:r>
          </w:p>
        </w:tc>
        <w:tc>
          <w:tcPr>
            <w:tcW w:w="1628" w:type="dxa"/>
            <w:gridSpan w:val="2"/>
            <w:tcBorders>
              <w:top w:val="nil"/>
              <w:left w:val="nil"/>
              <w:bottom w:val="single" w:sz="4" w:space="0" w:color="auto"/>
              <w:right w:val="single" w:sz="4" w:space="0" w:color="auto"/>
            </w:tcBorders>
            <w:shd w:val="clear" w:color="auto" w:fill="BFBFBF"/>
          </w:tcPr>
          <w:p w14:paraId="734086B0" w14:textId="77777777" w:rsidR="00142FD9" w:rsidRPr="00142FD9" w:rsidRDefault="00142FD9" w:rsidP="00142FD9">
            <w:pPr>
              <w:widowControl/>
              <w:adjustRightInd/>
              <w:jc w:val="center"/>
              <w:rPr>
                <w:b/>
                <w:bCs/>
              </w:rPr>
            </w:pPr>
            <w:r w:rsidRPr="00142FD9">
              <w:rPr>
                <w:b/>
                <w:bCs/>
              </w:rPr>
              <w:t>r + 2</w:t>
            </w:r>
          </w:p>
        </w:tc>
        <w:tc>
          <w:tcPr>
            <w:tcW w:w="1159" w:type="dxa"/>
            <w:tcBorders>
              <w:top w:val="nil"/>
              <w:left w:val="nil"/>
              <w:bottom w:val="single" w:sz="4" w:space="0" w:color="auto"/>
              <w:right w:val="single" w:sz="4" w:space="0" w:color="auto"/>
            </w:tcBorders>
            <w:shd w:val="clear" w:color="auto" w:fill="BFBFBF"/>
          </w:tcPr>
          <w:p w14:paraId="0D7C0AC5" w14:textId="77777777" w:rsidR="00142FD9" w:rsidRPr="00142FD9" w:rsidRDefault="00142FD9" w:rsidP="00142FD9">
            <w:pPr>
              <w:widowControl/>
              <w:adjustRightInd/>
              <w:jc w:val="center"/>
              <w:rPr>
                <w:b/>
                <w:bCs/>
              </w:rPr>
            </w:pPr>
            <w:r w:rsidRPr="00142FD9">
              <w:rPr>
                <w:b/>
                <w:bCs/>
              </w:rPr>
              <w:t>r + 3</w:t>
            </w:r>
          </w:p>
        </w:tc>
        <w:tc>
          <w:tcPr>
            <w:tcW w:w="1091"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6AB5F2B8" w14:textId="77777777" w:rsidR="00142FD9" w:rsidRPr="00142FD9" w:rsidRDefault="00142FD9" w:rsidP="00142FD9">
            <w:pPr>
              <w:widowControl/>
              <w:adjustRightInd/>
              <w:rPr>
                <w:b/>
                <w:bCs/>
                <w:color w:val="FFFFFF"/>
              </w:rPr>
            </w:pPr>
          </w:p>
        </w:tc>
      </w:tr>
      <w:tr w:rsidR="00142FD9" w:rsidRPr="00142FD9" w14:paraId="09B97676" w14:textId="77777777" w:rsidTr="0016331A">
        <w:trPr>
          <w:trHeight w:val="203"/>
        </w:trPr>
        <w:tc>
          <w:tcPr>
            <w:tcW w:w="4167" w:type="dxa"/>
            <w:tcBorders>
              <w:top w:val="nil"/>
              <w:left w:val="single" w:sz="4" w:space="0" w:color="auto"/>
              <w:bottom w:val="single" w:sz="4" w:space="0" w:color="auto"/>
              <w:right w:val="single" w:sz="4" w:space="0" w:color="auto"/>
            </w:tcBorders>
          </w:tcPr>
          <w:p w14:paraId="24745CF6" w14:textId="77777777" w:rsidR="00142FD9" w:rsidRPr="00142FD9" w:rsidRDefault="00142FD9" w:rsidP="00142FD9">
            <w:pPr>
              <w:widowControl/>
              <w:adjustRightInd/>
              <w:rPr>
                <w:b/>
                <w:bCs/>
              </w:rPr>
            </w:pPr>
            <w:r w:rsidRPr="00142FD9">
              <w:rPr>
                <w:b/>
                <w:bCs/>
              </w:rPr>
              <w:t>Počet zamestnancov celkom</w:t>
            </w:r>
          </w:p>
        </w:tc>
        <w:tc>
          <w:tcPr>
            <w:tcW w:w="1143" w:type="dxa"/>
            <w:tcBorders>
              <w:top w:val="nil"/>
              <w:left w:val="nil"/>
              <w:bottom w:val="single" w:sz="4" w:space="0" w:color="auto"/>
              <w:right w:val="single" w:sz="4" w:space="0" w:color="auto"/>
            </w:tcBorders>
          </w:tcPr>
          <w:p w14:paraId="1F1F1AE4" w14:textId="77777777" w:rsidR="00142FD9" w:rsidRPr="00142FD9" w:rsidRDefault="00142FD9" w:rsidP="00142FD9">
            <w:pPr>
              <w:widowControl/>
              <w:adjustRightInd/>
              <w:jc w:val="center"/>
              <w:rPr>
                <w:b/>
                <w:bCs/>
              </w:rPr>
            </w:pPr>
          </w:p>
        </w:tc>
        <w:tc>
          <w:tcPr>
            <w:tcW w:w="1204" w:type="dxa"/>
            <w:tcBorders>
              <w:top w:val="nil"/>
              <w:left w:val="nil"/>
              <w:bottom w:val="single" w:sz="4" w:space="0" w:color="auto"/>
              <w:right w:val="single" w:sz="4" w:space="0" w:color="auto"/>
            </w:tcBorders>
          </w:tcPr>
          <w:p w14:paraId="07576849" w14:textId="77777777" w:rsidR="00142FD9" w:rsidRPr="00142FD9" w:rsidRDefault="00142FD9" w:rsidP="00142FD9">
            <w:pPr>
              <w:widowControl/>
              <w:adjustRightInd/>
              <w:jc w:val="center"/>
              <w:rPr>
                <w:b/>
                <w:bCs/>
              </w:rPr>
            </w:pPr>
          </w:p>
        </w:tc>
        <w:tc>
          <w:tcPr>
            <w:tcW w:w="1628" w:type="dxa"/>
            <w:gridSpan w:val="2"/>
            <w:tcBorders>
              <w:top w:val="nil"/>
              <w:left w:val="nil"/>
              <w:bottom w:val="single" w:sz="4" w:space="0" w:color="auto"/>
              <w:right w:val="single" w:sz="4" w:space="0" w:color="auto"/>
            </w:tcBorders>
          </w:tcPr>
          <w:p w14:paraId="3F4868A0" w14:textId="77777777" w:rsidR="00142FD9" w:rsidRPr="00142FD9" w:rsidRDefault="00142FD9" w:rsidP="00142FD9">
            <w:pPr>
              <w:widowControl/>
              <w:adjustRightInd/>
              <w:jc w:val="center"/>
              <w:rPr>
                <w:b/>
                <w:bCs/>
              </w:rPr>
            </w:pPr>
          </w:p>
        </w:tc>
        <w:tc>
          <w:tcPr>
            <w:tcW w:w="1159" w:type="dxa"/>
            <w:tcBorders>
              <w:top w:val="nil"/>
              <w:left w:val="nil"/>
              <w:bottom w:val="single" w:sz="4" w:space="0" w:color="auto"/>
              <w:right w:val="single" w:sz="4" w:space="0" w:color="auto"/>
            </w:tcBorders>
          </w:tcPr>
          <w:p w14:paraId="57E28D21" w14:textId="77777777" w:rsidR="00142FD9" w:rsidRPr="00142FD9" w:rsidRDefault="00142FD9" w:rsidP="00142FD9">
            <w:pPr>
              <w:widowControl/>
              <w:adjustRightInd/>
              <w:jc w:val="center"/>
              <w:rPr>
                <w:b/>
                <w:bCs/>
              </w:rPr>
            </w:pPr>
          </w:p>
        </w:tc>
        <w:tc>
          <w:tcPr>
            <w:tcW w:w="1091" w:type="dxa"/>
            <w:gridSpan w:val="2"/>
            <w:tcBorders>
              <w:top w:val="nil"/>
              <w:left w:val="nil"/>
              <w:bottom w:val="single" w:sz="4" w:space="0" w:color="auto"/>
              <w:right w:val="single" w:sz="4" w:space="0" w:color="auto"/>
            </w:tcBorders>
            <w:noWrap/>
            <w:vAlign w:val="bottom"/>
          </w:tcPr>
          <w:p w14:paraId="294CFE03" w14:textId="77777777" w:rsidR="00142FD9" w:rsidRPr="00142FD9" w:rsidRDefault="00142FD9" w:rsidP="00142FD9">
            <w:pPr>
              <w:widowControl/>
              <w:adjustRightInd/>
            </w:pPr>
            <w:r w:rsidRPr="00142FD9">
              <w:t> </w:t>
            </w:r>
          </w:p>
        </w:tc>
      </w:tr>
      <w:tr w:rsidR="00142FD9" w:rsidRPr="00142FD9" w14:paraId="143BFE3A" w14:textId="77777777" w:rsidTr="0016331A">
        <w:trPr>
          <w:trHeight w:val="203"/>
        </w:trPr>
        <w:tc>
          <w:tcPr>
            <w:tcW w:w="4167" w:type="dxa"/>
            <w:tcBorders>
              <w:top w:val="nil"/>
              <w:left w:val="single" w:sz="4" w:space="0" w:color="auto"/>
              <w:bottom w:val="single" w:sz="4" w:space="0" w:color="auto"/>
              <w:right w:val="single" w:sz="4" w:space="0" w:color="auto"/>
            </w:tcBorders>
          </w:tcPr>
          <w:p w14:paraId="2B023747" w14:textId="77777777" w:rsidR="00142FD9" w:rsidRPr="00142FD9" w:rsidRDefault="00142FD9" w:rsidP="00142FD9">
            <w:pPr>
              <w:widowControl/>
              <w:adjustRightInd/>
              <w:rPr>
                <w:b/>
                <w:bCs/>
              </w:rPr>
            </w:pPr>
            <w:r w:rsidRPr="00142FD9">
              <w:rPr>
                <w:b/>
                <w:bCs/>
              </w:rPr>
              <w:t xml:space="preserve">   z toho vplyv na ŠR</w:t>
            </w:r>
          </w:p>
        </w:tc>
        <w:tc>
          <w:tcPr>
            <w:tcW w:w="1143" w:type="dxa"/>
            <w:tcBorders>
              <w:top w:val="single" w:sz="4" w:space="0" w:color="auto"/>
              <w:left w:val="nil"/>
              <w:bottom w:val="single" w:sz="4" w:space="0" w:color="auto"/>
              <w:right w:val="single" w:sz="4" w:space="0" w:color="auto"/>
            </w:tcBorders>
          </w:tcPr>
          <w:p w14:paraId="0F0F714B" w14:textId="77777777" w:rsidR="00142FD9" w:rsidRPr="00142FD9" w:rsidRDefault="00142FD9" w:rsidP="00142FD9">
            <w:pPr>
              <w:widowControl/>
              <w:adjustRightInd/>
              <w:jc w:val="center"/>
              <w:rPr>
                <w:b/>
                <w:bCs/>
              </w:rPr>
            </w:pPr>
          </w:p>
        </w:tc>
        <w:tc>
          <w:tcPr>
            <w:tcW w:w="1204" w:type="dxa"/>
            <w:tcBorders>
              <w:top w:val="single" w:sz="4" w:space="0" w:color="auto"/>
              <w:left w:val="nil"/>
              <w:bottom w:val="single" w:sz="4" w:space="0" w:color="auto"/>
              <w:right w:val="single" w:sz="4" w:space="0" w:color="auto"/>
            </w:tcBorders>
          </w:tcPr>
          <w:p w14:paraId="5E79FD32" w14:textId="77777777" w:rsidR="00142FD9" w:rsidRPr="00142FD9" w:rsidRDefault="00142FD9" w:rsidP="00142FD9">
            <w:pPr>
              <w:widowControl/>
              <w:adjustRightInd/>
              <w:jc w:val="center"/>
              <w:rPr>
                <w:b/>
                <w:bCs/>
              </w:rPr>
            </w:pPr>
          </w:p>
        </w:tc>
        <w:tc>
          <w:tcPr>
            <w:tcW w:w="1628" w:type="dxa"/>
            <w:gridSpan w:val="2"/>
            <w:tcBorders>
              <w:top w:val="single" w:sz="4" w:space="0" w:color="auto"/>
              <w:left w:val="nil"/>
              <w:bottom w:val="single" w:sz="4" w:space="0" w:color="auto"/>
              <w:right w:val="single" w:sz="4" w:space="0" w:color="auto"/>
            </w:tcBorders>
          </w:tcPr>
          <w:p w14:paraId="08F354CA" w14:textId="77777777" w:rsidR="00142FD9" w:rsidRPr="00142FD9" w:rsidRDefault="00142FD9" w:rsidP="00142FD9">
            <w:pPr>
              <w:widowControl/>
              <w:adjustRightInd/>
              <w:jc w:val="center"/>
              <w:rPr>
                <w:b/>
                <w:bCs/>
              </w:rPr>
            </w:pPr>
          </w:p>
        </w:tc>
        <w:tc>
          <w:tcPr>
            <w:tcW w:w="1159" w:type="dxa"/>
            <w:tcBorders>
              <w:top w:val="single" w:sz="4" w:space="0" w:color="auto"/>
              <w:left w:val="nil"/>
              <w:bottom w:val="single" w:sz="4" w:space="0" w:color="auto"/>
              <w:right w:val="single" w:sz="4" w:space="0" w:color="auto"/>
            </w:tcBorders>
          </w:tcPr>
          <w:p w14:paraId="7A0872E4" w14:textId="77777777" w:rsidR="00142FD9" w:rsidRPr="00142FD9" w:rsidRDefault="00142FD9" w:rsidP="00142FD9">
            <w:pPr>
              <w:widowControl/>
              <w:adjustRightInd/>
              <w:jc w:val="center"/>
              <w:rPr>
                <w:b/>
                <w:bCs/>
              </w:rPr>
            </w:pPr>
          </w:p>
        </w:tc>
        <w:tc>
          <w:tcPr>
            <w:tcW w:w="1091" w:type="dxa"/>
            <w:gridSpan w:val="2"/>
            <w:tcBorders>
              <w:top w:val="nil"/>
              <w:left w:val="nil"/>
              <w:bottom w:val="single" w:sz="4" w:space="0" w:color="auto"/>
              <w:right w:val="single" w:sz="4" w:space="0" w:color="auto"/>
            </w:tcBorders>
            <w:noWrap/>
            <w:vAlign w:val="bottom"/>
          </w:tcPr>
          <w:p w14:paraId="312C86CC" w14:textId="77777777" w:rsidR="00142FD9" w:rsidRPr="00142FD9" w:rsidRDefault="00142FD9" w:rsidP="00142FD9">
            <w:pPr>
              <w:widowControl/>
              <w:adjustRightInd/>
            </w:pPr>
          </w:p>
        </w:tc>
      </w:tr>
      <w:tr w:rsidR="00142FD9" w:rsidRPr="00142FD9" w14:paraId="76B85DDD" w14:textId="77777777" w:rsidTr="0016331A">
        <w:trPr>
          <w:trHeight w:val="203"/>
        </w:trPr>
        <w:tc>
          <w:tcPr>
            <w:tcW w:w="4167" w:type="dxa"/>
            <w:tcBorders>
              <w:top w:val="nil"/>
              <w:left w:val="single" w:sz="4" w:space="0" w:color="auto"/>
              <w:bottom w:val="single" w:sz="4" w:space="0" w:color="auto"/>
              <w:right w:val="single" w:sz="4" w:space="0" w:color="auto"/>
            </w:tcBorders>
          </w:tcPr>
          <w:p w14:paraId="5C94C0CC" w14:textId="77777777" w:rsidR="00142FD9" w:rsidRPr="00142FD9" w:rsidRDefault="00142FD9" w:rsidP="00142FD9">
            <w:pPr>
              <w:widowControl/>
              <w:adjustRightInd/>
              <w:rPr>
                <w:b/>
                <w:bCs/>
              </w:rPr>
            </w:pPr>
            <w:r w:rsidRPr="00142FD9">
              <w:rPr>
                <w:b/>
                <w:bCs/>
              </w:rPr>
              <w:t>Priemerný mzdový výdavok (v eurách)</w:t>
            </w:r>
          </w:p>
        </w:tc>
        <w:tc>
          <w:tcPr>
            <w:tcW w:w="1143" w:type="dxa"/>
            <w:tcBorders>
              <w:top w:val="single" w:sz="4" w:space="0" w:color="auto"/>
              <w:left w:val="nil"/>
              <w:bottom w:val="single" w:sz="4" w:space="0" w:color="auto"/>
              <w:right w:val="single" w:sz="4" w:space="0" w:color="auto"/>
            </w:tcBorders>
          </w:tcPr>
          <w:p w14:paraId="51B5481F" w14:textId="77777777" w:rsidR="00142FD9" w:rsidRPr="00142FD9" w:rsidRDefault="00142FD9" w:rsidP="00142FD9">
            <w:pPr>
              <w:widowControl/>
              <w:adjustRightInd/>
              <w:jc w:val="center"/>
              <w:rPr>
                <w:b/>
                <w:bCs/>
              </w:rPr>
            </w:pPr>
          </w:p>
        </w:tc>
        <w:tc>
          <w:tcPr>
            <w:tcW w:w="1204" w:type="dxa"/>
            <w:tcBorders>
              <w:top w:val="single" w:sz="4" w:space="0" w:color="auto"/>
              <w:left w:val="nil"/>
              <w:bottom w:val="single" w:sz="4" w:space="0" w:color="auto"/>
              <w:right w:val="single" w:sz="4" w:space="0" w:color="auto"/>
            </w:tcBorders>
          </w:tcPr>
          <w:p w14:paraId="329CAA53" w14:textId="77777777" w:rsidR="00142FD9" w:rsidRPr="00142FD9" w:rsidRDefault="00142FD9" w:rsidP="00142FD9">
            <w:pPr>
              <w:widowControl/>
              <w:adjustRightInd/>
              <w:jc w:val="center"/>
              <w:rPr>
                <w:b/>
                <w:bCs/>
              </w:rPr>
            </w:pPr>
          </w:p>
        </w:tc>
        <w:tc>
          <w:tcPr>
            <w:tcW w:w="1628" w:type="dxa"/>
            <w:gridSpan w:val="2"/>
            <w:tcBorders>
              <w:top w:val="single" w:sz="4" w:space="0" w:color="auto"/>
              <w:left w:val="nil"/>
              <w:bottom w:val="single" w:sz="4" w:space="0" w:color="auto"/>
              <w:right w:val="single" w:sz="4" w:space="0" w:color="auto"/>
            </w:tcBorders>
          </w:tcPr>
          <w:p w14:paraId="3F3EFC8E" w14:textId="77777777" w:rsidR="00142FD9" w:rsidRPr="00142FD9" w:rsidRDefault="00142FD9" w:rsidP="00142FD9">
            <w:pPr>
              <w:widowControl/>
              <w:adjustRightInd/>
              <w:jc w:val="center"/>
              <w:rPr>
                <w:b/>
                <w:bCs/>
              </w:rPr>
            </w:pPr>
          </w:p>
        </w:tc>
        <w:tc>
          <w:tcPr>
            <w:tcW w:w="1159" w:type="dxa"/>
            <w:tcBorders>
              <w:top w:val="single" w:sz="4" w:space="0" w:color="auto"/>
              <w:left w:val="nil"/>
              <w:bottom w:val="single" w:sz="4" w:space="0" w:color="auto"/>
              <w:right w:val="single" w:sz="4" w:space="0" w:color="auto"/>
            </w:tcBorders>
          </w:tcPr>
          <w:p w14:paraId="6E6BBB95" w14:textId="77777777" w:rsidR="00142FD9" w:rsidRPr="00142FD9" w:rsidRDefault="00142FD9" w:rsidP="00142FD9">
            <w:pPr>
              <w:widowControl/>
              <w:adjustRightInd/>
              <w:jc w:val="center"/>
              <w:rPr>
                <w:b/>
                <w:bCs/>
              </w:rPr>
            </w:pPr>
          </w:p>
        </w:tc>
        <w:tc>
          <w:tcPr>
            <w:tcW w:w="1091" w:type="dxa"/>
            <w:gridSpan w:val="2"/>
            <w:tcBorders>
              <w:top w:val="nil"/>
              <w:left w:val="nil"/>
              <w:bottom w:val="single" w:sz="4" w:space="0" w:color="auto"/>
              <w:right w:val="single" w:sz="4" w:space="0" w:color="auto"/>
            </w:tcBorders>
            <w:noWrap/>
            <w:vAlign w:val="bottom"/>
          </w:tcPr>
          <w:p w14:paraId="360847D4" w14:textId="77777777" w:rsidR="00142FD9" w:rsidRPr="00142FD9" w:rsidRDefault="00142FD9" w:rsidP="00142FD9">
            <w:pPr>
              <w:widowControl/>
              <w:adjustRightInd/>
            </w:pPr>
            <w:r w:rsidRPr="00142FD9">
              <w:t> </w:t>
            </w:r>
          </w:p>
        </w:tc>
      </w:tr>
      <w:tr w:rsidR="00142FD9" w:rsidRPr="00142FD9" w14:paraId="273BE37D" w14:textId="77777777" w:rsidTr="0016331A">
        <w:trPr>
          <w:trHeight w:val="203"/>
        </w:trPr>
        <w:tc>
          <w:tcPr>
            <w:tcW w:w="4167" w:type="dxa"/>
            <w:tcBorders>
              <w:top w:val="nil"/>
              <w:left w:val="single" w:sz="4" w:space="0" w:color="auto"/>
              <w:bottom w:val="single" w:sz="4" w:space="0" w:color="auto"/>
              <w:right w:val="single" w:sz="4" w:space="0" w:color="auto"/>
            </w:tcBorders>
          </w:tcPr>
          <w:p w14:paraId="19F5DCED" w14:textId="77777777" w:rsidR="00142FD9" w:rsidRPr="00142FD9" w:rsidRDefault="00142FD9" w:rsidP="00142FD9">
            <w:pPr>
              <w:widowControl/>
              <w:adjustRightInd/>
            </w:pPr>
            <w:r w:rsidRPr="00142FD9">
              <w:rPr>
                <w:b/>
                <w:bCs/>
              </w:rPr>
              <w:t xml:space="preserve">   z toho vplyv na ŠR</w:t>
            </w:r>
          </w:p>
        </w:tc>
        <w:tc>
          <w:tcPr>
            <w:tcW w:w="1143" w:type="dxa"/>
            <w:tcBorders>
              <w:top w:val="single" w:sz="4" w:space="0" w:color="auto"/>
              <w:left w:val="nil"/>
              <w:bottom w:val="single" w:sz="4" w:space="0" w:color="auto"/>
              <w:right w:val="single" w:sz="4" w:space="0" w:color="auto"/>
            </w:tcBorders>
          </w:tcPr>
          <w:p w14:paraId="08292A78" w14:textId="77777777" w:rsidR="00142FD9" w:rsidRPr="00142FD9" w:rsidRDefault="00142FD9" w:rsidP="00142FD9">
            <w:pPr>
              <w:widowControl/>
              <w:adjustRightInd/>
              <w:jc w:val="center"/>
            </w:pPr>
            <w:r w:rsidRPr="00142FD9">
              <w:t> </w:t>
            </w:r>
          </w:p>
        </w:tc>
        <w:tc>
          <w:tcPr>
            <w:tcW w:w="1204" w:type="dxa"/>
            <w:tcBorders>
              <w:top w:val="single" w:sz="4" w:space="0" w:color="auto"/>
              <w:left w:val="nil"/>
              <w:bottom w:val="single" w:sz="4" w:space="0" w:color="auto"/>
              <w:right w:val="single" w:sz="4" w:space="0" w:color="auto"/>
            </w:tcBorders>
          </w:tcPr>
          <w:p w14:paraId="2E4F042D" w14:textId="77777777" w:rsidR="00142FD9" w:rsidRPr="00142FD9" w:rsidRDefault="00142FD9" w:rsidP="00142FD9">
            <w:pPr>
              <w:widowControl/>
              <w:adjustRightInd/>
              <w:jc w:val="center"/>
            </w:pPr>
            <w:r w:rsidRPr="00142FD9">
              <w:t> </w:t>
            </w:r>
          </w:p>
        </w:tc>
        <w:tc>
          <w:tcPr>
            <w:tcW w:w="1628" w:type="dxa"/>
            <w:gridSpan w:val="2"/>
            <w:tcBorders>
              <w:top w:val="single" w:sz="4" w:space="0" w:color="auto"/>
              <w:left w:val="nil"/>
              <w:bottom w:val="single" w:sz="4" w:space="0" w:color="auto"/>
              <w:right w:val="single" w:sz="4" w:space="0" w:color="auto"/>
            </w:tcBorders>
          </w:tcPr>
          <w:p w14:paraId="2860103C" w14:textId="77777777" w:rsidR="00142FD9" w:rsidRPr="00142FD9" w:rsidRDefault="00142FD9" w:rsidP="00142FD9">
            <w:pPr>
              <w:widowControl/>
              <w:adjustRightInd/>
              <w:jc w:val="center"/>
            </w:pPr>
            <w:r w:rsidRPr="00142FD9">
              <w:t> </w:t>
            </w:r>
          </w:p>
        </w:tc>
        <w:tc>
          <w:tcPr>
            <w:tcW w:w="1159" w:type="dxa"/>
            <w:tcBorders>
              <w:top w:val="single" w:sz="4" w:space="0" w:color="auto"/>
              <w:left w:val="nil"/>
              <w:bottom w:val="single" w:sz="4" w:space="0" w:color="auto"/>
              <w:right w:val="single" w:sz="4" w:space="0" w:color="auto"/>
            </w:tcBorders>
          </w:tcPr>
          <w:p w14:paraId="085B9821" w14:textId="77777777" w:rsidR="00142FD9" w:rsidRPr="00142FD9" w:rsidRDefault="00142FD9" w:rsidP="00142FD9">
            <w:pPr>
              <w:widowControl/>
              <w:adjustRightInd/>
              <w:jc w:val="center"/>
            </w:pPr>
            <w:r w:rsidRPr="00142FD9">
              <w:t> </w:t>
            </w:r>
          </w:p>
        </w:tc>
        <w:tc>
          <w:tcPr>
            <w:tcW w:w="1091" w:type="dxa"/>
            <w:gridSpan w:val="2"/>
            <w:tcBorders>
              <w:top w:val="nil"/>
              <w:left w:val="nil"/>
              <w:bottom w:val="single" w:sz="4" w:space="0" w:color="auto"/>
              <w:right w:val="single" w:sz="4" w:space="0" w:color="auto"/>
            </w:tcBorders>
            <w:noWrap/>
            <w:vAlign w:val="bottom"/>
          </w:tcPr>
          <w:p w14:paraId="3CE7E4A8" w14:textId="77777777" w:rsidR="00142FD9" w:rsidRPr="00142FD9" w:rsidRDefault="00142FD9" w:rsidP="00142FD9">
            <w:pPr>
              <w:widowControl/>
              <w:adjustRightInd/>
            </w:pPr>
            <w:r w:rsidRPr="00142FD9">
              <w:t> </w:t>
            </w:r>
          </w:p>
        </w:tc>
      </w:tr>
      <w:tr w:rsidR="00142FD9" w:rsidRPr="00142FD9" w14:paraId="68F180B9" w14:textId="77777777" w:rsidTr="0016331A">
        <w:trPr>
          <w:trHeight w:val="203"/>
        </w:trPr>
        <w:tc>
          <w:tcPr>
            <w:tcW w:w="4167" w:type="dxa"/>
            <w:tcBorders>
              <w:top w:val="nil"/>
              <w:left w:val="single" w:sz="4" w:space="0" w:color="auto"/>
              <w:bottom w:val="single" w:sz="4" w:space="0" w:color="auto"/>
              <w:right w:val="single" w:sz="4" w:space="0" w:color="auto"/>
            </w:tcBorders>
            <w:shd w:val="clear" w:color="auto" w:fill="BFBFBF"/>
          </w:tcPr>
          <w:p w14:paraId="3F92FFD0" w14:textId="77777777" w:rsidR="00142FD9" w:rsidRPr="00142FD9" w:rsidRDefault="00142FD9" w:rsidP="00142FD9">
            <w:pPr>
              <w:widowControl/>
              <w:adjustRightInd/>
              <w:rPr>
                <w:b/>
                <w:bCs/>
              </w:rPr>
            </w:pPr>
            <w:r w:rsidRPr="00142FD9">
              <w:rPr>
                <w:b/>
                <w:bCs/>
              </w:rPr>
              <w:t>Osobné výdavky celkom (v eurách)</w:t>
            </w:r>
          </w:p>
        </w:tc>
        <w:tc>
          <w:tcPr>
            <w:tcW w:w="1143" w:type="dxa"/>
            <w:tcBorders>
              <w:top w:val="nil"/>
              <w:left w:val="nil"/>
              <w:bottom w:val="single" w:sz="4" w:space="0" w:color="auto"/>
              <w:right w:val="single" w:sz="4" w:space="0" w:color="auto"/>
            </w:tcBorders>
            <w:shd w:val="clear" w:color="auto" w:fill="BFBFBF"/>
          </w:tcPr>
          <w:p w14:paraId="056C9A65" w14:textId="77777777" w:rsidR="00142FD9" w:rsidRPr="00142FD9" w:rsidRDefault="00142FD9" w:rsidP="00142FD9">
            <w:pPr>
              <w:widowControl/>
              <w:adjustRightInd/>
              <w:jc w:val="center"/>
              <w:rPr>
                <w:b/>
                <w:bCs/>
              </w:rPr>
            </w:pPr>
            <w:r w:rsidRPr="00142FD9">
              <w:rPr>
                <w:b/>
                <w:bCs/>
              </w:rPr>
              <w:t>0</w:t>
            </w:r>
          </w:p>
        </w:tc>
        <w:tc>
          <w:tcPr>
            <w:tcW w:w="1204" w:type="dxa"/>
            <w:tcBorders>
              <w:top w:val="nil"/>
              <w:left w:val="nil"/>
              <w:bottom w:val="single" w:sz="4" w:space="0" w:color="auto"/>
              <w:right w:val="single" w:sz="4" w:space="0" w:color="auto"/>
            </w:tcBorders>
            <w:shd w:val="clear" w:color="auto" w:fill="BFBFBF"/>
          </w:tcPr>
          <w:p w14:paraId="326BC146" w14:textId="77777777" w:rsidR="00142FD9" w:rsidRPr="00142FD9" w:rsidRDefault="00142FD9" w:rsidP="00142FD9">
            <w:pPr>
              <w:widowControl/>
              <w:adjustRightInd/>
              <w:jc w:val="center"/>
              <w:rPr>
                <w:b/>
                <w:bCs/>
              </w:rPr>
            </w:pPr>
            <w:r w:rsidRPr="00142FD9">
              <w:rPr>
                <w:b/>
                <w:bCs/>
              </w:rPr>
              <w:t>0</w:t>
            </w:r>
          </w:p>
        </w:tc>
        <w:tc>
          <w:tcPr>
            <w:tcW w:w="1628" w:type="dxa"/>
            <w:gridSpan w:val="2"/>
            <w:tcBorders>
              <w:top w:val="nil"/>
              <w:left w:val="nil"/>
              <w:bottom w:val="single" w:sz="4" w:space="0" w:color="auto"/>
              <w:right w:val="single" w:sz="4" w:space="0" w:color="auto"/>
            </w:tcBorders>
            <w:shd w:val="clear" w:color="auto" w:fill="BFBFBF"/>
          </w:tcPr>
          <w:p w14:paraId="6AE27730" w14:textId="77777777" w:rsidR="00142FD9" w:rsidRPr="00142FD9" w:rsidRDefault="00142FD9" w:rsidP="00142FD9">
            <w:pPr>
              <w:widowControl/>
              <w:adjustRightInd/>
              <w:jc w:val="center"/>
              <w:rPr>
                <w:b/>
                <w:bCs/>
              </w:rPr>
            </w:pPr>
            <w:r w:rsidRPr="00142FD9">
              <w:rPr>
                <w:b/>
                <w:bCs/>
              </w:rPr>
              <w:t>0</w:t>
            </w:r>
          </w:p>
        </w:tc>
        <w:tc>
          <w:tcPr>
            <w:tcW w:w="1159" w:type="dxa"/>
            <w:tcBorders>
              <w:top w:val="nil"/>
              <w:left w:val="nil"/>
              <w:bottom w:val="single" w:sz="4" w:space="0" w:color="auto"/>
              <w:right w:val="single" w:sz="4" w:space="0" w:color="auto"/>
            </w:tcBorders>
            <w:shd w:val="clear" w:color="auto" w:fill="BFBFBF"/>
          </w:tcPr>
          <w:p w14:paraId="0D0367B3" w14:textId="77777777" w:rsidR="00142FD9" w:rsidRPr="00142FD9" w:rsidRDefault="00142FD9" w:rsidP="00142FD9">
            <w:pPr>
              <w:widowControl/>
              <w:adjustRightInd/>
              <w:jc w:val="center"/>
              <w:rPr>
                <w:b/>
                <w:bCs/>
              </w:rPr>
            </w:pPr>
            <w:r w:rsidRPr="00142FD9">
              <w:rPr>
                <w:b/>
                <w:bCs/>
              </w:rPr>
              <w:t>0</w:t>
            </w:r>
          </w:p>
        </w:tc>
        <w:tc>
          <w:tcPr>
            <w:tcW w:w="1091" w:type="dxa"/>
            <w:gridSpan w:val="2"/>
            <w:tcBorders>
              <w:top w:val="nil"/>
              <w:left w:val="nil"/>
              <w:bottom w:val="single" w:sz="4" w:space="0" w:color="auto"/>
              <w:right w:val="single" w:sz="4" w:space="0" w:color="auto"/>
            </w:tcBorders>
            <w:shd w:val="clear" w:color="auto" w:fill="BFBFBF"/>
            <w:noWrap/>
            <w:vAlign w:val="bottom"/>
          </w:tcPr>
          <w:p w14:paraId="56ADE9DC" w14:textId="77777777" w:rsidR="00142FD9" w:rsidRPr="00142FD9" w:rsidRDefault="00142FD9" w:rsidP="00142FD9">
            <w:pPr>
              <w:widowControl/>
              <w:adjustRightInd/>
              <w:rPr>
                <w:b/>
                <w:bCs/>
              </w:rPr>
            </w:pPr>
            <w:r w:rsidRPr="00142FD9">
              <w:rPr>
                <w:b/>
                <w:bCs/>
              </w:rPr>
              <w:t> </w:t>
            </w:r>
          </w:p>
        </w:tc>
      </w:tr>
      <w:tr w:rsidR="00142FD9" w:rsidRPr="00142FD9" w14:paraId="1509EF2D" w14:textId="77777777" w:rsidTr="0016331A">
        <w:trPr>
          <w:trHeight w:val="203"/>
        </w:trPr>
        <w:tc>
          <w:tcPr>
            <w:tcW w:w="4167" w:type="dxa"/>
            <w:tcBorders>
              <w:top w:val="nil"/>
              <w:left w:val="single" w:sz="4" w:space="0" w:color="auto"/>
              <w:bottom w:val="single" w:sz="4" w:space="0" w:color="auto"/>
              <w:right w:val="single" w:sz="4" w:space="0" w:color="auto"/>
            </w:tcBorders>
          </w:tcPr>
          <w:p w14:paraId="13E43750" w14:textId="77777777" w:rsidR="00142FD9" w:rsidRPr="00142FD9" w:rsidRDefault="00142FD9" w:rsidP="00142FD9">
            <w:pPr>
              <w:widowControl/>
              <w:adjustRightInd/>
              <w:rPr>
                <w:b/>
                <w:bCs/>
              </w:rPr>
            </w:pPr>
            <w:r w:rsidRPr="00142FD9">
              <w:rPr>
                <w:b/>
                <w:bCs/>
              </w:rPr>
              <w:t>Mzdy, platy, služobné príjmy a ostatné osobné vyrovnania (610)</w:t>
            </w:r>
          </w:p>
        </w:tc>
        <w:tc>
          <w:tcPr>
            <w:tcW w:w="1143" w:type="dxa"/>
            <w:tcBorders>
              <w:top w:val="nil"/>
              <w:left w:val="nil"/>
              <w:bottom w:val="single" w:sz="4" w:space="0" w:color="auto"/>
              <w:right w:val="single" w:sz="4" w:space="0" w:color="auto"/>
            </w:tcBorders>
          </w:tcPr>
          <w:p w14:paraId="352AC670" w14:textId="77777777" w:rsidR="00142FD9" w:rsidRPr="00142FD9" w:rsidRDefault="00142FD9" w:rsidP="00142FD9">
            <w:pPr>
              <w:widowControl/>
              <w:adjustRightInd/>
              <w:jc w:val="center"/>
              <w:rPr>
                <w:b/>
                <w:bCs/>
              </w:rPr>
            </w:pPr>
          </w:p>
        </w:tc>
        <w:tc>
          <w:tcPr>
            <w:tcW w:w="1204" w:type="dxa"/>
            <w:tcBorders>
              <w:top w:val="nil"/>
              <w:left w:val="nil"/>
              <w:bottom w:val="single" w:sz="4" w:space="0" w:color="auto"/>
              <w:right w:val="single" w:sz="4" w:space="0" w:color="auto"/>
            </w:tcBorders>
          </w:tcPr>
          <w:p w14:paraId="450B9060" w14:textId="77777777" w:rsidR="00142FD9" w:rsidRPr="00142FD9" w:rsidRDefault="00142FD9" w:rsidP="00142FD9">
            <w:pPr>
              <w:widowControl/>
              <w:adjustRightInd/>
              <w:jc w:val="center"/>
              <w:rPr>
                <w:b/>
                <w:bCs/>
              </w:rPr>
            </w:pPr>
          </w:p>
        </w:tc>
        <w:tc>
          <w:tcPr>
            <w:tcW w:w="1628" w:type="dxa"/>
            <w:gridSpan w:val="2"/>
            <w:tcBorders>
              <w:top w:val="nil"/>
              <w:left w:val="nil"/>
              <w:bottom w:val="single" w:sz="4" w:space="0" w:color="auto"/>
              <w:right w:val="single" w:sz="4" w:space="0" w:color="auto"/>
            </w:tcBorders>
          </w:tcPr>
          <w:p w14:paraId="67AE9CF9" w14:textId="77777777" w:rsidR="00142FD9" w:rsidRPr="00142FD9" w:rsidRDefault="00142FD9" w:rsidP="00142FD9">
            <w:pPr>
              <w:widowControl/>
              <w:adjustRightInd/>
              <w:jc w:val="center"/>
              <w:rPr>
                <w:b/>
                <w:bCs/>
              </w:rPr>
            </w:pPr>
          </w:p>
        </w:tc>
        <w:tc>
          <w:tcPr>
            <w:tcW w:w="1159" w:type="dxa"/>
            <w:tcBorders>
              <w:top w:val="nil"/>
              <w:left w:val="nil"/>
              <w:bottom w:val="single" w:sz="4" w:space="0" w:color="auto"/>
              <w:right w:val="single" w:sz="4" w:space="0" w:color="auto"/>
            </w:tcBorders>
          </w:tcPr>
          <w:p w14:paraId="30C8DE17" w14:textId="77777777" w:rsidR="00142FD9" w:rsidRPr="00142FD9" w:rsidRDefault="00142FD9" w:rsidP="00142FD9">
            <w:pPr>
              <w:widowControl/>
              <w:adjustRightInd/>
              <w:jc w:val="center"/>
              <w:rPr>
                <w:b/>
                <w:bCs/>
              </w:rPr>
            </w:pPr>
          </w:p>
        </w:tc>
        <w:tc>
          <w:tcPr>
            <w:tcW w:w="1091" w:type="dxa"/>
            <w:gridSpan w:val="2"/>
            <w:tcBorders>
              <w:top w:val="nil"/>
              <w:left w:val="nil"/>
              <w:bottom w:val="single" w:sz="4" w:space="0" w:color="auto"/>
              <w:right w:val="single" w:sz="4" w:space="0" w:color="auto"/>
            </w:tcBorders>
            <w:noWrap/>
            <w:vAlign w:val="bottom"/>
          </w:tcPr>
          <w:p w14:paraId="24FCE5D5" w14:textId="77777777" w:rsidR="00142FD9" w:rsidRPr="00142FD9" w:rsidRDefault="00142FD9" w:rsidP="00142FD9">
            <w:pPr>
              <w:widowControl/>
              <w:adjustRightInd/>
              <w:rPr>
                <w:b/>
                <w:bCs/>
              </w:rPr>
            </w:pPr>
            <w:r w:rsidRPr="00142FD9">
              <w:rPr>
                <w:b/>
                <w:bCs/>
              </w:rPr>
              <w:t> </w:t>
            </w:r>
          </w:p>
        </w:tc>
      </w:tr>
      <w:tr w:rsidR="00142FD9" w:rsidRPr="00142FD9" w14:paraId="2AFB293B" w14:textId="77777777" w:rsidTr="0016331A">
        <w:trPr>
          <w:trHeight w:val="203"/>
        </w:trPr>
        <w:tc>
          <w:tcPr>
            <w:tcW w:w="4167" w:type="dxa"/>
            <w:tcBorders>
              <w:top w:val="nil"/>
              <w:left w:val="single" w:sz="4" w:space="0" w:color="auto"/>
              <w:bottom w:val="single" w:sz="4" w:space="0" w:color="auto"/>
              <w:right w:val="single" w:sz="4" w:space="0" w:color="auto"/>
            </w:tcBorders>
          </w:tcPr>
          <w:p w14:paraId="3929602C" w14:textId="77777777" w:rsidR="00142FD9" w:rsidRPr="00142FD9" w:rsidRDefault="00142FD9" w:rsidP="00142FD9">
            <w:pPr>
              <w:widowControl/>
              <w:adjustRightInd/>
            </w:pPr>
            <w:r w:rsidRPr="00142FD9">
              <w:rPr>
                <w:b/>
                <w:bCs/>
              </w:rPr>
              <w:t xml:space="preserve">   z toho vplyv na ŠR</w:t>
            </w:r>
          </w:p>
        </w:tc>
        <w:tc>
          <w:tcPr>
            <w:tcW w:w="1143" w:type="dxa"/>
            <w:tcBorders>
              <w:top w:val="nil"/>
              <w:left w:val="nil"/>
              <w:bottom w:val="single" w:sz="4" w:space="0" w:color="auto"/>
              <w:right w:val="single" w:sz="4" w:space="0" w:color="auto"/>
            </w:tcBorders>
          </w:tcPr>
          <w:p w14:paraId="035B5520" w14:textId="77777777" w:rsidR="00142FD9" w:rsidRPr="00142FD9" w:rsidRDefault="00142FD9" w:rsidP="00142FD9">
            <w:pPr>
              <w:widowControl/>
              <w:adjustRightInd/>
              <w:jc w:val="center"/>
            </w:pPr>
          </w:p>
        </w:tc>
        <w:tc>
          <w:tcPr>
            <w:tcW w:w="1204" w:type="dxa"/>
            <w:tcBorders>
              <w:top w:val="nil"/>
              <w:left w:val="nil"/>
              <w:bottom w:val="single" w:sz="4" w:space="0" w:color="auto"/>
              <w:right w:val="single" w:sz="4" w:space="0" w:color="auto"/>
            </w:tcBorders>
          </w:tcPr>
          <w:p w14:paraId="61DD57A2" w14:textId="77777777" w:rsidR="00142FD9" w:rsidRPr="00142FD9" w:rsidRDefault="00142FD9" w:rsidP="00142FD9">
            <w:pPr>
              <w:widowControl/>
              <w:adjustRightInd/>
              <w:jc w:val="center"/>
            </w:pPr>
          </w:p>
        </w:tc>
        <w:tc>
          <w:tcPr>
            <w:tcW w:w="1628" w:type="dxa"/>
            <w:gridSpan w:val="2"/>
            <w:tcBorders>
              <w:top w:val="nil"/>
              <w:left w:val="nil"/>
              <w:bottom w:val="single" w:sz="4" w:space="0" w:color="auto"/>
              <w:right w:val="single" w:sz="4" w:space="0" w:color="auto"/>
            </w:tcBorders>
          </w:tcPr>
          <w:p w14:paraId="0377C5BC" w14:textId="77777777" w:rsidR="00142FD9" w:rsidRPr="00142FD9" w:rsidRDefault="00142FD9" w:rsidP="00142FD9">
            <w:pPr>
              <w:widowControl/>
              <w:adjustRightInd/>
              <w:jc w:val="center"/>
            </w:pPr>
          </w:p>
        </w:tc>
        <w:tc>
          <w:tcPr>
            <w:tcW w:w="1159" w:type="dxa"/>
            <w:tcBorders>
              <w:top w:val="nil"/>
              <w:left w:val="nil"/>
              <w:bottom w:val="single" w:sz="4" w:space="0" w:color="auto"/>
              <w:right w:val="single" w:sz="4" w:space="0" w:color="auto"/>
            </w:tcBorders>
          </w:tcPr>
          <w:p w14:paraId="24E975A5" w14:textId="77777777" w:rsidR="00142FD9" w:rsidRPr="00142FD9" w:rsidRDefault="00142FD9" w:rsidP="00142FD9">
            <w:pPr>
              <w:widowControl/>
              <w:adjustRightInd/>
              <w:jc w:val="center"/>
            </w:pPr>
          </w:p>
        </w:tc>
        <w:tc>
          <w:tcPr>
            <w:tcW w:w="1091" w:type="dxa"/>
            <w:gridSpan w:val="2"/>
            <w:tcBorders>
              <w:top w:val="nil"/>
              <w:left w:val="nil"/>
              <w:bottom w:val="single" w:sz="4" w:space="0" w:color="auto"/>
              <w:right w:val="single" w:sz="4" w:space="0" w:color="auto"/>
            </w:tcBorders>
            <w:noWrap/>
            <w:vAlign w:val="bottom"/>
          </w:tcPr>
          <w:p w14:paraId="2B530532" w14:textId="77777777" w:rsidR="00142FD9" w:rsidRPr="00142FD9" w:rsidRDefault="00142FD9" w:rsidP="00142FD9">
            <w:pPr>
              <w:widowControl/>
              <w:adjustRightInd/>
            </w:pPr>
            <w:r w:rsidRPr="00142FD9">
              <w:t> </w:t>
            </w:r>
          </w:p>
        </w:tc>
      </w:tr>
      <w:tr w:rsidR="00142FD9" w:rsidRPr="00142FD9" w14:paraId="661D0730" w14:textId="77777777" w:rsidTr="0016331A">
        <w:trPr>
          <w:trHeight w:val="203"/>
        </w:trPr>
        <w:tc>
          <w:tcPr>
            <w:tcW w:w="4167" w:type="dxa"/>
            <w:tcBorders>
              <w:top w:val="nil"/>
              <w:left w:val="single" w:sz="4" w:space="0" w:color="auto"/>
              <w:bottom w:val="single" w:sz="4" w:space="0" w:color="auto"/>
              <w:right w:val="single" w:sz="4" w:space="0" w:color="auto"/>
            </w:tcBorders>
          </w:tcPr>
          <w:p w14:paraId="00697CA7" w14:textId="77777777" w:rsidR="00142FD9" w:rsidRPr="00142FD9" w:rsidRDefault="00142FD9" w:rsidP="00142FD9">
            <w:pPr>
              <w:widowControl/>
              <w:adjustRightInd/>
              <w:rPr>
                <w:b/>
                <w:bCs/>
              </w:rPr>
            </w:pPr>
            <w:r w:rsidRPr="00142FD9">
              <w:rPr>
                <w:b/>
                <w:bCs/>
              </w:rPr>
              <w:t>Poistné a príspevok do poisťovní (620)</w:t>
            </w:r>
          </w:p>
        </w:tc>
        <w:tc>
          <w:tcPr>
            <w:tcW w:w="1143" w:type="dxa"/>
            <w:tcBorders>
              <w:top w:val="nil"/>
              <w:left w:val="nil"/>
              <w:bottom w:val="single" w:sz="4" w:space="0" w:color="auto"/>
              <w:right w:val="single" w:sz="4" w:space="0" w:color="auto"/>
            </w:tcBorders>
          </w:tcPr>
          <w:p w14:paraId="69DFB954" w14:textId="77777777" w:rsidR="00142FD9" w:rsidRPr="00142FD9" w:rsidRDefault="00142FD9" w:rsidP="00142FD9">
            <w:pPr>
              <w:widowControl/>
              <w:adjustRightInd/>
              <w:jc w:val="center"/>
              <w:rPr>
                <w:b/>
                <w:bCs/>
              </w:rPr>
            </w:pPr>
          </w:p>
        </w:tc>
        <w:tc>
          <w:tcPr>
            <w:tcW w:w="1204" w:type="dxa"/>
            <w:tcBorders>
              <w:top w:val="nil"/>
              <w:left w:val="nil"/>
              <w:bottom w:val="single" w:sz="4" w:space="0" w:color="auto"/>
              <w:right w:val="single" w:sz="4" w:space="0" w:color="auto"/>
            </w:tcBorders>
          </w:tcPr>
          <w:p w14:paraId="46D5C13B" w14:textId="77777777" w:rsidR="00142FD9" w:rsidRPr="00142FD9" w:rsidRDefault="00142FD9" w:rsidP="00142FD9">
            <w:pPr>
              <w:widowControl/>
              <w:adjustRightInd/>
              <w:jc w:val="center"/>
              <w:rPr>
                <w:b/>
                <w:bCs/>
              </w:rPr>
            </w:pPr>
          </w:p>
        </w:tc>
        <w:tc>
          <w:tcPr>
            <w:tcW w:w="1628" w:type="dxa"/>
            <w:gridSpan w:val="2"/>
            <w:tcBorders>
              <w:top w:val="nil"/>
              <w:left w:val="nil"/>
              <w:bottom w:val="single" w:sz="4" w:space="0" w:color="auto"/>
              <w:right w:val="single" w:sz="4" w:space="0" w:color="auto"/>
            </w:tcBorders>
          </w:tcPr>
          <w:p w14:paraId="1162C403" w14:textId="77777777" w:rsidR="00142FD9" w:rsidRPr="00142FD9" w:rsidRDefault="00142FD9" w:rsidP="00142FD9">
            <w:pPr>
              <w:widowControl/>
              <w:adjustRightInd/>
              <w:jc w:val="center"/>
              <w:rPr>
                <w:b/>
                <w:bCs/>
              </w:rPr>
            </w:pPr>
          </w:p>
        </w:tc>
        <w:tc>
          <w:tcPr>
            <w:tcW w:w="1159" w:type="dxa"/>
            <w:tcBorders>
              <w:top w:val="nil"/>
              <w:left w:val="nil"/>
              <w:bottom w:val="single" w:sz="4" w:space="0" w:color="auto"/>
              <w:right w:val="single" w:sz="4" w:space="0" w:color="auto"/>
            </w:tcBorders>
          </w:tcPr>
          <w:p w14:paraId="150656D2" w14:textId="77777777" w:rsidR="00142FD9" w:rsidRPr="00142FD9" w:rsidRDefault="00142FD9" w:rsidP="00142FD9">
            <w:pPr>
              <w:widowControl/>
              <w:adjustRightInd/>
              <w:jc w:val="center"/>
              <w:rPr>
                <w:b/>
                <w:bCs/>
              </w:rPr>
            </w:pPr>
          </w:p>
        </w:tc>
        <w:tc>
          <w:tcPr>
            <w:tcW w:w="1091" w:type="dxa"/>
            <w:gridSpan w:val="2"/>
            <w:tcBorders>
              <w:top w:val="nil"/>
              <w:left w:val="nil"/>
              <w:bottom w:val="single" w:sz="4" w:space="0" w:color="auto"/>
              <w:right w:val="single" w:sz="4" w:space="0" w:color="auto"/>
            </w:tcBorders>
            <w:noWrap/>
            <w:vAlign w:val="bottom"/>
          </w:tcPr>
          <w:p w14:paraId="2F3D84D1" w14:textId="77777777" w:rsidR="00142FD9" w:rsidRPr="00142FD9" w:rsidRDefault="00142FD9" w:rsidP="00142FD9">
            <w:pPr>
              <w:widowControl/>
              <w:adjustRightInd/>
              <w:rPr>
                <w:b/>
                <w:bCs/>
              </w:rPr>
            </w:pPr>
            <w:r w:rsidRPr="00142FD9">
              <w:rPr>
                <w:b/>
                <w:bCs/>
              </w:rPr>
              <w:t> </w:t>
            </w:r>
          </w:p>
        </w:tc>
      </w:tr>
      <w:tr w:rsidR="00142FD9" w:rsidRPr="00142FD9" w14:paraId="4592C3D3" w14:textId="77777777" w:rsidTr="0016331A">
        <w:trPr>
          <w:trHeight w:val="203"/>
        </w:trPr>
        <w:tc>
          <w:tcPr>
            <w:tcW w:w="4167" w:type="dxa"/>
            <w:tcBorders>
              <w:top w:val="nil"/>
              <w:left w:val="single" w:sz="4" w:space="0" w:color="auto"/>
              <w:bottom w:val="single" w:sz="4" w:space="0" w:color="auto"/>
              <w:right w:val="single" w:sz="4" w:space="0" w:color="auto"/>
            </w:tcBorders>
          </w:tcPr>
          <w:p w14:paraId="02A99E4C" w14:textId="77777777" w:rsidR="00142FD9" w:rsidRPr="00142FD9" w:rsidRDefault="00142FD9" w:rsidP="00142FD9">
            <w:pPr>
              <w:widowControl/>
              <w:adjustRightInd/>
            </w:pPr>
            <w:r w:rsidRPr="00142FD9">
              <w:rPr>
                <w:b/>
                <w:bCs/>
              </w:rPr>
              <w:t xml:space="preserve">   z toho vplyv na ŠR</w:t>
            </w:r>
          </w:p>
        </w:tc>
        <w:tc>
          <w:tcPr>
            <w:tcW w:w="1143" w:type="dxa"/>
            <w:tcBorders>
              <w:top w:val="nil"/>
              <w:left w:val="nil"/>
              <w:bottom w:val="single" w:sz="4" w:space="0" w:color="auto"/>
              <w:right w:val="single" w:sz="4" w:space="0" w:color="auto"/>
            </w:tcBorders>
          </w:tcPr>
          <w:p w14:paraId="402A85A1" w14:textId="77777777" w:rsidR="00142FD9" w:rsidRPr="00142FD9" w:rsidRDefault="00142FD9" w:rsidP="00142FD9">
            <w:pPr>
              <w:widowControl/>
              <w:adjustRightInd/>
              <w:jc w:val="center"/>
            </w:pPr>
          </w:p>
        </w:tc>
        <w:tc>
          <w:tcPr>
            <w:tcW w:w="1204" w:type="dxa"/>
            <w:tcBorders>
              <w:top w:val="nil"/>
              <w:left w:val="nil"/>
              <w:bottom w:val="single" w:sz="4" w:space="0" w:color="auto"/>
              <w:right w:val="single" w:sz="4" w:space="0" w:color="auto"/>
            </w:tcBorders>
          </w:tcPr>
          <w:p w14:paraId="3A5537ED" w14:textId="77777777" w:rsidR="00142FD9" w:rsidRPr="00142FD9" w:rsidRDefault="00142FD9" w:rsidP="00142FD9">
            <w:pPr>
              <w:widowControl/>
              <w:adjustRightInd/>
              <w:jc w:val="center"/>
            </w:pPr>
          </w:p>
        </w:tc>
        <w:tc>
          <w:tcPr>
            <w:tcW w:w="1628" w:type="dxa"/>
            <w:gridSpan w:val="2"/>
            <w:tcBorders>
              <w:top w:val="nil"/>
              <w:left w:val="nil"/>
              <w:bottom w:val="single" w:sz="4" w:space="0" w:color="auto"/>
              <w:right w:val="single" w:sz="4" w:space="0" w:color="auto"/>
            </w:tcBorders>
          </w:tcPr>
          <w:p w14:paraId="724F3FAF" w14:textId="77777777" w:rsidR="00142FD9" w:rsidRPr="00142FD9" w:rsidRDefault="00142FD9" w:rsidP="00142FD9">
            <w:pPr>
              <w:widowControl/>
              <w:adjustRightInd/>
              <w:jc w:val="center"/>
            </w:pPr>
          </w:p>
        </w:tc>
        <w:tc>
          <w:tcPr>
            <w:tcW w:w="1159" w:type="dxa"/>
            <w:tcBorders>
              <w:top w:val="nil"/>
              <w:left w:val="nil"/>
              <w:bottom w:val="single" w:sz="4" w:space="0" w:color="auto"/>
              <w:right w:val="single" w:sz="4" w:space="0" w:color="auto"/>
            </w:tcBorders>
          </w:tcPr>
          <w:p w14:paraId="654B0C71" w14:textId="77777777" w:rsidR="00142FD9" w:rsidRPr="00142FD9" w:rsidRDefault="00142FD9" w:rsidP="00142FD9">
            <w:pPr>
              <w:widowControl/>
              <w:adjustRightInd/>
              <w:jc w:val="center"/>
            </w:pPr>
          </w:p>
        </w:tc>
        <w:tc>
          <w:tcPr>
            <w:tcW w:w="1091" w:type="dxa"/>
            <w:gridSpan w:val="2"/>
            <w:tcBorders>
              <w:top w:val="nil"/>
              <w:left w:val="nil"/>
              <w:bottom w:val="single" w:sz="4" w:space="0" w:color="auto"/>
              <w:right w:val="single" w:sz="4" w:space="0" w:color="auto"/>
            </w:tcBorders>
            <w:noWrap/>
            <w:vAlign w:val="bottom"/>
          </w:tcPr>
          <w:p w14:paraId="0B292C3C" w14:textId="77777777" w:rsidR="00142FD9" w:rsidRPr="00142FD9" w:rsidRDefault="00142FD9" w:rsidP="00142FD9">
            <w:pPr>
              <w:widowControl/>
              <w:adjustRightInd/>
            </w:pPr>
            <w:r w:rsidRPr="00142FD9">
              <w:t> </w:t>
            </w:r>
          </w:p>
        </w:tc>
      </w:tr>
      <w:tr w:rsidR="00142FD9" w:rsidRPr="00142FD9" w14:paraId="6CDF5000" w14:textId="77777777" w:rsidTr="0016331A">
        <w:trPr>
          <w:trHeight w:val="203"/>
        </w:trPr>
        <w:tc>
          <w:tcPr>
            <w:tcW w:w="4167" w:type="dxa"/>
            <w:tcBorders>
              <w:top w:val="nil"/>
              <w:left w:val="nil"/>
              <w:bottom w:val="nil"/>
              <w:right w:val="nil"/>
            </w:tcBorders>
            <w:noWrap/>
            <w:vAlign w:val="bottom"/>
          </w:tcPr>
          <w:p w14:paraId="2A6F612D" w14:textId="77777777" w:rsidR="00142FD9" w:rsidRPr="00142FD9" w:rsidRDefault="00142FD9" w:rsidP="00142FD9">
            <w:pPr>
              <w:widowControl/>
              <w:adjustRightInd/>
            </w:pPr>
          </w:p>
        </w:tc>
        <w:tc>
          <w:tcPr>
            <w:tcW w:w="1143" w:type="dxa"/>
            <w:tcBorders>
              <w:top w:val="nil"/>
              <w:left w:val="nil"/>
              <w:bottom w:val="nil"/>
              <w:right w:val="nil"/>
            </w:tcBorders>
            <w:noWrap/>
            <w:vAlign w:val="bottom"/>
          </w:tcPr>
          <w:p w14:paraId="0DEFC7EE" w14:textId="77777777" w:rsidR="00142FD9" w:rsidRPr="00142FD9" w:rsidRDefault="00142FD9" w:rsidP="00142FD9">
            <w:pPr>
              <w:widowControl/>
              <w:adjustRightInd/>
            </w:pPr>
          </w:p>
        </w:tc>
        <w:tc>
          <w:tcPr>
            <w:tcW w:w="1204" w:type="dxa"/>
            <w:tcBorders>
              <w:top w:val="nil"/>
              <w:left w:val="nil"/>
              <w:bottom w:val="nil"/>
              <w:right w:val="nil"/>
            </w:tcBorders>
            <w:noWrap/>
            <w:vAlign w:val="bottom"/>
          </w:tcPr>
          <w:p w14:paraId="42D59B00" w14:textId="77777777" w:rsidR="00142FD9" w:rsidRPr="00142FD9" w:rsidRDefault="00142FD9" w:rsidP="00142FD9">
            <w:pPr>
              <w:widowControl/>
              <w:adjustRightInd/>
            </w:pPr>
          </w:p>
        </w:tc>
        <w:tc>
          <w:tcPr>
            <w:tcW w:w="1628" w:type="dxa"/>
            <w:gridSpan w:val="2"/>
            <w:tcBorders>
              <w:top w:val="nil"/>
              <w:left w:val="nil"/>
              <w:bottom w:val="nil"/>
              <w:right w:val="nil"/>
            </w:tcBorders>
            <w:noWrap/>
            <w:vAlign w:val="bottom"/>
          </w:tcPr>
          <w:p w14:paraId="17A828EB" w14:textId="77777777" w:rsidR="00142FD9" w:rsidRPr="00142FD9" w:rsidRDefault="00142FD9" w:rsidP="00142FD9">
            <w:pPr>
              <w:widowControl/>
              <w:adjustRightInd/>
            </w:pPr>
          </w:p>
        </w:tc>
        <w:tc>
          <w:tcPr>
            <w:tcW w:w="1159" w:type="dxa"/>
            <w:tcBorders>
              <w:top w:val="nil"/>
              <w:left w:val="nil"/>
              <w:bottom w:val="nil"/>
              <w:right w:val="nil"/>
            </w:tcBorders>
            <w:noWrap/>
            <w:vAlign w:val="bottom"/>
          </w:tcPr>
          <w:p w14:paraId="293671A6" w14:textId="77777777" w:rsidR="00142FD9" w:rsidRPr="00142FD9" w:rsidRDefault="00142FD9" w:rsidP="00142FD9">
            <w:pPr>
              <w:widowControl/>
              <w:adjustRightInd/>
            </w:pPr>
          </w:p>
        </w:tc>
        <w:tc>
          <w:tcPr>
            <w:tcW w:w="1091" w:type="dxa"/>
            <w:gridSpan w:val="2"/>
            <w:tcBorders>
              <w:top w:val="nil"/>
              <w:left w:val="nil"/>
              <w:bottom w:val="nil"/>
              <w:right w:val="nil"/>
            </w:tcBorders>
            <w:noWrap/>
            <w:vAlign w:val="bottom"/>
          </w:tcPr>
          <w:p w14:paraId="28B2C293" w14:textId="77777777" w:rsidR="00142FD9" w:rsidRPr="00142FD9" w:rsidRDefault="00142FD9" w:rsidP="00142FD9">
            <w:pPr>
              <w:widowControl/>
              <w:adjustRightInd/>
            </w:pPr>
          </w:p>
        </w:tc>
      </w:tr>
      <w:tr w:rsidR="00142FD9" w:rsidRPr="00142FD9" w14:paraId="473B7907" w14:textId="77777777" w:rsidTr="0016331A">
        <w:trPr>
          <w:trHeight w:val="203"/>
        </w:trPr>
        <w:tc>
          <w:tcPr>
            <w:tcW w:w="4167" w:type="dxa"/>
            <w:tcBorders>
              <w:top w:val="nil"/>
              <w:left w:val="nil"/>
              <w:bottom w:val="nil"/>
              <w:right w:val="nil"/>
            </w:tcBorders>
          </w:tcPr>
          <w:p w14:paraId="4E0CFE98" w14:textId="77777777" w:rsidR="00142FD9" w:rsidRPr="00142FD9" w:rsidRDefault="00142FD9" w:rsidP="00142FD9">
            <w:pPr>
              <w:widowControl/>
              <w:adjustRightInd/>
              <w:rPr>
                <w:b/>
                <w:bCs/>
              </w:rPr>
            </w:pPr>
            <w:r w:rsidRPr="00142FD9">
              <w:rPr>
                <w:b/>
                <w:bCs/>
              </w:rPr>
              <w:t>Poznámky:</w:t>
            </w:r>
          </w:p>
        </w:tc>
        <w:tc>
          <w:tcPr>
            <w:tcW w:w="1143" w:type="dxa"/>
            <w:tcBorders>
              <w:top w:val="nil"/>
              <w:left w:val="nil"/>
              <w:bottom w:val="nil"/>
              <w:right w:val="nil"/>
            </w:tcBorders>
            <w:noWrap/>
            <w:vAlign w:val="bottom"/>
          </w:tcPr>
          <w:p w14:paraId="638FEAF4" w14:textId="77777777" w:rsidR="00142FD9" w:rsidRPr="00142FD9" w:rsidRDefault="00142FD9" w:rsidP="00142FD9">
            <w:pPr>
              <w:widowControl/>
              <w:adjustRightInd/>
            </w:pPr>
          </w:p>
        </w:tc>
        <w:tc>
          <w:tcPr>
            <w:tcW w:w="1204" w:type="dxa"/>
            <w:tcBorders>
              <w:top w:val="nil"/>
              <w:left w:val="nil"/>
              <w:bottom w:val="nil"/>
              <w:right w:val="nil"/>
            </w:tcBorders>
            <w:noWrap/>
            <w:vAlign w:val="bottom"/>
          </w:tcPr>
          <w:p w14:paraId="23357566" w14:textId="77777777" w:rsidR="00142FD9" w:rsidRPr="00142FD9" w:rsidRDefault="00142FD9" w:rsidP="00142FD9">
            <w:pPr>
              <w:widowControl/>
              <w:adjustRightInd/>
            </w:pPr>
          </w:p>
        </w:tc>
        <w:tc>
          <w:tcPr>
            <w:tcW w:w="1628" w:type="dxa"/>
            <w:gridSpan w:val="2"/>
            <w:tcBorders>
              <w:top w:val="nil"/>
              <w:left w:val="nil"/>
              <w:bottom w:val="nil"/>
              <w:right w:val="nil"/>
            </w:tcBorders>
            <w:noWrap/>
            <w:vAlign w:val="bottom"/>
          </w:tcPr>
          <w:p w14:paraId="54E58CF7" w14:textId="77777777" w:rsidR="00142FD9" w:rsidRPr="00142FD9" w:rsidRDefault="00142FD9" w:rsidP="00142FD9">
            <w:pPr>
              <w:widowControl/>
              <w:adjustRightInd/>
            </w:pPr>
          </w:p>
        </w:tc>
        <w:tc>
          <w:tcPr>
            <w:tcW w:w="1159" w:type="dxa"/>
            <w:tcBorders>
              <w:top w:val="nil"/>
              <w:left w:val="nil"/>
              <w:bottom w:val="nil"/>
              <w:right w:val="nil"/>
            </w:tcBorders>
            <w:noWrap/>
            <w:vAlign w:val="bottom"/>
          </w:tcPr>
          <w:p w14:paraId="055DC171" w14:textId="77777777" w:rsidR="00142FD9" w:rsidRPr="00142FD9" w:rsidRDefault="00142FD9" w:rsidP="00142FD9">
            <w:pPr>
              <w:widowControl/>
              <w:adjustRightInd/>
            </w:pPr>
          </w:p>
        </w:tc>
        <w:tc>
          <w:tcPr>
            <w:tcW w:w="1091" w:type="dxa"/>
            <w:gridSpan w:val="2"/>
            <w:tcBorders>
              <w:top w:val="nil"/>
              <w:left w:val="nil"/>
              <w:bottom w:val="nil"/>
              <w:right w:val="nil"/>
            </w:tcBorders>
            <w:noWrap/>
            <w:vAlign w:val="bottom"/>
          </w:tcPr>
          <w:p w14:paraId="78D2BA21" w14:textId="77777777" w:rsidR="00142FD9" w:rsidRPr="00142FD9" w:rsidRDefault="00142FD9" w:rsidP="00142FD9">
            <w:pPr>
              <w:widowControl/>
              <w:adjustRightInd/>
            </w:pPr>
          </w:p>
        </w:tc>
      </w:tr>
      <w:tr w:rsidR="00142FD9" w:rsidRPr="00142FD9" w14:paraId="1BB63821" w14:textId="77777777" w:rsidTr="0016331A">
        <w:trPr>
          <w:trHeight w:val="203"/>
        </w:trPr>
        <w:tc>
          <w:tcPr>
            <w:tcW w:w="9303" w:type="dxa"/>
            <w:gridSpan w:val="6"/>
            <w:tcBorders>
              <w:top w:val="nil"/>
              <w:left w:val="nil"/>
              <w:bottom w:val="nil"/>
              <w:right w:val="nil"/>
            </w:tcBorders>
            <w:noWrap/>
          </w:tcPr>
          <w:p w14:paraId="4F9ED0E4" w14:textId="77777777" w:rsidR="00142FD9" w:rsidRPr="00142FD9" w:rsidRDefault="00142FD9" w:rsidP="00142FD9">
            <w:pPr>
              <w:widowControl/>
              <w:tabs>
                <w:tab w:val="num" w:pos="1080"/>
              </w:tabs>
              <w:adjustRightInd/>
              <w:jc w:val="both"/>
              <w:rPr>
                <w:bCs/>
                <w:szCs w:val="20"/>
              </w:rPr>
            </w:pPr>
            <w:r w:rsidRPr="00142FD9">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AC0A262" w14:textId="77777777" w:rsidR="00142FD9" w:rsidRPr="00142FD9" w:rsidRDefault="00142FD9" w:rsidP="00142FD9">
            <w:pPr>
              <w:widowControl/>
              <w:adjustRightInd/>
            </w:pPr>
            <w:r w:rsidRPr="00142FD9">
              <w:t>Priemerný mzdový výdavok je tvorený podielom mzdových výdavkov na jedného zamestnanca na jeden kalendárny mesiac bežného roka.</w:t>
            </w:r>
          </w:p>
        </w:tc>
        <w:tc>
          <w:tcPr>
            <w:tcW w:w="1091" w:type="dxa"/>
            <w:gridSpan w:val="2"/>
            <w:tcBorders>
              <w:top w:val="nil"/>
              <w:left w:val="nil"/>
              <w:bottom w:val="nil"/>
              <w:right w:val="nil"/>
            </w:tcBorders>
            <w:noWrap/>
            <w:vAlign w:val="bottom"/>
          </w:tcPr>
          <w:p w14:paraId="6B223E20" w14:textId="77777777" w:rsidR="00142FD9" w:rsidRPr="00142FD9" w:rsidRDefault="00142FD9" w:rsidP="00142FD9">
            <w:pPr>
              <w:widowControl/>
              <w:adjustRightInd/>
            </w:pPr>
          </w:p>
        </w:tc>
      </w:tr>
      <w:tr w:rsidR="00142FD9" w:rsidRPr="00142FD9" w14:paraId="5A51C15C" w14:textId="77777777" w:rsidTr="0016331A">
        <w:trPr>
          <w:trHeight w:val="203"/>
        </w:trPr>
        <w:tc>
          <w:tcPr>
            <w:tcW w:w="7000" w:type="dxa"/>
            <w:gridSpan w:val="4"/>
            <w:tcBorders>
              <w:top w:val="nil"/>
              <w:left w:val="nil"/>
              <w:bottom w:val="nil"/>
              <w:right w:val="nil"/>
            </w:tcBorders>
            <w:noWrap/>
            <w:vAlign w:val="bottom"/>
          </w:tcPr>
          <w:p w14:paraId="3894100C" w14:textId="77777777" w:rsidR="00142FD9" w:rsidRPr="00142FD9" w:rsidRDefault="00142FD9" w:rsidP="00142FD9">
            <w:pPr>
              <w:widowControl/>
              <w:adjustRightInd/>
            </w:pPr>
            <w:r w:rsidRPr="00142FD9">
              <w:t>Kategórie 610 a 620 sú z tejto prílohy prenášané do príslušných kategórií prílohy „výdavky“.</w:t>
            </w:r>
          </w:p>
        </w:tc>
        <w:tc>
          <w:tcPr>
            <w:tcW w:w="1143" w:type="dxa"/>
            <w:tcBorders>
              <w:top w:val="nil"/>
              <w:left w:val="nil"/>
              <w:bottom w:val="nil"/>
              <w:right w:val="nil"/>
            </w:tcBorders>
            <w:noWrap/>
            <w:vAlign w:val="bottom"/>
          </w:tcPr>
          <w:p w14:paraId="23386FD5" w14:textId="77777777" w:rsidR="00142FD9" w:rsidRPr="00142FD9" w:rsidRDefault="00142FD9" w:rsidP="00142FD9">
            <w:pPr>
              <w:widowControl/>
              <w:adjustRightInd/>
            </w:pPr>
          </w:p>
        </w:tc>
        <w:tc>
          <w:tcPr>
            <w:tcW w:w="1584" w:type="dxa"/>
            <w:gridSpan w:val="2"/>
            <w:tcBorders>
              <w:top w:val="nil"/>
              <w:left w:val="nil"/>
              <w:bottom w:val="nil"/>
              <w:right w:val="nil"/>
            </w:tcBorders>
            <w:noWrap/>
            <w:vAlign w:val="bottom"/>
          </w:tcPr>
          <w:p w14:paraId="4726FF31" w14:textId="77777777" w:rsidR="00142FD9" w:rsidRPr="00142FD9" w:rsidRDefault="00142FD9" w:rsidP="00142FD9">
            <w:pPr>
              <w:widowControl/>
              <w:adjustRightInd/>
            </w:pPr>
          </w:p>
        </w:tc>
        <w:tc>
          <w:tcPr>
            <w:tcW w:w="666" w:type="dxa"/>
            <w:tcBorders>
              <w:top w:val="nil"/>
              <w:left w:val="nil"/>
              <w:bottom w:val="nil"/>
              <w:right w:val="nil"/>
            </w:tcBorders>
            <w:noWrap/>
            <w:vAlign w:val="bottom"/>
          </w:tcPr>
          <w:p w14:paraId="3E18D936" w14:textId="77777777" w:rsidR="00142FD9" w:rsidRPr="00142FD9" w:rsidRDefault="00142FD9" w:rsidP="00142FD9">
            <w:pPr>
              <w:widowControl/>
              <w:adjustRightInd/>
            </w:pPr>
          </w:p>
        </w:tc>
      </w:tr>
    </w:tbl>
    <w:p w14:paraId="0D73D0F9" w14:textId="77777777" w:rsidR="00142FD9" w:rsidRPr="00142FD9" w:rsidRDefault="00142FD9" w:rsidP="00142FD9">
      <w:pPr>
        <w:widowControl/>
        <w:adjustRightInd/>
        <w:rPr>
          <w:b/>
          <w:bCs/>
        </w:rPr>
        <w:sectPr w:rsidR="00142FD9" w:rsidRPr="00142FD9" w:rsidSect="0016331A">
          <w:pgSz w:w="11906" w:h="16838"/>
          <w:pgMar w:top="1418" w:right="1418" w:bottom="1418" w:left="1418" w:header="709" w:footer="709" w:gutter="0"/>
          <w:cols w:space="708"/>
          <w:docGrid w:linePitch="360"/>
        </w:sectPr>
      </w:pPr>
    </w:p>
    <w:p w14:paraId="4929D106" w14:textId="7AB15F98" w:rsidR="007E1CA3" w:rsidRPr="001E4B49" w:rsidRDefault="007E1CA3" w:rsidP="00EC305C">
      <w:pPr>
        <w:pStyle w:val="Default"/>
        <w:ind w:left="360"/>
        <w:jc w:val="center"/>
        <w:rPr>
          <w:b/>
          <w:bCs/>
        </w:rPr>
      </w:pPr>
    </w:p>
    <w:p w14:paraId="1B7121A8" w14:textId="01C56DDB" w:rsidR="007E1CA3" w:rsidRPr="001E4B49" w:rsidRDefault="007E1CA3" w:rsidP="007E1CA3">
      <w:pPr>
        <w:pStyle w:val="Default"/>
        <w:ind w:left="360"/>
        <w:jc w:val="center"/>
        <w:rPr>
          <w:b/>
          <w:bCs/>
        </w:rPr>
      </w:pPr>
      <w:r w:rsidRPr="001E4B49">
        <w:rPr>
          <w:b/>
          <w:bCs/>
        </w:rPr>
        <w:t>DOLOŽKA ZLUČITEĽNOSTI</w:t>
      </w:r>
    </w:p>
    <w:p w14:paraId="5E24EE5D" w14:textId="77777777" w:rsidR="007E1CA3" w:rsidRPr="001E4B49" w:rsidRDefault="007E1CA3" w:rsidP="007E1CA3">
      <w:pPr>
        <w:pStyle w:val="Default"/>
        <w:ind w:left="360"/>
        <w:jc w:val="center"/>
      </w:pPr>
    </w:p>
    <w:p w14:paraId="49D958CD" w14:textId="77777777" w:rsidR="007E1CA3" w:rsidRPr="001E4B49" w:rsidRDefault="007E1CA3" w:rsidP="007E1CA3">
      <w:pPr>
        <w:pStyle w:val="Default"/>
        <w:ind w:firstLine="426"/>
        <w:jc w:val="center"/>
        <w:rPr>
          <w:b/>
          <w:bCs/>
        </w:rPr>
      </w:pPr>
      <w:r w:rsidRPr="001E4B49">
        <w:rPr>
          <w:b/>
          <w:bCs/>
        </w:rPr>
        <w:t>k návrhu zákona, ktorým sa mení a dopĺňa zákon č. 336/2015 Z. z. o podpore najmenej rozvinutých okresov a o zmene a doplnení niektorých zákonov v znení neskorších predpisov s právom Európskej únie</w:t>
      </w:r>
    </w:p>
    <w:p w14:paraId="32308358" w14:textId="77777777" w:rsidR="007E1CA3" w:rsidRPr="001E4B49" w:rsidRDefault="007E1CA3" w:rsidP="007E1CA3">
      <w:pPr>
        <w:pStyle w:val="Default"/>
        <w:ind w:firstLine="426"/>
      </w:pPr>
    </w:p>
    <w:p w14:paraId="0A2B9CC4" w14:textId="77777777" w:rsidR="007E1CA3" w:rsidRPr="001E4B49" w:rsidRDefault="007E1CA3" w:rsidP="007E1CA3">
      <w:pPr>
        <w:pStyle w:val="Default"/>
        <w:ind w:left="1260" w:hanging="810"/>
      </w:pPr>
      <w:r w:rsidRPr="001E4B49">
        <w:t xml:space="preserve">1. </w:t>
      </w:r>
      <w:r w:rsidRPr="001E4B49">
        <w:rPr>
          <w:b/>
        </w:rPr>
        <w:t>Navrhovateľ zákona</w:t>
      </w:r>
      <w:r w:rsidRPr="001E4B49">
        <w:t xml:space="preserve">: </w:t>
      </w:r>
      <w:r w:rsidRPr="001E4B49">
        <w:rPr>
          <w:i/>
          <w:iCs/>
        </w:rPr>
        <w:t>Ministerstvo investícií, regionálneho rozvoja a informatizácie Slovenskej republiky</w:t>
      </w:r>
    </w:p>
    <w:p w14:paraId="4629BDDB" w14:textId="77777777" w:rsidR="007E1CA3" w:rsidRPr="001E4B49" w:rsidRDefault="007E1CA3" w:rsidP="007E1CA3">
      <w:pPr>
        <w:pStyle w:val="Default"/>
        <w:ind w:firstLine="426"/>
      </w:pPr>
    </w:p>
    <w:p w14:paraId="4A654C4E" w14:textId="77777777" w:rsidR="007E1CA3" w:rsidRPr="001E4B49" w:rsidRDefault="007E1CA3" w:rsidP="007E1CA3">
      <w:pPr>
        <w:pStyle w:val="Default"/>
        <w:ind w:left="1276" w:hanging="850"/>
        <w:jc w:val="both"/>
        <w:rPr>
          <w:i/>
          <w:color w:val="FF0000"/>
        </w:rPr>
      </w:pPr>
      <w:r w:rsidRPr="001E4B49">
        <w:t xml:space="preserve">2. </w:t>
      </w:r>
      <w:r w:rsidRPr="001E4B49">
        <w:rPr>
          <w:b/>
        </w:rPr>
        <w:t>Názov návrhu zákona</w:t>
      </w:r>
      <w:r w:rsidRPr="001E4B49">
        <w:t xml:space="preserve">: </w:t>
      </w:r>
      <w:r w:rsidRPr="001E4B49">
        <w:rPr>
          <w:i/>
        </w:rPr>
        <w:t xml:space="preserve">zákon, </w:t>
      </w:r>
      <w:r w:rsidRPr="001E4B49">
        <w:rPr>
          <w:bCs/>
          <w:i/>
        </w:rPr>
        <w:t>ktorým sa mení a dopĺňa zákon č. 336/2015 Z. z. o podpore najmenej rozvinutých okresov a o zmene a doplnení niektorých zákonov v znení neskorších predpisov</w:t>
      </w:r>
    </w:p>
    <w:p w14:paraId="2B2D2CB2" w14:textId="77777777" w:rsidR="007E1CA3" w:rsidRPr="001E4B49" w:rsidRDefault="007E1CA3" w:rsidP="007E1CA3">
      <w:pPr>
        <w:pStyle w:val="Default"/>
        <w:ind w:firstLine="426"/>
        <w:rPr>
          <w:i/>
        </w:rPr>
      </w:pPr>
    </w:p>
    <w:p w14:paraId="7F1872C4" w14:textId="77777777" w:rsidR="007E1CA3" w:rsidRPr="001E4B49" w:rsidRDefault="007E1CA3" w:rsidP="007E1CA3">
      <w:pPr>
        <w:pStyle w:val="Default"/>
        <w:ind w:firstLine="426"/>
      </w:pPr>
      <w:r w:rsidRPr="001E4B49">
        <w:t xml:space="preserve">3. </w:t>
      </w:r>
      <w:r w:rsidRPr="001E4B49">
        <w:rPr>
          <w:b/>
          <w:bCs/>
        </w:rPr>
        <w:t>Predmet návrhu zákona je upravený v práve Európskej únie</w:t>
      </w:r>
      <w:r w:rsidRPr="001E4B49">
        <w:t xml:space="preserve">: </w:t>
      </w:r>
    </w:p>
    <w:p w14:paraId="67F7BBB1" w14:textId="77777777" w:rsidR="007E1CA3" w:rsidRPr="001E4B49" w:rsidRDefault="007E1CA3" w:rsidP="007E1CA3">
      <w:pPr>
        <w:pStyle w:val="Default"/>
        <w:ind w:left="567" w:firstLine="426"/>
        <w:jc w:val="both"/>
      </w:pPr>
      <w:r w:rsidRPr="001E4B49">
        <w:t>a) v primárnom práve (uviesť názov zmluvy a číslo článku)</w:t>
      </w:r>
    </w:p>
    <w:p w14:paraId="25E8641F" w14:textId="77777777" w:rsidR="007E1CA3" w:rsidRPr="001E4B49" w:rsidRDefault="007E1CA3" w:rsidP="007E1CA3">
      <w:pPr>
        <w:pStyle w:val="Default"/>
        <w:ind w:left="567" w:firstLine="426"/>
        <w:jc w:val="both"/>
      </w:pPr>
    </w:p>
    <w:p w14:paraId="5F55C58A" w14:textId="77777777" w:rsidR="007E1CA3" w:rsidRPr="001E4B49" w:rsidRDefault="007E1CA3" w:rsidP="007E1CA3">
      <w:pPr>
        <w:pStyle w:val="Default"/>
        <w:ind w:left="567" w:firstLine="426"/>
        <w:jc w:val="both"/>
      </w:pPr>
      <w:r w:rsidRPr="001E4B49">
        <w:t>- čl. 107 až 109 a 174 až 178 Zmluvy o fungovaní Európskej únie,</w:t>
      </w:r>
    </w:p>
    <w:p w14:paraId="78881586" w14:textId="77777777" w:rsidR="007E1CA3" w:rsidRPr="001E4B49" w:rsidRDefault="007E1CA3" w:rsidP="007E1CA3">
      <w:pPr>
        <w:pStyle w:val="Default"/>
        <w:jc w:val="both"/>
        <w:rPr>
          <w:i/>
          <w:color w:val="000000" w:themeColor="text1"/>
        </w:rPr>
      </w:pPr>
    </w:p>
    <w:p w14:paraId="17AEA015" w14:textId="77777777" w:rsidR="007E1CA3" w:rsidRPr="001E4B49" w:rsidRDefault="007E1CA3" w:rsidP="007E1CA3">
      <w:pPr>
        <w:pStyle w:val="Default"/>
        <w:ind w:left="1276" w:hanging="283"/>
        <w:jc w:val="both"/>
      </w:pPr>
      <w:r w:rsidRPr="001E4B49">
        <w:t xml:space="preserve">b) v sekundárnom práve (uviesť druh, inštitúciu, číslo, názov a dátum vydania právneho aktu vzťahujúceho sa na upravovanú problematiku, vrátane jeho gestora) </w:t>
      </w:r>
    </w:p>
    <w:p w14:paraId="213FF669" w14:textId="77777777" w:rsidR="007E1CA3" w:rsidRPr="001E4B49" w:rsidRDefault="007E1CA3" w:rsidP="007E1CA3">
      <w:pPr>
        <w:pStyle w:val="Default"/>
        <w:ind w:left="1276" w:hanging="283"/>
        <w:jc w:val="both"/>
      </w:pPr>
    </w:p>
    <w:p w14:paraId="2DDCD723" w14:textId="77777777" w:rsidR="007E1CA3" w:rsidRPr="001E4B49" w:rsidRDefault="007E1CA3" w:rsidP="007E1CA3">
      <w:pPr>
        <w:ind w:left="993"/>
        <w:rPr>
          <w:color w:val="000000"/>
        </w:rPr>
      </w:pPr>
      <w:r w:rsidRPr="001E4B49">
        <w:rPr>
          <w:color w:val="000000"/>
        </w:rPr>
        <w:t>Delegované</w:t>
      </w:r>
      <w:r w:rsidRPr="001E4B49">
        <w:rPr>
          <w:color w:val="000000"/>
          <w:spacing w:val="25"/>
        </w:rPr>
        <w:t xml:space="preserve"> </w:t>
      </w:r>
      <w:r w:rsidRPr="001E4B49">
        <w:rPr>
          <w:color w:val="000000"/>
        </w:rPr>
        <w:t>nariadenie</w:t>
      </w:r>
      <w:r w:rsidRPr="001E4B49">
        <w:rPr>
          <w:color w:val="000000"/>
          <w:spacing w:val="25"/>
        </w:rPr>
        <w:t xml:space="preserve"> </w:t>
      </w:r>
      <w:r w:rsidRPr="001E4B49">
        <w:rPr>
          <w:color w:val="000000"/>
        </w:rPr>
        <w:t>Komisie</w:t>
      </w:r>
      <w:r w:rsidRPr="001E4B49">
        <w:rPr>
          <w:color w:val="000000"/>
          <w:spacing w:val="25"/>
        </w:rPr>
        <w:t xml:space="preserve"> </w:t>
      </w:r>
      <w:r w:rsidRPr="001E4B49">
        <w:rPr>
          <w:color w:val="000000"/>
        </w:rPr>
        <w:t>(EÚ)</w:t>
      </w:r>
      <w:r w:rsidRPr="001E4B49">
        <w:rPr>
          <w:color w:val="000000"/>
          <w:spacing w:val="25"/>
        </w:rPr>
        <w:t xml:space="preserve"> </w:t>
      </w:r>
      <w:r w:rsidRPr="001E4B49">
        <w:rPr>
          <w:color w:val="000000"/>
        </w:rPr>
        <w:t>č.</w:t>
      </w:r>
      <w:r w:rsidRPr="001E4B49">
        <w:rPr>
          <w:color w:val="000000"/>
          <w:spacing w:val="25"/>
        </w:rPr>
        <w:t xml:space="preserve"> </w:t>
      </w:r>
      <w:r w:rsidRPr="001E4B49">
        <w:rPr>
          <w:color w:val="000000"/>
        </w:rPr>
        <w:t>240/2014</w:t>
      </w:r>
      <w:r w:rsidRPr="001E4B49">
        <w:rPr>
          <w:color w:val="000000"/>
          <w:spacing w:val="25"/>
        </w:rPr>
        <w:t xml:space="preserve"> </w:t>
      </w:r>
      <w:r w:rsidRPr="001E4B49">
        <w:rPr>
          <w:color w:val="000000"/>
        </w:rPr>
        <w:t>zo</w:t>
      </w:r>
      <w:r w:rsidRPr="001E4B49">
        <w:rPr>
          <w:color w:val="000000"/>
          <w:spacing w:val="25"/>
        </w:rPr>
        <w:t xml:space="preserve"> </w:t>
      </w:r>
      <w:r w:rsidRPr="001E4B49">
        <w:rPr>
          <w:color w:val="000000"/>
        </w:rPr>
        <w:t>7.</w:t>
      </w:r>
      <w:r w:rsidRPr="001E4B49">
        <w:rPr>
          <w:color w:val="000000"/>
          <w:spacing w:val="25"/>
        </w:rPr>
        <w:t xml:space="preserve"> </w:t>
      </w:r>
      <w:r w:rsidRPr="001E4B49">
        <w:rPr>
          <w:color w:val="000000"/>
        </w:rPr>
        <w:t>januára</w:t>
      </w:r>
      <w:r w:rsidRPr="001E4B49">
        <w:rPr>
          <w:color w:val="000000"/>
          <w:spacing w:val="25"/>
        </w:rPr>
        <w:t xml:space="preserve"> </w:t>
      </w:r>
      <w:r w:rsidRPr="001E4B49">
        <w:rPr>
          <w:color w:val="000000"/>
        </w:rPr>
        <w:t>2014</w:t>
      </w:r>
      <w:r w:rsidRPr="001E4B49">
        <w:rPr>
          <w:color w:val="000000"/>
          <w:spacing w:val="25"/>
        </w:rPr>
        <w:t xml:space="preserve"> </w:t>
      </w:r>
      <w:r w:rsidRPr="001E4B49">
        <w:rPr>
          <w:color w:val="000000"/>
        </w:rPr>
        <w:t>o</w:t>
      </w:r>
      <w:r w:rsidRPr="001E4B49">
        <w:rPr>
          <w:color w:val="000000"/>
          <w:spacing w:val="25"/>
        </w:rPr>
        <w:t xml:space="preserve"> </w:t>
      </w:r>
      <w:r w:rsidRPr="001E4B49">
        <w:rPr>
          <w:color w:val="000000"/>
        </w:rPr>
        <w:t>európskom kódexe</w:t>
      </w:r>
      <w:r w:rsidRPr="001E4B49">
        <w:rPr>
          <w:color w:val="000000"/>
          <w:spacing w:val="23"/>
        </w:rPr>
        <w:t xml:space="preserve"> </w:t>
      </w:r>
      <w:r w:rsidRPr="001E4B49">
        <w:rPr>
          <w:color w:val="000000"/>
        </w:rPr>
        <w:t>správania</w:t>
      </w:r>
      <w:r w:rsidRPr="001E4B49">
        <w:rPr>
          <w:color w:val="000000"/>
          <w:spacing w:val="23"/>
        </w:rPr>
        <w:t xml:space="preserve"> </w:t>
      </w:r>
      <w:r w:rsidRPr="001E4B49">
        <w:rPr>
          <w:color w:val="000000"/>
        </w:rPr>
        <w:t>pre</w:t>
      </w:r>
      <w:r w:rsidRPr="001E4B49">
        <w:rPr>
          <w:color w:val="000000"/>
          <w:spacing w:val="23"/>
        </w:rPr>
        <w:t xml:space="preserve"> </w:t>
      </w:r>
      <w:r w:rsidRPr="001E4B49">
        <w:rPr>
          <w:color w:val="000000"/>
        </w:rPr>
        <w:t>partnerstvo</w:t>
      </w:r>
      <w:r w:rsidRPr="001E4B49">
        <w:rPr>
          <w:color w:val="000000"/>
          <w:spacing w:val="23"/>
        </w:rPr>
        <w:t xml:space="preserve"> </w:t>
      </w:r>
      <w:r w:rsidRPr="001E4B49">
        <w:rPr>
          <w:color w:val="000000"/>
        </w:rPr>
        <w:t>v</w:t>
      </w:r>
      <w:r w:rsidRPr="001E4B49">
        <w:rPr>
          <w:color w:val="000000"/>
          <w:spacing w:val="23"/>
        </w:rPr>
        <w:t xml:space="preserve"> </w:t>
      </w:r>
      <w:r w:rsidRPr="001E4B49">
        <w:rPr>
          <w:color w:val="000000"/>
        </w:rPr>
        <w:t>rámci</w:t>
      </w:r>
      <w:r w:rsidRPr="001E4B49">
        <w:rPr>
          <w:color w:val="000000"/>
          <w:spacing w:val="23"/>
        </w:rPr>
        <w:t xml:space="preserve"> </w:t>
      </w:r>
      <w:r w:rsidRPr="001E4B49">
        <w:rPr>
          <w:color w:val="000000"/>
        </w:rPr>
        <w:t>európskych</w:t>
      </w:r>
      <w:r w:rsidRPr="001E4B49">
        <w:rPr>
          <w:color w:val="000000"/>
          <w:spacing w:val="23"/>
        </w:rPr>
        <w:t xml:space="preserve"> </w:t>
      </w:r>
      <w:r w:rsidRPr="001E4B49">
        <w:rPr>
          <w:color w:val="000000"/>
        </w:rPr>
        <w:t>štrukturálnych</w:t>
      </w:r>
      <w:r w:rsidRPr="001E4B49">
        <w:rPr>
          <w:color w:val="000000"/>
          <w:spacing w:val="23"/>
        </w:rPr>
        <w:t xml:space="preserve"> </w:t>
      </w:r>
      <w:r w:rsidRPr="001E4B49">
        <w:rPr>
          <w:color w:val="000000"/>
        </w:rPr>
        <w:t>a</w:t>
      </w:r>
      <w:r w:rsidRPr="001E4B49">
        <w:rPr>
          <w:color w:val="000000"/>
          <w:spacing w:val="23"/>
        </w:rPr>
        <w:t xml:space="preserve"> </w:t>
      </w:r>
      <w:r w:rsidRPr="001E4B49">
        <w:rPr>
          <w:color w:val="000000"/>
        </w:rPr>
        <w:t xml:space="preserve">investičných fondov (Ú. v. EÚ L 74, 14.3.2014), </w:t>
      </w:r>
    </w:p>
    <w:p w14:paraId="0C362E03" w14:textId="77777777" w:rsidR="007E1CA3" w:rsidRPr="001E4B49" w:rsidRDefault="007E1CA3" w:rsidP="007E1CA3">
      <w:pPr>
        <w:ind w:left="993"/>
        <w:rPr>
          <w:color w:val="000000"/>
        </w:rPr>
      </w:pPr>
    </w:p>
    <w:p w14:paraId="158FE9D5" w14:textId="77777777" w:rsidR="007E1CA3" w:rsidRPr="001E4B49" w:rsidRDefault="007E1CA3" w:rsidP="007E1CA3">
      <w:pPr>
        <w:pStyle w:val="Odsekzoznamu"/>
        <w:widowControl/>
        <w:numPr>
          <w:ilvl w:val="0"/>
          <w:numId w:val="22"/>
        </w:numPr>
        <w:tabs>
          <w:tab w:val="left" w:pos="1457"/>
        </w:tabs>
        <w:adjustRightInd/>
        <w:rPr>
          <w:color w:val="000000"/>
          <w:sz w:val="27"/>
          <w:szCs w:val="27"/>
        </w:rPr>
      </w:pPr>
      <w:r w:rsidRPr="001E4B49">
        <w:rPr>
          <w:color w:val="000000"/>
        </w:rPr>
        <w:t>gestorom právneho aktu je Ministerstvo investícií, regionálneho rozvoja a informatizácie Slovenskej republiky,</w:t>
      </w:r>
    </w:p>
    <w:p w14:paraId="4D0A4175" w14:textId="77777777" w:rsidR="007E1CA3" w:rsidRPr="001E4B49" w:rsidRDefault="007E1CA3" w:rsidP="007E1CA3">
      <w:pPr>
        <w:pStyle w:val="Odsekzoznamu"/>
        <w:tabs>
          <w:tab w:val="left" w:pos="1457"/>
        </w:tabs>
        <w:ind w:left="993"/>
        <w:rPr>
          <w:color w:val="000000"/>
          <w:sz w:val="27"/>
          <w:szCs w:val="27"/>
        </w:rPr>
      </w:pPr>
    </w:p>
    <w:p w14:paraId="1D7DFE5F" w14:textId="77777777" w:rsidR="007E1CA3" w:rsidRPr="001E4B49" w:rsidRDefault="007E1CA3" w:rsidP="007E1CA3">
      <w:pPr>
        <w:ind w:left="993"/>
        <w:rPr>
          <w:color w:val="000000"/>
        </w:rPr>
      </w:pPr>
      <w:r w:rsidRPr="001E4B49">
        <w:rPr>
          <w:color w:val="000000"/>
        </w:rPr>
        <w:t>Nariadenie</w:t>
      </w:r>
      <w:r w:rsidRPr="001E4B49">
        <w:rPr>
          <w:color w:val="000000"/>
          <w:spacing w:val="90"/>
        </w:rPr>
        <w:t xml:space="preserve"> </w:t>
      </w:r>
      <w:r w:rsidRPr="001E4B49">
        <w:rPr>
          <w:color w:val="000000"/>
        </w:rPr>
        <w:t>Komisie</w:t>
      </w:r>
      <w:r w:rsidRPr="001E4B49">
        <w:rPr>
          <w:color w:val="000000"/>
          <w:spacing w:val="90"/>
        </w:rPr>
        <w:t xml:space="preserve"> </w:t>
      </w:r>
      <w:r w:rsidRPr="001E4B49">
        <w:rPr>
          <w:color w:val="000000"/>
        </w:rPr>
        <w:t>(EÚ)</w:t>
      </w:r>
      <w:r w:rsidRPr="001E4B49">
        <w:rPr>
          <w:color w:val="000000"/>
          <w:spacing w:val="90"/>
        </w:rPr>
        <w:t xml:space="preserve"> </w:t>
      </w:r>
      <w:r w:rsidRPr="001E4B49">
        <w:rPr>
          <w:color w:val="000000"/>
        </w:rPr>
        <w:t>č.</w:t>
      </w:r>
      <w:r w:rsidRPr="001E4B49">
        <w:rPr>
          <w:color w:val="000000"/>
          <w:spacing w:val="90"/>
        </w:rPr>
        <w:t xml:space="preserve"> </w:t>
      </w:r>
      <w:r w:rsidRPr="001E4B49">
        <w:rPr>
          <w:color w:val="000000"/>
        </w:rPr>
        <w:t>651/2014</w:t>
      </w:r>
      <w:r w:rsidRPr="001E4B49">
        <w:rPr>
          <w:color w:val="000000"/>
          <w:spacing w:val="90"/>
        </w:rPr>
        <w:t xml:space="preserve"> </w:t>
      </w:r>
      <w:r w:rsidRPr="001E4B49">
        <w:rPr>
          <w:color w:val="000000"/>
        </w:rPr>
        <w:t>zo</w:t>
      </w:r>
      <w:r w:rsidRPr="001E4B49">
        <w:rPr>
          <w:color w:val="000000"/>
          <w:spacing w:val="90"/>
        </w:rPr>
        <w:t xml:space="preserve"> </w:t>
      </w:r>
      <w:r w:rsidRPr="001E4B49">
        <w:rPr>
          <w:color w:val="000000"/>
        </w:rPr>
        <w:t>17.</w:t>
      </w:r>
      <w:r w:rsidRPr="001E4B49">
        <w:rPr>
          <w:color w:val="000000"/>
          <w:spacing w:val="90"/>
        </w:rPr>
        <w:t xml:space="preserve"> </w:t>
      </w:r>
      <w:r w:rsidRPr="001E4B49">
        <w:rPr>
          <w:color w:val="000000"/>
        </w:rPr>
        <w:t>júna</w:t>
      </w:r>
      <w:r w:rsidRPr="001E4B49">
        <w:rPr>
          <w:color w:val="000000"/>
          <w:spacing w:val="90"/>
        </w:rPr>
        <w:t xml:space="preserve"> </w:t>
      </w:r>
      <w:r w:rsidRPr="001E4B49">
        <w:rPr>
          <w:color w:val="000000"/>
        </w:rPr>
        <w:t>2014</w:t>
      </w:r>
      <w:r w:rsidRPr="001E4B49">
        <w:rPr>
          <w:color w:val="000000"/>
          <w:spacing w:val="90"/>
        </w:rPr>
        <w:t xml:space="preserve"> </w:t>
      </w:r>
      <w:r w:rsidRPr="001E4B49">
        <w:rPr>
          <w:color w:val="000000"/>
        </w:rPr>
        <w:t>o vyhlásení</w:t>
      </w:r>
      <w:r w:rsidRPr="001E4B49">
        <w:rPr>
          <w:color w:val="000000"/>
          <w:spacing w:val="90"/>
        </w:rPr>
        <w:t xml:space="preserve"> </w:t>
      </w:r>
      <w:r w:rsidRPr="001E4B49">
        <w:rPr>
          <w:color w:val="000000"/>
        </w:rPr>
        <w:t>určitých kategórií</w:t>
      </w:r>
      <w:r w:rsidRPr="001E4B49">
        <w:rPr>
          <w:color w:val="000000"/>
          <w:spacing w:val="16"/>
        </w:rPr>
        <w:t xml:space="preserve"> </w:t>
      </w:r>
      <w:r w:rsidRPr="001E4B49">
        <w:rPr>
          <w:color w:val="000000"/>
        </w:rPr>
        <w:t>pomoci</w:t>
      </w:r>
      <w:r w:rsidRPr="001E4B49">
        <w:rPr>
          <w:color w:val="000000"/>
          <w:spacing w:val="16"/>
        </w:rPr>
        <w:t xml:space="preserve"> </w:t>
      </w:r>
      <w:r w:rsidRPr="001E4B49">
        <w:rPr>
          <w:color w:val="000000"/>
        </w:rPr>
        <w:t>za</w:t>
      </w:r>
      <w:r w:rsidRPr="001E4B49">
        <w:rPr>
          <w:color w:val="000000"/>
          <w:spacing w:val="16"/>
        </w:rPr>
        <w:t xml:space="preserve"> </w:t>
      </w:r>
      <w:r w:rsidRPr="001E4B49">
        <w:rPr>
          <w:color w:val="000000"/>
        </w:rPr>
        <w:t>zlučiteľné</w:t>
      </w:r>
      <w:r w:rsidRPr="001E4B49">
        <w:rPr>
          <w:color w:val="000000"/>
          <w:spacing w:val="16"/>
        </w:rPr>
        <w:t xml:space="preserve"> </w:t>
      </w:r>
      <w:r w:rsidRPr="001E4B49">
        <w:rPr>
          <w:color w:val="000000"/>
        </w:rPr>
        <w:t>s vnútorným</w:t>
      </w:r>
      <w:r w:rsidRPr="001E4B49">
        <w:rPr>
          <w:color w:val="000000"/>
          <w:spacing w:val="16"/>
        </w:rPr>
        <w:t xml:space="preserve"> </w:t>
      </w:r>
      <w:r w:rsidRPr="001E4B49">
        <w:rPr>
          <w:color w:val="000000"/>
        </w:rPr>
        <w:t>trhom</w:t>
      </w:r>
      <w:r w:rsidRPr="001E4B49">
        <w:rPr>
          <w:color w:val="000000"/>
          <w:spacing w:val="16"/>
        </w:rPr>
        <w:t xml:space="preserve"> </w:t>
      </w:r>
      <w:r w:rsidRPr="001E4B49">
        <w:rPr>
          <w:color w:val="000000"/>
        </w:rPr>
        <w:t>podľa</w:t>
      </w:r>
      <w:r w:rsidRPr="001E4B49">
        <w:rPr>
          <w:color w:val="000000"/>
          <w:spacing w:val="16"/>
        </w:rPr>
        <w:t xml:space="preserve"> </w:t>
      </w:r>
      <w:r w:rsidRPr="001E4B49">
        <w:rPr>
          <w:color w:val="000000"/>
        </w:rPr>
        <w:t>článkov</w:t>
      </w:r>
      <w:r w:rsidRPr="001E4B49">
        <w:rPr>
          <w:color w:val="000000"/>
          <w:spacing w:val="16"/>
        </w:rPr>
        <w:t xml:space="preserve"> </w:t>
      </w:r>
      <w:r w:rsidRPr="001E4B49">
        <w:rPr>
          <w:color w:val="000000"/>
        </w:rPr>
        <w:t>107</w:t>
      </w:r>
      <w:r w:rsidRPr="001E4B49">
        <w:rPr>
          <w:color w:val="000000"/>
          <w:spacing w:val="16"/>
        </w:rPr>
        <w:t xml:space="preserve"> </w:t>
      </w:r>
      <w:r w:rsidRPr="001E4B49">
        <w:rPr>
          <w:color w:val="000000"/>
        </w:rPr>
        <w:t>a 108</w:t>
      </w:r>
      <w:r w:rsidRPr="001E4B49">
        <w:rPr>
          <w:color w:val="000000"/>
          <w:spacing w:val="16"/>
        </w:rPr>
        <w:t xml:space="preserve"> </w:t>
      </w:r>
      <w:r w:rsidRPr="001E4B49">
        <w:rPr>
          <w:color w:val="000000"/>
        </w:rPr>
        <w:t>zmluvy (Ú. v. EÚ L 187, 26. 6. 2014) v platnom znení;</w:t>
      </w:r>
    </w:p>
    <w:p w14:paraId="05944653" w14:textId="77777777" w:rsidR="007E1CA3" w:rsidRPr="001E4B49" w:rsidRDefault="007E1CA3" w:rsidP="007E1CA3">
      <w:pPr>
        <w:ind w:left="993"/>
        <w:rPr>
          <w:color w:val="000000"/>
        </w:rPr>
      </w:pPr>
    </w:p>
    <w:p w14:paraId="245AA064" w14:textId="77777777" w:rsidR="007E1CA3" w:rsidRPr="001E4B49" w:rsidRDefault="007E1CA3" w:rsidP="007E1CA3">
      <w:pPr>
        <w:pStyle w:val="Odsekzoznamu"/>
        <w:widowControl/>
        <w:numPr>
          <w:ilvl w:val="0"/>
          <w:numId w:val="21"/>
        </w:numPr>
        <w:adjustRightInd/>
        <w:ind w:left="1843" w:hanging="425"/>
        <w:rPr>
          <w:color w:val="000000"/>
        </w:rPr>
      </w:pPr>
      <w:r w:rsidRPr="001E4B49">
        <w:rPr>
          <w:color w:val="000000"/>
        </w:rPr>
        <w:t>gestorom právneho aktu je Protimonopolný úrad Slovenskej republiky,</w:t>
      </w:r>
    </w:p>
    <w:p w14:paraId="43C7E5AF" w14:textId="77777777" w:rsidR="007E1CA3" w:rsidRPr="001E4B49" w:rsidRDefault="007E1CA3" w:rsidP="007E1CA3">
      <w:pPr>
        <w:pStyle w:val="Odsekzoznamu"/>
        <w:ind w:left="1353"/>
        <w:rPr>
          <w:color w:val="000000"/>
          <w:sz w:val="27"/>
          <w:szCs w:val="27"/>
        </w:rPr>
      </w:pPr>
    </w:p>
    <w:p w14:paraId="66C33DBE" w14:textId="77777777" w:rsidR="007E1CA3" w:rsidRPr="001E4B49" w:rsidRDefault="007E1CA3" w:rsidP="007E1CA3">
      <w:pPr>
        <w:pStyle w:val="Default"/>
        <w:ind w:left="1276" w:hanging="283"/>
        <w:jc w:val="both"/>
      </w:pPr>
      <w:r w:rsidRPr="001E4B49">
        <w:rPr>
          <w:color w:val="000000" w:themeColor="text1"/>
        </w:rPr>
        <w:t xml:space="preserve">c) v judikatúre Súdneho dvora Európskej únie (uviesť číslo a označenie </w:t>
      </w:r>
      <w:r w:rsidRPr="001E4B49">
        <w:t>relevantného rozhodnutia a stručne jeho výrok alebo relevantné právne vety)</w:t>
      </w:r>
    </w:p>
    <w:p w14:paraId="6B2493B0" w14:textId="77777777" w:rsidR="007E1CA3" w:rsidRPr="001E4B49" w:rsidRDefault="007E1CA3" w:rsidP="007E1CA3">
      <w:pPr>
        <w:pStyle w:val="Default"/>
        <w:ind w:left="1276" w:hanging="283"/>
        <w:jc w:val="both"/>
      </w:pPr>
    </w:p>
    <w:p w14:paraId="7542B5D4" w14:textId="77777777" w:rsidR="007E1CA3" w:rsidRPr="001E4B49" w:rsidRDefault="007E1CA3" w:rsidP="007E1CA3">
      <w:pPr>
        <w:pStyle w:val="Default"/>
        <w:numPr>
          <w:ilvl w:val="0"/>
          <w:numId w:val="20"/>
        </w:numPr>
        <w:jc w:val="both"/>
      </w:pPr>
      <w:r w:rsidRPr="001E4B49">
        <w:t>nie je upravený v judikatúre Súdneho dvora Európskej únie.</w:t>
      </w:r>
    </w:p>
    <w:p w14:paraId="1B467FA0" w14:textId="77777777" w:rsidR="007E1CA3" w:rsidRPr="001E4B49" w:rsidRDefault="007E1CA3" w:rsidP="007E1CA3">
      <w:pPr>
        <w:pStyle w:val="Default"/>
        <w:ind w:left="567"/>
        <w:jc w:val="both"/>
        <w:rPr>
          <w:i/>
        </w:rPr>
      </w:pPr>
    </w:p>
    <w:p w14:paraId="7A9AEF78" w14:textId="77777777" w:rsidR="007E1CA3" w:rsidRPr="001E4B49" w:rsidRDefault="007E1CA3" w:rsidP="007E1CA3">
      <w:pPr>
        <w:pStyle w:val="Default"/>
        <w:ind w:firstLine="426"/>
      </w:pPr>
      <w:r w:rsidRPr="001E4B49">
        <w:t xml:space="preserve">4. </w:t>
      </w:r>
      <w:r w:rsidRPr="001E4B49">
        <w:rPr>
          <w:b/>
          <w:bCs/>
        </w:rPr>
        <w:t>Záväzky Slovenskej republiky vo vzťahu k Európskej únii</w:t>
      </w:r>
      <w:r w:rsidRPr="001E4B49">
        <w:t xml:space="preserve">: </w:t>
      </w:r>
    </w:p>
    <w:p w14:paraId="24E1C056" w14:textId="77777777" w:rsidR="007E1CA3" w:rsidRPr="001E4B49" w:rsidRDefault="007E1CA3" w:rsidP="007E1CA3">
      <w:pPr>
        <w:pStyle w:val="Default"/>
        <w:ind w:left="1276" w:hanging="283"/>
        <w:jc w:val="both"/>
      </w:pPr>
      <w:r w:rsidRPr="001E4B49">
        <w:t>Bezpredmetné</w:t>
      </w:r>
    </w:p>
    <w:p w14:paraId="039C72E5" w14:textId="77777777" w:rsidR="007E1CA3" w:rsidRPr="001E4B49" w:rsidRDefault="007E1CA3" w:rsidP="007E1CA3">
      <w:pPr>
        <w:pStyle w:val="Default"/>
        <w:ind w:left="1276" w:hanging="283"/>
        <w:jc w:val="both"/>
      </w:pPr>
      <w:r w:rsidRPr="001E4B49">
        <w:t xml:space="preserve">a) uviesť lehotu na prebranie príslušného právneho aktu Európskej únie, príp. aj osobitnú lehotu účinnosti jeho ustanovení, </w:t>
      </w:r>
    </w:p>
    <w:p w14:paraId="23F071E4" w14:textId="77777777" w:rsidR="007E1CA3" w:rsidRPr="001E4B49" w:rsidRDefault="007E1CA3" w:rsidP="007E1CA3">
      <w:pPr>
        <w:pStyle w:val="Default"/>
        <w:ind w:left="1276" w:hanging="283"/>
        <w:jc w:val="both"/>
      </w:pPr>
    </w:p>
    <w:p w14:paraId="5A4E023B" w14:textId="77777777" w:rsidR="007E1CA3" w:rsidRPr="001E4B49" w:rsidRDefault="007E1CA3" w:rsidP="007E1CA3">
      <w:pPr>
        <w:pStyle w:val="Default"/>
        <w:ind w:left="1276" w:hanging="283"/>
        <w:jc w:val="both"/>
      </w:pPr>
    </w:p>
    <w:p w14:paraId="7DB8796E" w14:textId="77777777" w:rsidR="007E1CA3" w:rsidRPr="001E4B49" w:rsidRDefault="007E1CA3" w:rsidP="007E1CA3">
      <w:pPr>
        <w:pStyle w:val="Default"/>
        <w:ind w:left="1276" w:hanging="283"/>
        <w:jc w:val="both"/>
        <w:rPr>
          <w:b/>
        </w:rPr>
      </w:pPr>
      <w:r w:rsidRPr="001E4B49">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1E4B49">
        <w:rPr>
          <w:rStyle w:val="Siln"/>
          <w:color w:val="auto"/>
        </w:rPr>
        <w:t>ariadenie Európskeho parlamentu a Rady (ES) č. 1049/2001 z 30. mája 2001 o prístupe verejnosti k dokumentom Európskeho parlamentu, Rady a Komisie</w:t>
      </w:r>
      <w:r w:rsidRPr="001E4B49">
        <w:rPr>
          <w:b/>
        </w:rPr>
        <w:t xml:space="preserve">, </w:t>
      </w:r>
    </w:p>
    <w:p w14:paraId="291775A9" w14:textId="77777777" w:rsidR="007E1CA3" w:rsidRPr="001E4B49" w:rsidRDefault="007E1CA3" w:rsidP="007E1CA3">
      <w:pPr>
        <w:pStyle w:val="Default"/>
        <w:ind w:left="1276"/>
        <w:jc w:val="both"/>
        <w:rPr>
          <w:i/>
        </w:rPr>
      </w:pPr>
    </w:p>
    <w:p w14:paraId="0409A240" w14:textId="77777777" w:rsidR="007E1CA3" w:rsidRPr="001E4B49" w:rsidRDefault="007E1CA3" w:rsidP="007E1CA3">
      <w:pPr>
        <w:pStyle w:val="Default"/>
        <w:ind w:left="1276"/>
        <w:jc w:val="both"/>
        <w:rPr>
          <w:i/>
        </w:rPr>
      </w:pPr>
      <w:r w:rsidRPr="001E4B49">
        <w:rPr>
          <w:i/>
        </w:rPr>
        <w:t>Nebolo začaté konanie.</w:t>
      </w:r>
    </w:p>
    <w:p w14:paraId="00A21A2A" w14:textId="77777777" w:rsidR="007E1CA3" w:rsidRPr="001E4B49" w:rsidRDefault="007E1CA3" w:rsidP="007E1CA3">
      <w:pPr>
        <w:pStyle w:val="Default"/>
        <w:ind w:left="1276" w:hanging="283"/>
        <w:jc w:val="both"/>
      </w:pPr>
    </w:p>
    <w:p w14:paraId="65D2777A" w14:textId="77777777" w:rsidR="007E1CA3" w:rsidRPr="001E4B49" w:rsidRDefault="007E1CA3" w:rsidP="007E1CA3">
      <w:pPr>
        <w:pStyle w:val="Default"/>
        <w:ind w:left="1276" w:hanging="283"/>
        <w:jc w:val="both"/>
      </w:pPr>
      <w:r w:rsidRPr="001E4B49">
        <w:t xml:space="preserve">c) uviesť informáciu o právnych predpisoch, v ktorých sú uvádzané právne akty Európskej únie už prebrané, spolu s uvedením rozsahu ich prebrania, príp. potreby prijatia ďalších úprav. </w:t>
      </w:r>
    </w:p>
    <w:p w14:paraId="563E6254" w14:textId="77777777" w:rsidR="007E1CA3" w:rsidRPr="001E4B49" w:rsidRDefault="007E1CA3" w:rsidP="007E1CA3">
      <w:pPr>
        <w:pStyle w:val="Default"/>
        <w:ind w:left="1276"/>
        <w:jc w:val="both"/>
        <w:rPr>
          <w:i/>
        </w:rPr>
      </w:pPr>
    </w:p>
    <w:p w14:paraId="324F221C" w14:textId="77777777" w:rsidR="007E1CA3" w:rsidRPr="001E4B49" w:rsidRDefault="007E1CA3" w:rsidP="007E1CA3">
      <w:pPr>
        <w:pStyle w:val="Default"/>
        <w:ind w:left="1276"/>
        <w:jc w:val="both"/>
        <w:rPr>
          <w:i/>
        </w:rPr>
      </w:pPr>
      <w:r w:rsidRPr="001E4B49">
        <w:rPr>
          <w:i/>
        </w:rPr>
        <w:t xml:space="preserve">Bezpredmetné. </w:t>
      </w:r>
    </w:p>
    <w:p w14:paraId="20DC4DBD" w14:textId="77777777" w:rsidR="007E1CA3" w:rsidRPr="001E4B49" w:rsidRDefault="007E1CA3" w:rsidP="007E1CA3">
      <w:pPr>
        <w:pStyle w:val="Default"/>
        <w:jc w:val="both"/>
      </w:pPr>
    </w:p>
    <w:p w14:paraId="3E9EFCAA" w14:textId="77777777" w:rsidR="007E1CA3" w:rsidRPr="001E4B49" w:rsidRDefault="007E1CA3" w:rsidP="007E1CA3">
      <w:pPr>
        <w:pStyle w:val="Default"/>
      </w:pPr>
      <w:r w:rsidRPr="001E4B49">
        <w:t xml:space="preserve">5. </w:t>
      </w:r>
      <w:r w:rsidRPr="001E4B49">
        <w:rPr>
          <w:b/>
          <w:bCs/>
        </w:rPr>
        <w:t>Návrh zákona je zlučiteľný s právom Európskej únie</w:t>
      </w:r>
      <w:r w:rsidRPr="001E4B49">
        <w:t xml:space="preserve">: </w:t>
      </w:r>
    </w:p>
    <w:p w14:paraId="744FD7A7" w14:textId="77777777" w:rsidR="007E1CA3" w:rsidRPr="001E4B49" w:rsidRDefault="007E1CA3" w:rsidP="007E1CA3">
      <w:pPr>
        <w:pStyle w:val="Default"/>
      </w:pPr>
    </w:p>
    <w:p w14:paraId="36110FF7" w14:textId="77777777" w:rsidR="007E1CA3" w:rsidRPr="001E4B49" w:rsidRDefault="007E1CA3" w:rsidP="007E1CA3">
      <w:pPr>
        <w:pStyle w:val="Default"/>
        <w:ind w:left="1276"/>
        <w:jc w:val="both"/>
        <w:rPr>
          <w:i/>
        </w:rPr>
      </w:pPr>
      <w:r w:rsidRPr="001E4B49">
        <w:rPr>
          <w:i/>
        </w:rPr>
        <w:t>Úplne.</w:t>
      </w:r>
    </w:p>
    <w:p w14:paraId="6D535954" w14:textId="77777777" w:rsidR="00EC305C" w:rsidRPr="001E4B49" w:rsidRDefault="00EC305C" w:rsidP="00EC305C">
      <w:pPr>
        <w:jc w:val="both"/>
        <w:rPr>
          <w:b/>
        </w:rPr>
      </w:pPr>
    </w:p>
    <w:p w14:paraId="04E867F2" w14:textId="77777777" w:rsidR="005C7931" w:rsidRPr="001E4B49" w:rsidRDefault="005C7931" w:rsidP="005068B4">
      <w:pPr>
        <w:widowControl/>
        <w:jc w:val="both"/>
        <w:rPr>
          <w:b/>
        </w:rPr>
      </w:pPr>
    </w:p>
    <w:p w14:paraId="49483D75" w14:textId="77777777" w:rsidR="005C7931" w:rsidRPr="001E4B49" w:rsidRDefault="005C7931" w:rsidP="005068B4">
      <w:pPr>
        <w:widowControl/>
        <w:jc w:val="both"/>
        <w:rPr>
          <w:b/>
        </w:rPr>
      </w:pPr>
    </w:p>
    <w:p w14:paraId="6FBD8B00" w14:textId="77777777" w:rsidR="005C7931" w:rsidRPr="001E4B49" w:rsidRDefault="005C7931" w:rsidP="005068B4">
      <w:pPr>
        <w:widowControl/>
        <w:jc w:val="both"/>
        <w:rPr>
          <w:b/>
        </w:rPr>
      </w:pPr>
    </w:p>
    <w:p w14:paraId="7445DDFB" w14:textId="77777777" w:rsidR="005C7931" w:rsidRPr="001E4B49" w:rsidRDefault="005C7931" w:rsidP="005068B4">
      <w:pPr>
        <w:widowControl/>
        <w:jc w:val="both"/>
        <w:rPr>
          <w:b/>
        </w:rPr>
      </w:pPr>
    </w:p>
    <w:p w14:paraId="7AE1C17F" w14:textId="77777777" w:rsidR="005C7931" w:rsidRPr="001E4B49" w:rsidRDefault="005C7931" w:rsidP="005068B4">
      <w:pPr>
        <w:widowControl/>
        <w:jc w:val="both"/>
        <w:rPr>
          <w:b/>
        </w:rPr>
      </w:pPr>
    </w:p>
    <w:p w14:paraId="2F02B20D" w14:textId="77777777" w:rsidR="005C7931" w:rsidRPr="001E4B49" w:rsidRDefault="005C7931" w:rsidP="005068B4">
      <w:pPr>
        <w:widowControl/>
        <w:jc w:val="both"/>
        <w:rPr>
          <w:b/>
        </w:rPr>
      </w:pPr>
    </w:p>
    <w:p w14:paraId="62C0382A" w14:textId="77777777" w:rsidR="005C7931" w:rsidRPr="001E4B49" w:rsidRDefault="005C7931" w:rsidP="005068B4">
      <w:pPr>
        <w:widowControl/>
        <w:jc w:val="both"/>
        <w:rPr>
          <w:b/>
        </w:rPr>
      </w:pPr>
    </w:p>
    <w:p w14:paraId="39B5B430" w14:textId="77777777" w:rsidR="005C7931" w:rsidRPr="001E4B49" w:rsidRDefault="005C7931" w:rsidP="005068B4">
      <w:pPr>
        <w:widowControl/>
        <w:jc w:val="both"/>
        <w:rPr>
          <w:b/>
        </w:rPr>
      </w:pPr>
    </w:p>
    <w:p w14:paraId="7AB4A678" w14:textId="77777777" w:rsidR="005C7931" w:rsidRPr="001E4B49" w:rsidRDefault="005C7931" w:rsidP="005068B4">
      <w:pPr>
        <w:widowControl/>
        <w:jc w:val="both"/>
        <w:rPr>
          <w:b/>
        </w:rPr>
      </w:pPr>
    </w:p>
    <w:p w14:paraId="4B0BE71E" w14:textId="77777777" w:rsidR="005C7931" w:rsidRPr="001E4B49" w:rsidRDefault="005C7931" w:rsidP="005068B4">
      <w:pPr>
        <w:widowControl/>
        <w:jc w:val="both"/>
        <w:rPr>
          <w:b/>
        </w:rPr>
      </w:pPr>
    </w:p>
    <w:p w14:paraId="502E1C86" w14:textId="77777777" w:rsidR="005C7931" w:rsidRPr="001E4B49" w:rsidRDefault="005C7931" w:rsidP="005068B4">
      <w:pPr>
        <w:widowControl/>
        <w:jc w:val="both"/>
        <w:rPr>
          <w:b/>
        </w:rPr>
      </w:pPr>
    </w:p>
    <w:p w14:paraId="390D47A0" w14:textId="77777777" w:rsidR="005C7931" w:rsidRPr="001E4B49" w:rsidRDefault="005C7931" w:rsidP="005068B4">
      <w:pPr>
        <w:widowControl/>
        <w:jc w:val="both"/>
        <w:rPr>
          <w:b/>
        </w:rPr>
      </w:pPr>
    </w:p>
    <w:p w14:paraId="4D24157C" w14:textId="77777777" w:rsidR="005C7931" w:rsidRPr="001E4B49" w:rsidRDefault="005C7931" w:rsidP="005068B4">
      <w:pPr>
        <w:widowControl/>
        <w:jc w:val="both"/>
        <w:rPr>
          <w:b/>
        </w:rPr>
      </w:pPr>
    </w:p>
    <w:p w14:paraId="720E8D5C" w14:textId="77777777" w:rsidR="005C7931" w:rsidRPr="001E4B49" w:rsidRDefault="005C7931" w:rsidP="005068B4">
      <w:pPr>
        <w:widowControl/>
        <w:jc w:val="both"/>
        <w:rPr>
          <w:b/>
        </w:rPr>
      </w:pPr>
    </w:p>
    <w:p w14:paraId="4D7542C7" w14:textId="77777777" w:rsidR="005C7931" w:rsidRPr="001E4B49" w:rsidRDefault="005C7931" w:rsidP="005068B4">
      <w:pPr>
        <w:widowControl/>
        <w:jc w:val="both"/>
        <w:rPr>
          <w:b/>
        </w:rPr>
      </w:pPr>
    </w:p>
    <w:p w14:paraId="14AA21D2" w14:textId="77777777" w:rsidR="005C7931" w:rsidRPr="001E4B49" w:rsidRDefault="005C7931" w:rsidP="005068B4">
      <w:pPr>
        <w:widowControl/>
        <w:jc w:val="both"/>
        <w:rPr>
          <w:b/>
        </w:rPr>
      </w:pPr>
    </w:p>
    <w:p w14:paraId="0FD7EA19" w14:textId="77777777" w:rsidR="005C7931" w:rsidRPr="001E4B49" w:rsidRDefault="005C7931" w:rsidP="005068B4">
      <w:pPr>
        <w:widowControl/>
        <w:jc w:val="both"/>
        <w:rPr>
          <w:b/>
        </w:rPr>
      </w:pPr>
    </w:p>
    <w:p w14:paraId="5B30F705" w14:textId="77777777" w:rsidR="005C7931" w:rsidRPr="001E4B49" w:rsidRDefault="005C7931" w:rsidP="005068B4">
      <w:pPr>
        <w:widowControl/>
        <w:jc w:val="both"/>
        <w:rPr>
          <w:b/>
        </w:rPr>
      </w:pPr>
    </w:p>
    <w:p w14:paraId="2C117DE1" w14:textId="77777777" w:rsidR="005C7931" w:rsidRPr="001E4B49" w:rsidRDefault="005C7931" w:rsidP="005068B4">
      <w:pPr>
        <w:widowControl/>
        <w:jc w:val="both"/>
        <w:rPr>
          <w:b/>
        </w:rPr>
      </w:pPr>
    </w:p>
    <w:p w14:paraId="7D5870DC" w14:textId="77777777" w:rsidR="005C7931" w:rsidRPr="001E4B49" w:rsidRDefault="005C7931" w:rsidP="005068B4">
      <w:pPr>
        <w:widowControl/>
        <w:jc w:val="both"/>
        <w:rPr>
          <w:b/>
        </w:rPr>
      </w:pPr>
    </w:p>
    <w:p w14:paraId="1A5557DF" w14:textId="77777777" w:rsidR="005C7931" w:rsidRPr="001E4B49" w:rsidRDefault="005C7931" w:rsidP="005068B4">
      <w:pPr>
        <w:widowControl/>
        <w:jc w:val="both"/>
        <w:rPr>
          <w:b/>
        </w:rPr>
      </w:pPr>
    </w:p>
    <w:p w14:paraId="5D10EFF2" w14:textId="77777777" w:rsidR="005C7931" w:rsidRPr="001E4B49" w:rsidRDefault="005C7931" w:rsidP="005068B4">
      <w:pPr>
        <w:widowControl/>
        <w:jc w:val="both"/>
        <w:rPr>
          <w:b/>
        </w:rPr>
      </w:pPr>
    </w:p>
    <w:p w14:paraId="7F00A3C9" w14:textId="77777777" w:rsidR="005C7931" w:rsidRPr="001E4B49" w:rsidRDefault="005C7931" w:rsidP="005068B4">
      <w:pPr>
        <w:widowControl/>
        <w:jc w:val="both"/>
        <w:rPr>
          <w:b/>
        </w:rPr>
      </w:pPr>
    </w:p>
    <w:p w14:paraId="0A9E4845" w14:textId="77777777" w:rsidR="005C7931" w:rsidRPr="001E4B49" w:rsidRDefault="005C7931" w:rsidP="005068B4">
      <w:pPr>
        <w:widowControl/>
        <w:jc w:val="both"/>
        <w:rPr>
          <w:b/>
        </w:rPr>
      </w:pPr>
    </w:p>
    <w:p w14:paraId="2C785962" w14:textId="77777777" w:rsidR="005C7931" w:rsidRPr="001E4B49" w:rsidRDefault="005C7931" w:rsidP="005068B4">
      <w:pPr>
        <w:widowControl/>
        <w:jc w:val="both"/>
        <w:rPr>
          <w:b/>
        </w:rPr>
      </w:pPr>
    </w:p>
    <w:p w14:paraId="1A61AD3E" w14:textId="01F72C80" w:rsidR="005C7931" w:rsidRPr="001E4B49" w:rsidRDefault="005C7931" w:rsidP="005068B4">
      <w:pPr>
        <w:widowControl/>
        <w:jc w:val="both"/>
        <w:rPr>
          <w:b/>
        </w:rPr>
      </w:pPr>
    </w:p>
    <w:p w14:paraId="0272DBCF" w14:textId="52356403" w:rsidR="007E1CA3" w:rsidRPr="001E4B49" w:rsidRDefault="007E1CA3" w:rsidP="005068B4">
      <w:pPr>
        <w:widowControl/>
        <w:jc w:val="both"/>
        <w:rPr>
          <w:b/>
        </w:rPr>
      </w:pPr>
    </w:p>
    <w:p w14:paraId="654AA8B8" w14:textId="3F8BFDEF" w:rsidR="007E1CA3" w:rsidRPr="001E4B49" w:rsidRDefault="007E1CA3" w:rsidP="005068B4">
      <w:pPr>
        <w:widowControl/>
        <w:jc w:val="both"/>
        <w:rPr>
          <w:b/>
        </w:rPr>
      </w:pPr>
    </w:p>
    <w:p w14:paraId="7899A33F" w14:textId="6B1A04D8" w:rsidR="007E1CA3" w:rsidRPr="001E4B49" w:rsidRDefault="007E1CA3" w:rsidP="005068B4">
      <w:pPr>
        <w:widowControl/>
        <w:jc w:val="both"/>
        <w:rPr>
          <w:b/>
        </w:rPr>
      </w:pPr>
    </w:p>
    <w:p w14:paraId="6038C914" w14:textId="4236BA8D" w:rsidR="007E1CA3" w:rsidRDefault="007E1CA3" w:rsidP="005068B4">
      <w:pPr>
        <w:widowControl/>
        <w:jc w:val="both"/>
        <w:rPr>
          <w:b/>
        </w:rPr>
      </w:pPr>
    </w:p>
    <w:p w14:paraId="489F9AB3" w14:textId="4739E138" w:rsidR="006A1189" w:rsidRDefault="006A1189" w:rsidP="005068B4">
      <w:pPr>
        <w:widowControl/>
        <w:jc w:val="both"/>
        <w:rPr>
          <w:b/>
        </w:rPr>
      </w:pPr>
    </w:p>
    <w:p w14:paraId="1281FB09" w14:textId="77777777" w:rsidR="006A1189" w:rsidRPr="001E4B49" w:rsidRDefault="006A1189" w:rsidP="005068B4">
      <w:pPr>
        <w:widowControl/>
        <w:jc w:val="both"/>
        <w:rPr>
          <w:b/>
        </w:rPr>
      </w:pPr>
    </w:p>
    <w:p w14:paraId="222F3018" w14:textId="271AD481" w:rsidR="007E1CA3" w:rsidRPr="001E4B49" w:rsidRDefault="007E1CA3" w:rsidP="005068B4">
      <w:pPr>
        <w:widowControl/>
        <w:jc w:val="both"/>
        <w:rPr>
          <w:b/>
        </w:rPr>
      </w:pPr>
    </w:p>
    <w:p w14:paraId="2D25B403" w14:textId="4AFC6D0B" w:rsidR="005068B4" w:rsidRPr="001E4B49" w:rsidRDefault="005068B4" w:rsidP="005068B4">
      <w:pPr>
        <w:widowControl/>
        <w:jc w:val="both"/>
        <w:rPr>
          <w:b/>
        </w:rPr>
      </w:pPr>
      <w:r w:rsidRPr="001E4B49">
        <w:rPr>
          <w:b/>
        </w:rPr>
        <w:t xml:space="preserve">B. Osobitná časť    </w:t>
      </w:r>
    </w:p>
    <w:p w14:paraId="1A77AEC2" w14:textId="77777777" w:rsidR="007E1866" w:rsidRPr="001E4B49" w:rsidRDefault="007E1866"/>
    <w:p w14:paraId="190DF1DD" w14:textId="77777777" w:rsidR="001E4B49" w:rsidRPr="00581904" w:rsidRDefault="001E4B49" w:rsidP="001E4B49">
      <w:pPr>
        <w:jc w:val="both"/>
        <w:rPr>
          <w:b/>
          <w:color w:val="000000"/>
        </w:rPr>
      </w:pPr>
      <w:r w:rsidRPr="00581904">
        <w:rPr>
          <w:b/>
          <w:color w:val="000000"/>
        </w:rPr>
        <w:t>K čl. I</w:t>
      </w:r>
    </w:p>
    <w:p w14:paraId="47045CE3" w14:textId="77777777" w:rsidR="001E4B49" w:rsidRPr="00A90A95" w:rsidRDefault="001E4B49" w:rsidP="001E4B49">
      <w:pPr>
        <w:jc w:val="both"/>
        <w:rPr>
          <w:color w:val="000000"/>
        </w:rPr>
      </w:pPr>
    </w:p>
    <w:p w14:paraId="0D6C53C0" w14:textId="77777777" w:rsidR="001E4B49" w:rsidRPr="00581904" w:rsidRDefault="001E4B49" w:rsidP="001E4B49">
      <w:pPr>
        <w:jc w:val="both"/>
        <w:rPr>
          <w:color w:val="000000"/>
        </w:rPr>
      </w:pPr>
      <w:r w:rsidRPr="00581904">
        <w:rPr>
          <w:color w:val="000000"/>
        </w:rPr>
        <w:t xml:space="preserve">K bodu 1 (§ 2 ods. 2) </w:t>
      </w:r>
    </w:p>
    <w:p w14:paraId="0FD593B7" w14:textId="77777777" w:rsidR="001E4B49" w:rsidRPr="00A90A95" w:rsidRDefault="001E4B49" w:rsidP="001E4B49">
      <w:pPr>
        <w:jc w:val="both"/>
        <w:rPr>
          <w:color w:val="000000"/>
        </w:rPr>
      </w:pPr>
      <w:r w:rsidRPr="00A90A95">
        <w:rPr>
          <w:color w:val="000000"/>
        </w:rPr>
        <w:t>Navrhovaná úprava reflektuje nahradenie akčného plánu plánom rozvoja.</w:t>
      </w:r>
    </w:p>
    <w:p w14:paraId="0F909858" w14:textId="77777777" w:rsidR="001E4B49" w:rsidRPr="00A90A95" w:rsidRDefault="001E4B49" w:rsidP="001E4B49">
      <w:pPr>
        <w:jc w:val="both"/>
        <w:rPr>
          <w:color w:val="000000"/>
        </w:rPr>
      </w:pPr>
    </w:p>
    <w:p w14:paraId="393118AC" w14:textId="77777777" w:rsidR="001E4B49" w:rsidRPr="00A90A95" w:rsidRDefault="001E4B49" w:rsidP="001E4B49">
      <w:pPr>
        <w:jc w:val="both"/>
        <w:rPr>
          <w:color w:val="000000"/>
        </w:rPr>
      </w:pPr>
      <w:r w:rsidRPr="00A90A95">
        <w:rPr>
          <w:color w:val="000000"/>
        </w:rPr>
        <w:t>K bodom 2 a</w:t>
      </w:r>
      <w:r>
        <w:rPr>
          <w:color w:val="000000"/>
        </w:rPr>
        <w:t> </w:t>
      </w:r>
      <w:r w:rsidRPr="00A90A95">
        <w:rPr>
          <w:color w:val="000000"/>
        </w:rPr>
        <w:t>3</w:t>
      </w:r>
      <w:r>
        <w:rPr>
          <w:color w:val="000000"/>
        </w:rPr>
        <w:t xml:space="preserve"> </w:t>
      </w:r>
      <w:r w:rsidRPr="00A90A95">
        <w:rPr>
          <w:color w:val="000000"/>
        </w:rPr>
        <w:t>(§ 3 ods. 1 písm. a), b) a d))</w:t>
      </w:r>
    </w:p>
    <w:p w14:paraId="2B8C5ADF" w14:textId="77777777" w:rsidR="001E4B49" w:rsidRPr="00A90A95" w:rsidRDefault="001E4B49" w:rsidP="001E4B49">
      <w:pPr>
        <w:jc w:val="both"/>
        <w:rPr>
          <w:color w:val="000000"/>
        </w:rPr>
      </w:pPr>
      <w:r w:rsidRPr="00A90A95">
        <w:rPr>
          <w:color w:val="000000"/>
        </w:rPr>
        <w:t xml:space="preserve">Navrhovaná úprava reflektuje nahradenie akčného plánu plánom rozvoja, ako aj upustenie od tvorby samostatného plánovacieho dokumentu v podobe ročných priorít. Zároveň úprava reflektuje zmenu kompetencie schvaľovania plánu rozvoja ministerstvom investícií. Plány rozvoja vypracovávajú okresné úrady v sídle najmenej rozvinutých okresov.  </w:t>
      </w:r>
    </w:p>
    <w:p w14:paraId="4286F56D" w14:textId="77777777" w:rsidR="001E4B49" w:rsidRPr="00A90A95" w:rsidRDefault="001E4B49" w:rsidP="001E4B49">
      <w:pPr>
        <w:jc w:val="both"/>
        <w:rPr>
          <w:color w:val="000000"/>
        </w:rPr>
      </w:pPr>
    </w:p>
    <w:p w14:paraId="4E823D53" w14:textId="77777777" w:rsidR="001E4B49" w:rsidRPr="00A90A95" w:rsidRDefault="001E4B49" w:rsidP="001E4B49">
      <w:pPr>
        <w:jc w:val="both"/>
        <w:rPr>
          <w:color w:val="000000"/>
        </w:rPr>
      </w:pPr>
      <w:r w:rsidRPr="00A90A95">
        <w:rPr>
          <w:color w:val="000000"/>
        </w:rPr>
        <w:t>K bodu 4 (§ 3 ods. 3 písm. b))</w:t>
      </w:r>
    </w:p>
    <w:p w14:paraId="7577741D" w14:textId="77777777" w:rsidR="001E4B49" w:rsidRPr="00A90A95" w:rsidRDefault="001E4B49" w:rsidP="001E4B49">
      <w:pPr>
        <w:jc w:val="both"/>
        <w:rPr>
          <w:color w:val="000000"/>
        </w:rPr>
      </w:pPr>
      <w:r w:rsidRPr="00A90A95">
        <w:rPr>
          <w:color w:val="000000"/>
        </w:rPr>
        <w:t xml:space="preserve">Na základe skúseností a poznaní z území možno konštatovať, že v prípadoch v ktorých sa vyskytol okres obklopený najmenej rozvinutými okresmi </w:t>
      </w:r>
      <w:r w:rsidRPr="00A90A95">
        <w:t>spĺňajúcich podmienku najmenej rozvinutého okresu</w:t>
      </w:r>
      <w:r w:rsidRPr="00581904">
        <w:rPr>
          <w:color w:val="000000"/>
        </w:rPr>
        <w:t>, išlo spravidla o okres s rovnakými problémami než sú v okresoch obklopujúcich ho</w:t>
      </w:r>
      <w:r w:rsidRPr="00A90A95">
        <w:rPr>
          <w:color w:val="000000"/>
        </w:rPr>
        <w:t xml:space="preserve"> svojimi abstraktnými hranicami okresu. Rozvojové problémy v tomto území totiž spravidla predstavujú problém regiónu, nie okresu. Pokiaľ sa takýto okres vyskytne ide zväčša o okres, ktorý prepadol cez nastavenú sieť pomoci najmenej rozvinutým okresom. Na strane druhej, je neoprávnené a nelegitímne, aby sa pri nastavovaní klasifikačných kritérií pre určenie najmenej rozvinutého okresu objavovali ako najmenej rozvinuté okresy i okresy krajských miest. Okresy krajských miest totiž predstavujú historicky a dlhodobo centrá regiónov a tomu odpovedá i koncentrácia pracovných ponúk, škôl, potrebnej infraštruktúry a pod. v tomto okrese. </w:t>
      </w:r>
    </w:p>
    <w:p w14:paraId="02AE6A02" w14:textId="77777777" w:rsidR="001E4B49" w:rsidRDefault="001E4B49" w:rsidP="001E4B49">
      <w:pPr>
        <w:jc w:val="both"/>
        <w:rPr>
          <w:color w:val="000000"/>
        </w:rPr>
      </w:pPr>
    </w:p>
    <w:p w14:paraId="782590BC" w14:textId="77777777" w:rsidR="001E4B49" w:rsidRPr="00A90A95" w:rsidRDefault="001E4B49" w:rsidP="001E4B49">
      <w:pPr>
        <w:jc w:val="both"/>
        <w:rPr>
          <w:color w:val="000000"/>
        </w:rPr>
      </w:pPr>
      <w:r w:rsidRPr="00A90A95">
        <w:rPr>
          <w:color w:val="000000"/>
        </w:rPr>
        <w:t>K bodu 5 a 8  (§ 3 ods. 4 písm. b), c) a e))</w:t>
      </w:r>
    </w:p>
    <w:p w14:paraId="542E7D7A" w14:textId="77777777" w:rsidR="001E4B49" w:rsidRPr="00A90A95" w:rsidRDefault="001E4B49" w:rsidP="001E4B49">
      <w:pPr>
        <w:jc w:val="both"/>
        <w:rPr>
          <w:color w:val="000000"/>
        </w:rPr>
      </w:pPr>
      <w:r w:rsidRPr="00A90A95">
        <w:rPr>
          <w:color w:val="000000"/>
        </w:rPr>
        <w:t xml:space="preserve">Navrhovaná úprava reflektuje nahradenie akčného plánu plánom rozvoja, ako aj upustenie od tvorby samostatného plánovacieho dokumentu v podobe ročných priorít a transformácie úloh a významu Rady pre rozvoj najmenej rozvinutých okresov vzhľadom na vznik nového ministerstva – Ministerstva investícií, regionálneho rozvoja a informatizácie Slovenskej republiky. Plány rozvoja vypracovávajú okresné úrady v sídle najmenej rozvinutých okresov, ktoré ich následne predkladajú na schválenie ministerstvu investícií.  </w:t>
      </w:r>
    </w:p>
    <w:p w14:paraId="16908192" w14:textId="77777777" w:rsidR="001E4B49" w:rsidRPr="00A90A95" w:rsidRDefault="001E4B49" w:rsidP="001E4B49">
      <w:pPr>
        <w:jc w:val="both"/>
        <w:rPr>
          <w:color w:val="000000"/>
        </w:rPr>
      </w:pPr>
    </w:p>
    <w:p w14:paraId="40C7861F" w14:textId="77777777" w:rsidR="001E4B49" w:rsidRPr="00A90A95" w:rsidRDefault="001E4B49" w:rsidP="001E4B49">
      <w:pPr>
        <w:jc w:val="both"/>
        <w:rPr>
          <w:color w:val="000000"/>
        </w:rPr>
      </w:pPr>
      <w:r w:rsidRPr="00A90A95">
        <w:rPr>
          <w:color w:val="000000"/>
        </w:rPr>
        <w:t>K bodu 6 (§ 3 ods. 4 písm. d) prvý bod)</w:t>
      </w:r>
    </w:p>
    <w:p w14:paraId="41712310" w14:textId="77777777" w:rsidR="001E4B49" w:rsidRPr="00A90A95" w:rsidRDefault="001E4B49" w:rsidP="001E4B49">
      <w:pPr>
        <w:jc w:val="both"/>
        <w:rPr>
          <w:color w:val="000000"/>
        </w:rPr>
      </w:pPr>
      <w:r w:rsidRPr="00A90A95">
        <w:rPr>
          <w:color w:val="000000"/>
        </w:rPr>
        <w:t>Legislatívno-technická úprava - v súvislosti s vypustením § 3 ods. 4 písm. d) druhého bodu sa tiež vypustila spojka „a“, ktorá sa vkladá na koniec prvého bodu.</w:t>
      </w:r>
    </w:p>
    <w:p w14:paraId="2C5AE173" w14:textId="77777777" w:rsidR="001E4B49" w:rsidRPr="00A90A95" w:rsidRDefault="001E4B49" w:rsidP="001E4B49">
      <w:pPr>
        <w:jc w:val="both"/>
        <w:rPr>
          <w:color w:val="000000"/>
        </w:rPr>
      </w:pPr>
    </w:p>
    <w:p w14:paraId="3587BAF1" w14:textId="77777777" w:rsidR="001E4B49" w:rsidRPr="00A90A95" w:rsidRDefault="001E4B49" w:rsidP="001E4B49">
      <w:pPr>
        <w:jc w:val="both"/>
        <w:rPr>
          <w:color w:val="000000"/>
        </w:rPr>
      </w:pPr>
      <w:r w:rsidRPr="00A90A95">
        <w:rPr>
          <w:color w:val="000000"/>
        </w:rPr>
        <w:t>K bodu 7 (</w:t>
      </w:r>
      <w:r w:rsidRPr="00A90A95">
        <w:rPr>
          <w:color w:val="000000" w:themeColor="text1"/>
          <w:shd w:val="clear" w:color="auto" w:fill="FFFFFF"/>
        </w:rPr>
        <w:t>§ 3 ods. 4 písm. d))</w:t>
      </w:r>
    </w:p>
    <w:p w14:paraId="331B71F0" w14:textId="77777777" w:rsidR="001E4B49" w:rsidRPr="00A90A95" w:rsidRDefault="001E4B49" w:rsidP="001E4B49">
      <w:pPr>
        <w:jc w:val="both"/>
        <w:rPr>
          <w:color w:val="000000"/>
        </w:rPr>
      </w:pPr>
      <w:r w:rsidRPr="00A90A95">
        <w:rPr>
          <w:color w:val="000000"/>
        </w:rPr>
        <w:t>Ide o úpravu spojenú s transformáciou úloh a významu Rady pre rozvoj najmenej rozvinutých okresov vzhľadom na vznik nového ministerstva – Ministerstva investícií, regionálneho rozvoja a informatizácie Slovenskej republiky.</w:t>
      </w:r>
    </w:p>
    <w:p w14:paraId="3EEEDB7B" w14:textId="77777777" w:rsidR="001E4B49" w:rsidRPr="00A90A95" w:rsidRDefault="001E4B49" w:rsidP="001E4B49">
      <w:pPr>
        <w:jc w:val="both"/>
        <w:rPr>
          <w:color w:val="000000"/>
        </w:rPr>
      </w:pPr>
    </w:p>
    <w:p w14:paraId="6C66C89C" w14:textId="77777777" w:rsidR="001E4B49" w:rsidRPr="00A90A95" w:rsidRDefault="001E4B49" w:rsidP="001E4B49">
      <w:pPr>
        <w:jc w:val="both"/>
        <w:rPr>
          <w:color w:val="000000"/>
        </w:rPr>
      </w:pPr>
      <w:r w:rsidRPr="00A90A95">
        <w:rPr>
          <w:color w:val="000000"/>
        </w:rPr>
        <w:t>K bodu 9 (§ 4)</w:t>
      </w:r>
    </w:p>
    <w:p w14:paraId="3E2AFB16" w14:textId="77777777" w:rsidR="001E4B49" w:rsidRPr="00A90A95" w:rsidRDefault="001E4B49" w:rsidP="001E4B49">
      <w:pPr>
        <w:jc w:val="both"/>
        <w:rPr>
          <w:color w:val="000000"/>
        </w:rPr>
      </w:pPr>
      <w:r w:rsidRPr="00A90A95">
        <w:rPr>
          <w:color w:val="000000"/>
        </w:rPr>
        <w:t>Navrhovaná úprava terminologicky nahrádza akčný plán plánom rozvoja. Aktivita predstavuje označenie pre súbor konkrétnych a špecifikovaných aktivít na riešenie problému pretrvávajúcom v danom území. V prípade potreby môže byť jeden plán rozvoja vypracovaný pre viacero najmenej rozvinutých okresov ako ich spoločný plán rozvoja celého územia. Do procesu jeho tvorby sa vnáša vyšší územný celok, ktorý v súlade s rozvojovými dokumentami samosprávneho kraja navrhuje okruh aktivít potrebných pre príslušné územie.</w:t>
      </w:r>
    </w:p>
    <w:p w14:paraId="11EF62EC" w14:textId="77777777" w:rsidR="001E4B49" w:rsidRPr="00A90A95" w:rsidRDefault="001E4B49" w:rsidP="001E4B49">
      <w:pPr>
        <w:jc w:val="both"/>
        <w:rPr>
          <w:color w:val="000000"/>
        </w:rPr>
      </w:pPr>
    </w:p>
    <w:p w14:paraId="27B2A8BD" w14:textId="77777777" w:rsidR="001E4B49" w:rsidRPr="00A90A95" w:rsidRDefault="001E4B49" w:rsidP="001E4B49">
      <w:pPr>
        <w:jc w:val="both"/>
        <w:rPr>
          <w:color w:val="000000"/>
        </w:rPr>
      </w:pPr>
      <w:r w:rsidRPr="00A90A95">
        <w:rPr>
          <w:color w:val="000000"/>
        </w:rPr>
        <w:t>K bodu 10 (§ 4a)</w:t>
      </w:r>
    </w:p>
    <w:p w14:paraId="0C002C8F" w14:textId="77777777" w:rsidR="001E4B49" w:rsidRPr="00A90A95" w:rsidRDefault="001E4B49" w:rsidP="001E4B49">
      <w:pPr>
        <w:jc w:val="both"/>
        <w:rPr>
          <w:color w:val="000000"/>
        </w:rPr>
      </w:pPr>
      <w:r w:rsidRPr="00A90A95">
        <w:rPr>
          <w:color w:val="000000"/>
        </w:rPr>
        <w:t>Vzhľadom na skutočnosť, že plán rozvoja bude obsahovať súbor špecifikovaných a konkretizovaných akcií i s ohľadom na jednotlivé roky plánovania, nie je potrebným tvoriť a prijímať duplicitne osobitný dokument v podobe ročných priorít.</w:t>
      </w:r>
    </w:p>
    <w:p w14:paraId="7DBA31E0" w14:textId="77777777" w:rsidR="001E4B49" w:rsidRPr="00A90A95" w:rsidRDefault="001E4B49" w:rsidP="001E4B49">
      <w:pPr>
        <w:jc w:val="both"/>
        <w:rPr>
          <w:color w:val="000000"/>
        </w:rPr>
      </w:pPr>
    </w:p>
    <w:p w14:paraId="6B186CF6" w14:textId="77777777" w:rsidR="001E4B49" w:rsidRPr="00A90A95" w:rsidRDefault="001E4B49" w:rsidP="001E4B49">
      <w:pPr>
        <w:jc w:val="both"/>
        <w:rPr>
          <w:color w:val="000000"/>
        </w:rPr>
      </w:pPr>
      <w:r w:rsidRPr="00A90A95">
        <w:rPr>
          <w:color w:val="000000"/>
        </w:rPr>
        <w:t>K bodu 11 (§ 5)</w:t>
      </w:r>
    </w:p>
    <w:p w14:paraId="23190CAF" w14:textId="77777777" w:rsidR="001E4B49" w:rsidRPr="00A90A95" w:rsidRDefault="001E4B49" w:rsidP="001E4B49">
      <w:pPr>
        <w:jc w:val="both"/>
      </w:pPr>
      <w:r w:rsidRPr="00A90A95">
        <w:rPr>
          <w:color w:val="000000"/>
        </w:rPr>
        <w:t xml:space="preserve">Navrhovaná úprava reflektuje na vznik nového ministerstva – Ministerstva investícií, regionálneho rozvoja a informatizácie Slovenskej republiky. V jednotlivých najmenej rozvinutých okresoch dochádza k vytvoreniu poradných orgánov Ministerstva investícií, regionálneho rozvoja a informatizácie Slovenskej republiky zložených zo zástupcov Ministerstva investícií regionálneho rozvoja a informatizácie Slovenskej republiky, vyšších územných celkov, do ktorých najmenej rozvinuté okresy patria,  okresných úradov najmenej rozvinutých okresov, </w:t>
      </w:r>
      <w:r w:rsidRPr="00A90A95">
        <w:t>miest a obcí najmenej rozvinutých okresov</w:t>
      </w:r>
      <w:r w:rsidRPr="00581904">
        <w:rPr>
          <w:color w:val="000000"/>
        </w:rPr>
        <w:t xml:space="preserve"> a sociálno-ekonomických partnerov, </w:t>
      </w:r>
      <w:r w:rsidRPr="00A90A95">
        <w:rPr>
          <w:color w:val="000000"/>
        </w:rPr>
        <w:t xml:space="preserve">ktorí sa podieľajú na príprave výzvy na predkladanie žiadosti o poskytnutie regionálneho príspevku a na jej vyhodnocovaní. Ak tak plán rozvoja určí, v určených </w:t>
      </w:r>
      <w:r w:rsidRPr="00A90A95">
        <w:t xml:space="preserve">najmenej rozvinutých okresoch spolupôsobia viaceré riadiace výbory týchto okresov spoločne ako jeden spoločný riadiaci výbor. </w:t>
      </w:r>
    </w:p>
    <w:p w14:paraId="13085E08" w14:textId="77777777" w:rsidR="001E4B49" w:rsidRPr="00A90A95" w:rsidRDefault="001E4B49" w:rsidP="001E4B49">
      <w:pPr>
        <w:jc w:val="both"/>
      </w:pPr>
      <w:r w:rsidRPr="00A90A95">
        <w:t>K bodu 12 (§ 6)</w:t>
      </w:r>
    </w:p>
    <w:p w14:paraId="430C252F" w14:textId="77777777" w:rsidR="001E4B49" w:rsidRPr="00A90A95" w:rsidRDefault="001E4B49" w:rsidP="001E4B49">
      <w:pPr>
        <w:jc w:val="both"/>
        <w:rPr>
          <w:color w:val="000000"/>
        </w:rPr>
      </w:pPr>
      <w:r w:rsidRPr="00A90A95">
        <w:rPr>
          <w:color w:val="000000"/>
        </w:rPr>
        <w:t>Navrhovaná úprava reflektuje nahradenie akčného plánu plánom rozvoja ako i na upustenie od tvorby samostatného plánovacieho dokumentu v podobe ročných priorít.</w:t>
      </w:r>
    </w:p>
    <w:p w14:paraId="43FB5277" w14:textId="77777777" w:rsidR="001E4B49" w:rsidRPr="00A90A95" w:rsidRDefault="001E4B49" w:rsidP="001E4B49">
      <w:pPr>
        <w:jc w:val="both"/>
        <w:rPr>
          <w:color w:val="000000"/>
        </w:rPr>
      </w:pPr>
    </w:p>
    <w:p w14:paraId="1B9789A2" w14:textId="77777777" w:rsidR="001E4B49" w:rsidRPr="00A90A95" w:rsidRDefault="001E4B49" w:rsidP="001E4B49">
      <w:pPr>
        <w:tabs>
          <w:tab w:val="left" w:pos="5670"/>
        </w:tabs>
        <w:jc w:val="both"/>
        <w:rPr>
          <w:color w:val="000000"/>
        </w:rPr>
      </w:pPr>
      <w:r w:rsidRPr="00A90A95">
        <w:rPr>
          <w:color w:val="000000"/>
        </w:rPr>
        <w:t>K bodu 13 (§ 7)</w:t>
      </w:r>
      <w:r w:rsidRPr="00A90A95">
        <w:rPr>
          <w:color w:val="000000"/>
        </w:rPr>
        <w:tab/>
      </w:r>
    </w:p>
    <w:p w14:paraId="1F87BCA2" w14:textId="77777777" w:rsidR="001E4B49" w:rsidRPr="00A90A95" w:rsidRDefault="001E4B49" w:rsidP="001E4B49">
      <w:pPr>
        <w:jc w:val="both"/>
        <w:rPr>
          <w:color w:val="000000"/>
        </w:rPr>
      </w:pPr>
      <w:r w:rsidRPr="00A90A95">
        <w:rPr>
          <w:color w:val="000000"/>
        </w:rPr>
        <w:t>Vypúšťa sa ustanovenie, ktoré je vzhľadom na legálne zakotvenie kompetencií Ministerstva investícií, regionálneho rozvoja a informatizácie Slovenskej republiky v § 3 zákona duplicitné.</w:t>
      </w:r>
    </w:p>
    <w:p w14:paraId="355C4FD8" w14:textId="77777777" w:rsidR="001E4B49" w:rsidRPr="00A90A95" w:rsidRDefault="001E4B49" w:rsidP="001E4B49">
      <w:pPr>
        <w:jc w:val="both"/>
        <w:rPr>
          <w:color w:val="000000"/>
        </w:rPr>
      </w:pPr>
    </w:p>
    <w:p w14:paraId="316FE5C4" w14:textId="77777777" w:rsidR="001E4B49" w:rsidRPr="00A90A95" w:rsidRDefault="001E4B49" w:rsidP="001E4B49">
      <w:pPr>
        <w:jc w:val="both"/>
        <w:rPr>
          <w:color w:val="000000"/>
        </w:rPr>
      </w:pPr>
      <w:r w:rsidRPr="00A90A95">
        <w:rPr>
          <w:color w:val="000000"/>
        </w:rPr>
        <w:t>K bodu 14 (§ 8)</w:t>
      </w:r>
    </w:p>
    <w:p w14:paraId="2CCE50F1" w14:textId="77777777" w:rsidR="001E4B49" w:rsidRPr="00A90A95" w:rsidRDefault="001E4B49" w:rsidP="001E4B49">
      <w:pPr>
        <w:jc w:val="both"/>
        <w:rPr>
          <w:color w:val="000000"/>
        </w:rPr>
      </w:pPr>
      <w:r w:rsidRPr="00A90A95">
        <w:rPr>
          <w:color w:val="000000"/>
        </w:rPr>
        <w:t>Ide o úpravu spojenú s transformáciou úloh a významu Rady pre rozvoj najmenej rozvinutých okresov vzhľadom na vznik nového ministerstva – Ministerstva investícií, regionálneho rozvoja a informatizácie Slovenskej republiky i so zreteľom na výšku poskytovanej finančnej podpory, ktorá nedosahuje osobitne kvalifikovanú výšku. Súčasne dochádza k precizovaniu náležitostí žiadosti o poskytnutie regionálneho príspevku ako i úprave požadovanej dĺžky trvania vlastníckeho alebo iného práva k pozemku v prípade poskytovania príspevku poskytovaného na výstavbu z desať na päť rokov, nakoľko pôvodná lehota bola neprimerane dlhá. Zároveň sa navrhuje ustanoviť povinnosť pre prijímateľa poskytovať Ministerstvu investícií, regionálneho rozvoja a informatizácie Slovenskej republiky údaje na účely transparentného riadenia a kontroly poskytovania regionálneho príspevku. Rozsah požadovaných údajov bude uvedený v záväznej metodickej dokumentácii Ministerstva investícií, regionálneho rozvoja a informatizácie Slovenskej republiky.</w:t>
      </w:r>
    </w:p>
    <w:p w14:paraId="020404FF" w14:textId="77777777" w:rsidR="001E4B49" w:rsidRPr="00A90A95" w:rsidRDefault="001E4B49" w:rsidP="001E4B49">
      <w:pPr>
        <w:jc w:val="both"/>
        <w:rPr>
          <w:color w:val="000000"/>
        </w:rPr>
      </w:pPr>
    </w:p>
    <w:p w14:paraId="6F405D23" w14:textId="77777777" w:rsidR="001E4B49" w:rsidRPr="00A90A95" w:rsidRDefault="001E4B49" w:rsidP="001E4B49">
      <w:pPr>
        <w:jc w:val="both"/>
        <w:rPr>
          <w:color w:val="000000"/>
        </w:rPr>
      </w:pPr>
      <w:r w:rsidRPr="00A90A95">
        <w:rPr>
          <w:color w:val="000000"/>
        </w:rPr>
        <w:t>K bodu 15 (§ 12)</w:t>
      </w:r>
    </w:p>
    <w:p w14:paraId="1341F1E5" w14:textId="77777777" w:rsidR="001E4B49" w:rsidRPr="00A90A95" w:rsidRDefault="001E4B49" w:rsidP="001E4B49">
      <w:pPr>
        <w:jc w:val="both"/>
        <w:rPr>
          <w:color w:val="000000"/>
        </w:rPr>
      </w:pPr>
      <w:r w:rsidRPr="00A90A95">
        <w:rPr>
          <w:color w:val="000000"/>
        </w:rPr>
        <w:t>Navrhovaná úprava reflektuje nahradenie akčného plánu plánom rozvoja</w:t>
      </w:r>
      <w:r>
        <w:rPr>
          <w:color w:val="000000"/>
        </w:rPr>
        <w:t xml:space="preserve">. Akčné plány schválené do 31. októbra 2021 sa s účinnosťou od 1. novembra 2021 považujú za plány rozvoja.  Plány rozvoja podľa prvej vety schválené do 31. októbra 2021 prepracujú okresné úrady v sídle najmenej rozvinutých okresov najneskôr do 31. mája 2022. Táto povinnosť sa nevzťahuje na plány rozvoja, ktorých doba plnenia uplynie do konca roka 2021. </w:t>
      </w:r>
    </w:p>
    <w:p w14:paraId="63E99111" w14:textId="77777777" w:rsidR="001E4B49" w:rsidRPr="00A90A95" w:rsidRDefault="001E4B49" w:rsidP="001E4B49">
      <w:pPr>
        <w:jc w:val="both"/>
      </w:pPr>
    </w:p>
    <w:p w14:paraId="0A60DB50" w14:textId="2972D600" w:rsidR="001E4B49" w:rsidRDefault="001E4B49" w:rsidP="001E4B49">
      <w:pPr>
        <w:jc w:val="both"/>
        <w:rPr>
          <w:b/>
          <w:color w:val="000000"/>
        </w:rPr>
      </w:pPr>
    </w:p>
    <w:p w14:paraId="358878F8" w14:textId="77777777" w:rsidR="006A1189" w:rsidRDefault="006A1189" w:rsidP="001E4B49">
      <w:pPr>
        <w:jc w:val="both"/>
        <w:rPr>
          <w:b/>
          <w:color w:val="000000"/>
        </w:rPr>
      </w:pPr>
    </w:p>
    <w:p w14:paraId="7185CE75" w14:textId="77777777" w:rsidR="001E4B49" w:rsidRDefault="001E4B49" w:rsidP="001E4B49">
      <w:pPr>
        <w:jc w:val="both"/>
        <w:rPr>
          <w:b/>
          <w:color w:val="000000"/>
        </w:rPr>
      </w:pPr>
    </w:p>
    <w:p w14:paraId="126F1FD5" w14:textId="76107C84" w:rsidR="001E4B49" w:rsidRPr="00A90A95" w:rsidRDefault="001E4B49" w:rsidP="001E4B49">
      <w:pPr>
        <w:jc w:val="both"/>
        <w:rPr>
          <w:b/>
          <w:color w:val="000000"/>
        </w:rPr>
      </w:pPr>
      <w:r w:rsidRPr="00A90A95">
        <w:rPr>
          <w:b/>
          <w:color w:val="000000"/>
        </w:rPr>
        <w:t>K čl. II</w:t>
      </w:r>
    </w:p>
    <w:p w14:paraId="4C24DC03" w14:textId="77777777" w:rsidR="001E4B49" w:rsidRPr="00A90A95" w:rsidRDefault="001E4B49" w:rsidP="001E4B49">
      <w:pPr>
        <w:jc w:val="both"/>
      </w:pPr>
      <w:r w:rsidRPr="00A90A95">
        <w:t>Navrhované zmeny nadobudnú účinnosť 1. novembra 2021.</w:t>
      </w:r>
    </w:p>
    <w:p w14:paraId="49A7CB49" w14:textId="5CC88783" w:rsidR="00A57490" w:rsidRPr="001E4B49" w:rsidRDefault="00A57490" w:rsidP="000C05FC">
      <w:pPr>
        <w:jc w:val="both"/>
      </w:pPr>
    </w:p>
    <w:p w14:paraId="281D5941" w14:textId="77777777" w:rsidR="008D152D" w:rsidRPr="001E4B49" w:rsidRDefault="008D152D" w:rsidP="007951D3"/>
    <w:p w14:paraId="29A62C28" w14:textId="408ACE69" w:rsidR="007951D3" w:rsidRPr="001E4B49" w:rsidRDefault="007951D3" w:rsidP="007951D3">
      <w:r w:rsidRPr="001E4B49">
        <w:t>Bratislava 26. mája 2021</w:t>
      </w:r>
    </w:p>
    <w:p w14:paraId="66F8C289" w14:textId="77777777" w:rsidR="007951D3" w:rsidRPr="001E4B49" w:rsidRDefault="007951D3" w:rsidP="007951D3">
      <w:pPr>
        <w:jc w:val="center"/>
        <w:rPr>
          <w:b/>
        </w:rPr>
      </w:pPr>
    </w:p>
    <w:p w14:paraId="704BF0F6" w14:textId="77777777" w:rsidR="007951D3" w:rsidRPr="001E4B49" w:rsidRDefault="007951D3" w:rsidP="007951D3">
      <w:pPr>
        <w:jc w:val="center"/>
        <w:rPr>
          <w:b/>
        </w:rPr>
      </w:pPr>
    </w:p>
    <w:p w14:paraId="2C67FC7D" w14:textId="77777777" w:rsidR="007951D3" w:rsidRPr="001E4B49" w:rsidRDefault="007951D3" w:rsidP="007951D3">
      <w:pPr>
        <w:jc w:val="center"/>
        <w:rPr>
          <w:b/>
        </w:rPr>
      </w:pPr>
    </w:p>
    <w:p w14:paraId="2C4E0946" w14:textId="17338A2F" w:rsidR="007951D3" w:rsidRPr="001E4B49" w:rsidRDefault="00147F2D" w:rsidP="007951D3">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Eduard Heger </w:t>
      </w:r>
      <w:r w:rsidR="007E2EDF">
        <w:rPr>
          <w:rFonts w:ascii="Times New Roman" w:hAnsi="Times New Roman" w:cs="Times New Roman"/>
          <w:sz w:val="24"/>
          <w:szCs w:val="24"/>
        </w:rPr>
        <w:t xml:space="preserve">v. </w:t>
      </w:r>
      <w:bookmarkStart w:id="1" w:name="_GoBack"/>
      <w:bookmarkEnd w:id="1"/>
      <w:r w:rsidR="007E2EDF">
        <w:rPr>
          <w:rFonts w:ascii="Times New Roman" w:hAnsi="Times New Roman" w:cs="Times New Roman"/>
          <w:sz w:val="24"/>
          <w:szCs w:val="24"/>
        </w:rPr>
        <w:t>r.</w:t>
      </w:r>
    </w:p>
    <w:p w14:paraId="48C68F4E" w14:textId="77777777" w:rsidR="007951D3" w:rsidRPr="001E4B49" w:rsidRDefault="007951D3" w:rsidP="007951D3">
      <w:pPr>
        <w:pStyle w:val="Bezriadkovania"/>
        <w:jc w:val="center"/>
        <w:rPr>
          <w:rFonts w:ascii="Times New Roman" w:hAnsi="Times New Roman" w:cs="Times New Roman"/>
          <w:sz w:val="24"/>
          <w:szCs w:val="24"/>
        </w:rPr>
      </w:pPr>
      <w:r w:rsidRPr="001E4B49">
        <w:rPr>
          <w:rFonts w:ascii="Times New Roman" w:hAnsi="Times New Roman" w:cs="Times New Roman"/>
          <w:sz w:val="24"/>
          <w:szCs w:val="24"/>
        </w:rPr>
        <w:t>predseda vlády</w:t>
      </w:r>
    </w:p>
    <w:p w14:paraId="04748B1E" w14:textId="77777777" w:rsidR="007951D3" w:rsidRPr="001E4B49" w:rsidRDefault="007951D3" w:rsidP="007951D3">
      <w:pPr>
        <w:pStyle w:val="Bezriadkovania"/>
        <w:jc w:val="center"/>
        <w:rPr>
          <w:rFonts w:ascii="Times New Roman" w:hAnsi="Times New Roman" w:cs="Times New Roman"/>
          <w:sz w:val="24"/>
          <w:szCs w:val="24"/>
        </w:rPr>
      </w:pPr>
      <w:r w:rsidRPr="001E4B49">
        <w:rPr>
          <w:rFonts w:ascii="Times New Roman" w:hAnsi="Times New Roman" w:cs="Times New Roman"/>
          <w:sz w:val="24"/>
          <w:szCs w:val="24"/>
        </w:rPr>
        <w:t>Slovenskej republiky</w:t>
      </w:r>
    </w:p>
    <w:p w14:paraId="0609A0F8" w14:textId="77777777" w:rsidR="007951D3" w:rsidRPr="001E4B49" w:rsidRDefault="007951D3" w:rsidP="007951D3">
      <w:pPr>
        <w:pStyle w:val="Bezriadkovania"/>
        <w:jc w:val="center"/>
        <w:rPr>
          <w:rFonts w:ascii="Times New Roman" w:hAnsi="Times New Roman" w:cs="Times New Roman"/>
          <w:sz w:val="24"/>
          <w:szCs w:val="24"/>
        </w:rPr>
      </w:pPr>
    </w:p>
    <w:p w14:paraId="3A70FDDF" w14:textId="77777777" w:rsidR="007951D3" w:rsidRPr="001E4B49" w:rsidRDefault="007951D3" w:rsidP="007951D3">
      <w:pPr>
        <w:pStyle w:val="Bezriadkovania"/>
        <w:jc w:val="center"/>
        <w:rPr>
          <w:rFonts w:ascii="Times New Roman" w:hAnsi="Times New Roman" w:cs="Times New Roman"/>
          <w:sz w:val="24"/>
          <w:szCs w:val="24"/>
        </w:rPr>
      </w:pPr>
    </w:p>
    <w:p w14:paraId="1BC81B32" w14:textId="77777777" w:rsidR="007951D3" w:rsidRPr="001E4B49" w:rsidRDefault="007951D3" w:rsidP="007951D3">
      <w:pPr>
        <w:pStyle w:val="Bezriadkovania"/>
        <w:jc w:val="center"/>
        <w:rPr>
          <w:rFonts w:ascii="Times New Roman" w:hAnsi="Times New Roman" w:cs="Times New Roman"/>
          <w:sz w:val="24"/>
          <w:szCs w:val="24"/>
        </w:rPr>
      </w:pPr>
    </w:p>
    <w:p w14:paraId="66C81611" w14:textId="77777777" w:rsidR="007951D3" w:rsidRPr="001E4B49" w:rsidRDefault="007951D3" w:rsidP="007951D3">
      <w:pPr>
        <w:pStyle w:val="Bezriadkovania"/>
        <w:jc w:val="center"/>
        <w:rPr>
          <w:rFonts w:ascii="Times New Roman" w:hAnsi="Times New Roman" w:cs="Times New Roman"/>
          <w:sz w:val="24"/>
          <w:szCs w:val="24"/>
        </w:rPr>
      </w:pPr>
    </w:p>
    <w:p w14:paraId="25038044" w14:textId="77777777" w:rsidR="007951D3" w:rsidRPr="001E4B49" w:rsidRDefault="007951D3" w:rsidP="007951D3">
      <w:pPr>
        <w:pStyle w:val="Bezriadkovania"/>
        <w:jc w:val="center"/>
        <w:rPr>
          <w:rFonts w:ascii="Times New Roman" w:hAnsi="Times New Roman" w:cs="Times New Roman"/>
          <w:sz w:val="24"/>
          <w:szCs w:val="24"/>
        </w:rPr>
      </w:pPr>
    </w:p>
    <w:p w14:paraId="125C6E5F" w14:textId="77777777" w:rsidR="007951D3" w:rsidRPr="001E4B49" w:rsidRDefault="007951D3" w:rsidP="007951D3">
      <w:pPr>
        <w:pStyle w:val="Bezriadkovania"/>
        <w:jc w:val="center"/>
        <w:rPr>
          <w:rFonts w:ascii="Times New Roman" w:hAnsi="Times New Roman" w:cs="Times New Roman"/>
          <w:sz w:val="24"/>
          <w:szCs w:val="24"/>
        </w:rPr>
      </w:pPr>
    </w:p>
    <w:p w14:paraId="7F02F8CA" w14:textId="33080C36" w:rsidR="007951D3" w:rsidRPr="001E4B49" w:rsidRDefault="00147F2D" w:rsidP="007951D3">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Veronika Remišová </w:t>
      </w:r>
      <w:r w:rsidR="007E2EDF">
        <w:rPr>
          <w:rFonts w:ascii="Times New Roman" w:hAnsi="Times New Roman" w:cs="Times New Roman"/>
          <w:sz w:val="24"/>
          <w:szCs w:val="24"/>
        </w:rPr>
        <w:t>v. r.</w:t>
      </w:r>
    </w:p>
    <w:p w14:paraId="300F6C1F" w14:textId="77777777" w:rsidR="007951D3" w:rsidRPr="001E4B49" w:rsidRDefault="007951D3" w:rsidP="007951D3">
      <w:pPr>
        <w:pStyle w:val="Bezriadkovania"/>
        <w:jc w:val="center"/>
        <w:rPr>
          <w:rFonts w:ascii="Times New Roman" w:hAnsi="Times New Roman" w:cs="Times New Roman"/>
          <w:sz w:val="24"/>
          <w:szCs w:val="24"/>
        </w:rPr>
      </w:pPr>
      <w:r w:rsidRPr="001E4B49">
        <w:rPr>
          <w:rFonts w:ascii="Times New Roman" w:hAnsi="Times New Roman" w:cs="Times New Roman"/>
          <w:sz w:val="24"/>
          <w:szCs w:val="24"/>
        </w:rPr>
        <w:t>podpredsedníčka vlády a ministerka investícií,</w:t>
      </w:r>
    </w:p>
    <w:p w14:paraId="5AB3BC26" w14:textId="1B388E6B" w:rsidR="007951D3" w:rsidRPr="001E4B49" w:rsidRDefault="007951D3" w:rsidP="007951D3">
      <w:pPr>
        <w:pStyle w:val="Bezriadkovania"/>
        <w:jc w:val="center"/>
        <w:rPr>
          <w:rFonts w:ascii="Times New Roman" w:hAnsi="Times New Roman" w:cs="Times New Roman"/>
          <w:sz w:val="24"/>
          <w:szCs w:val="24"/>
        </w:rPr>
      </w:pPr>
      <w:r w:rsidRPr="001E4B49">
        <w:rPr>
          <w:rFonts w:ascii="Times New Roman" w:hAnsi="Times New Roman" w:cs="Times New Roman"/>
          <w:sz w:val="24"/>
          <w:szCs w:val="24"/>
        </w:rPr>
        <w:t>regionálneho rozvoja a</w:t>
      </w:r>
      <w:r w:rsidR="009563B4">
        <w:rPr>
          <w:rFonts w:ascii="Times New Roman" w:hAnsi="Times New Roman" w:cs="Times New Roman"/>
          <w:sz w:val="24"/>
          <w:szCs w:val="24"/>
        </w:rPr>
        <w:t> </w:t>
      </w:r>
      <w:r w:rsidRPr="001E4B49">
        <w:rPr>
          <w:rFonts w:ascii="Times New Roman" w:hAnsi="Times New Roman" w:cs="Times New Roman"/>
          <w:sz w:val="24"/>
          <w:szCs w:val="24"/>
        </w:rPr>
        <w:t>informatizácie</w:t>
      </w:r>
      <w:r w:rsidR="009563B4">
        <w:rPr>
          <w:rFonts w:ascii="Times New Roman" w:hAnsi="Times New Roman" w:cs="Times New Roman"/>
          <w:sz w:val="24"/>
          <w:szCs w:val="24"/>
        </w:rPr>
        <w:t xml:space="preserve"> </w:t>
      </w:r>
    </w:p>
    <w:p w14:paraId="17DF5712" w14:textId="77777777" w:rsidR="003A05FD" w:rsidRPr="002D34EC" w:rsidRDefault="003A05FD" w:rsidP="001D07CF">
      <w:pPr>
        <w:jc w:val="both"/>
      </w:pPr>
    </w:p>
    <w:sectPr w:rsidR="003A05FD" w:rsidRPr="002D34EC" w:rsidSect="001E4B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5BA76" w14:textId="77777777" w:rsidR="00FA6E49" w:rsidRDefault="00FA6E49" w:rsidP="00005055">
      <w:r>
        <w:separator/>
      </w:r>
    </w:p>
  </w:endnote>
  <w:endnote w:type="continuationSeparator" w:id="0">
    <w:p w14:paraId="7852B843" w14:textId="77777777" w:rsidR="00FA6E49" w:rsidRDefault="00FA6E49" w:rsidP="0000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imes">
    <w:altName w:val="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432102"/>
      <w:docPartObj>
        <w:docPartGallery w:val="Page Numbers (Bottom of Page)"/>
        <w:docPartUnique/>
      </w:docPartObj>
    </w:sdtPr>
    <w:sdtEndPr/>
    <w:sdtContent>
      <w:p w14:paraId="613F04FC" w14:textId="6E9FDFC9" w:rsidR="00C40CC4" w:rsidRDefault="00C40CC4">
        <w:pPr>
          <w:pStyle w:val="Pta"/>
          <w:jc w:val="right"/>
        </w:pPr>
        <w:r>
          <w:fldChar w:fldCharType="begin"/>
        </w:r>
        <w:r>
          <w:instrText>PAGE   \* MERGEFORMAT</w:instrText>
        </w:r>
        <w:r>
          <w:fldChar w:fldCharType="separate"/>
        </w:r>
        <w:r w:rsidR="007E2EDF">
          <w:rPr>
            <w:noProof/>
          </w:rPr>
          <w:t>1</w:t>
        </w:r>
        <w:r>
          <w:fldChar w:fldCharType="end"/>
        </w:r>
      </w:p>
    </w:sdtContent>
  </w:sdt>
  <w:p w14:paraId="7A424FBA" w14:textId="69D97138" w:rsidR="00142FD9" w:rsidRPr="001D6749" w:rsidRDefault="00142FD9">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338391"/>
      <w:docPartObj>
        <w:docPartGallery w:val="Page Numbers (Bottom of Page)"/>
        <w:docPartUnique/>
      </w:docPartObj>
    </w:sdtPr>
    <w:sdtEndPr/>
    <w:sdtContent>
      <w:p w14:paraId="7A29604A" w14:textId="327E0C7E" w:rsidR="00C40CC4" w:rsidRDefault="00C40CC4">
        <w:pPr>
          <w:pStyle w:val="Pta"/>
          <w:jc w:val="right"/>
        </w:pPr>
        <w:r>
          <w:fldChar w:fldCharType="begin"/>
        </w:r>
        <w:r>
          <w:instrText>PAGE   \* MERGEFORMAT</w:instrText>
        </w:r>
        <w:r>
          <w:fldChar w:fldCharType="separate"/>
        </w:r>
        <w:r w:rsidR="007E2EDF">
          <w:rPr>
            <w:noProof/>
          </w:rPr>
          <w:t>9</w:t>
        </w:r>
        <w:r>
          <w:fldChar w:fldCharType="end"/>
        </w:r>
      </w:p>
    </w:sdtContent>
  </w:sdt>
  <w:p w14:paraId="5A70C27E" w14:textId="77777777" w:rsidR="00C40CC4" w:rsidRPr="001D6749" w:rsidRDefault="00C40CC4">
    <w:pPr>
      <w:pStyle w:val="Pta"/>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6DE9" w14:textId="77777777" w:rsidR="00142FD9" w:rsidRDefault="00142FD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2F981D3" w14:textId="77777777" w:rsidR="00142FD9" w:rsidRDefault="00142FD9">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739550"/>
      <w:docPartObj>
        <w:docPartGallery w:val="Page Numbers (Bottom of Page)"/>
        <w:docPartUnique/>
      </w:docPartObj>
    </w:sdtPr>
    <w:sdtEndPr/>
    <w:sdtContent>
      <w:p w14:paraId="3C1BB657" w14:textId="51219A46" w:rsidR="00C40CC4" w:rsidRDefault="00C40CC4">
        <w:pPr>
          <w:pStyle w:val="Pta"/>
          <w:jc w:val="right"/>
        </w:pPr>
        <w:r>
          <w:fldChar w:fldCharType="begin"/>
        </w:r>
        <w:r>
          <w:instrText>PAGE   \* MERGEFORMAT</w:instrText>
        </w:r>
        <w:r>
          <w:fldChar w:fldCharType="separate"/>
        </w:r>
        <w:r w:rsidR="007E2EDF">
          <w:rPr>
            <w:noProof/>
          </w:rPr>
          <w:t>35</w:t>
        </w:r>
        <w:r>
          <w:fldChar w:fldCharType="end"/>
        </w:r>
      </w:p>
    </w:sdtContent>
  </w:sdt>
  <w:p w14:paraId="48458C66" w14:textId="77777777" w:rsidR="00C40CC4" w:rsidRPr="001D6749" w:rsidRDefault="00C40CC4">
    <w:pPr>
      <w:pStyle w:val="Pta"/>
      <w:jc w:val="right"/>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B86E" w14:textId="77777777" w:rsidR="00142FD9" w:rsidRDefault="00142FD9">
    <w:pPr>
      <w:pStyle w:val="Pta"/>
      <w:jc w:val="right"/>
    </w:pPr>
    <w:r>
      <w:fldChar w:fldCharType="begin"/>
    </w:r>
    <w:r>
      <w:instrText>PAGE   \* MERGEFORMAT</w:instrText>
    </w:r>
    <w:r>
      <w:fldChar w:fldCharType="separate"/>
    </w:r>
    <w:r>
      <w:rPr>
        <w:noProof/>
      </w:rPr>
      <w:t>0</w:t>
    </w:r>
    <w:r>
      <w:fldChar w:fldCharType="end"/>
    </w:r>
  </w:p>
  <w:p w14:paraId="2FE04B2C" w14:textId="77777777" w:rsidR="00142FD9" w:rsidRDefault="00142F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8C623" w14:textId="77777777" w:rsidR="00FA6E49" w:rsidRDefault="00FA6E49" w:rsidP="00005055">
      <w:r>
        <w:separator/>
      </w:r>
    </w:p>
  </w:footnote>
  <w:footnote w:type="continuationSeparator" w:id="0">
    <w:p w14:paraId="3A1CFB82" w14:textId="77777777" w:rsidR="00FA6E49" w:rsidRDefault="00FA6E49" w:rsidP="00005055">
      <w:r>
        <w:continuationSeparator/>
      </w:r>
    </w:p>
  </w:footnote>
  <w:footnote w:id="1">
    <w:p w14:paraId="662AD5AE" w14:textId="77777777" w:rsidR="00142FD9" w:rsidRPr="00820EFD" w:rsidRDefault="00142FD9" w:rsidP="00142FD9">
      <w:pPr>
        <w:pStyle w:val="Textpoznmkypodiarou"/>
        <w:rPr>
          <w:rFonts w:ascii="Times New Roman" w:hAnsi="Times New Roman" w:cs="Times New Roman"/>
        </w:rPr>
      </w:pPr>
      <w:r w:rsidRPr="00820EFD">
        <w:rPr>
          <w:rStyle w:val="Odkaznapoznmkupodiarou"/>
          <w:rFonts w:ascii="Times New Roman" w:hAnsi="Times New Roman" w:cs="Times New Roman"/>
        </w:rPr>
        <w:footnoteRef/>
      </w:r>
      <w:r w:rsidRPr="00820EFD">
        <w:rPr>
          <w:rFonts w:ascii="Times New Roman" w:hAnsi="Times New Roman" w:cs="Times New Roman"/>
        </w:rPr>
        <w:t xml:space="preserve"> § 6 zákona č. 5/2004 Z. z. o službách zamestnanosti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8582" w14:textId="7313D239" w:rsidR="00142FD9" w:rsidRPr="00CD4982" w:rsidRDefault="00142FD9" w:rsidP="00142FD9">
    <w:pPr>
      <w:tabs>
        <w:tab w:val="center" w:pos="4536"/>
        <w:tab w:val="right"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7806" w14:textId="06A29BEC" w:rsidR="00142FD9" w:rsidRPr="00CD4982" w:rsidRDefault="00142FD9" w:rsidP="00142FD9">
    <w:pPr>
      <w:tabs>
        <w:tab w:val="center" w:pos="4536"/>
        <w:tab w:val="right"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6F2C" w14:textId="77777777" w:rsidR="00142FD9" w:rsidRDefault="00142FD9" w:rsidP="00142FD9">
    <w:pPr>
      <w:pStyle w:val="Hlavika"/>
      <w:jc w:val="right"/>
    </w:pPr>
    <w:r>
      <w:t>Príloha č. 2</w:t>
    </w:r>
  </w:p>
  <w:p w14:paraId="0639B83D" w14:textId="77777777" w:rsidR="00142FD9" w:rsidRPr="00EB59C8" w:rsidRDefault="00142FD9" w:rsidP="00142FD9">
    <w:pPr>
      <w:pStyle w:val="Hlavika"/>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526C" w14:textId="77777777" w:rsidR="00142FD9" w:rsidRPr="000A15AE" w:rsidRDefault="00142FD9" w:rsidP="00142FD9">
    <w:pPr>
      <w:pStyle w:val="Hlavika"/>
      <w:jc w:val="right"/>
    </w:pPr>
    <w: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1823B1"/>
    <w:multiLevelType w:val="hybridMultilevel"/>
    <w:tmpl w:val="F754E16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A9460F"/>
    <w:multiLevelType w:val="hybridMultilevel"/>
    <w:tmpl w:val="8E8C0C78"/>
    <w:lvl w:ilvl="0" w:tplc="4552B68E">
      <w:start w:val="6"/>
      <w:numFmt w:val="bullet"/>
      <w:lvlText w:val="-"/>
      <w:lvlJc w:val="left"/>
      <w:pPr>
        <w:ind w:left="720" w:hanging="360"/>
      </w:pPr>
      <w:rPr>
        <w:rFonts w:ascii="Times New Roman" w:eastAsia="Times New Roman" w:hAnsi="Times New Roman" w:cs="Times New Roman" w:hint="default"/>
      </w:rPr>
    </w:lvl>
    <w:lvl w:ilvl="1" w:tplc="AB1828FA">
      <w:numFmt w:val="bullet"/>
      <w:lvlText w:val=""/>
      <w:lvlJc w:val="left"/>
      <w:pPr>
        <w:ind w:left="1440" w:hanging="360"/>
      </w:pPr>
      <w:rPr>
        <w:rFonts w:ascii="Symbol" w:eastAsia="Times New Roman" w:hAnsi="Symbol"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D0679F"/>
    <w:multiLevelType w:val="hybridMultilevel"/>
    <w:tmpl w:val="ECBEC630"/>
    <w:lvl w:ilvl="0" w:tplc="041B0011">
      <w:start w:val="1"/>
      <w:numFmt w:val="decimal"/>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9A3A1A"/>
    <w:multiLevelType w:val="multilevel"/>
    <w:tmpl w:val="9050B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AE7BEF"/>
    <w:multiLevelType w:val="hybridMultilevel"/>
    <w:tmpl w:val="06EA7E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FA69FF"/>
    <w:multiLevelType w:val="hybridMultilevel"/>
    <w:tmpl w:val="41DAA8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C9658E"/>
    <w:multiLevelType w:val="multilevel"/>
    <w:tmpl w:val="A6C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A57F7E"/>
    <w:multiLevelType w:val="multilevel"/>
    <w:tmpl w:val="AB4C3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ED6F59"/>
    <w:multiLevelType w:val="hybridMultilevel"/>
    <w:tmpl w:val="0BB8DB04"/>
    <w:lvl w:ilvl="0" w:tplc="425ACE0A">
      <w:start w:val="3"/>
      <w:numFmt w:val="bullet"/>
      <w:lvlText w:val="-"/>
      <w:lvlJc w:val="left"/>
      <w:pPr>
        <w:ind w:left="1353" w:hanging="360"/>
      </w:pPr>
      <w:rPr>
        <w:rFonts w:ascii="Times New Roman" w:eastAsiaTheme="minorHAnsi"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35441D5B"/>
    <w:multiLevelType w:val="multilevel"/>
    <w:tmpl w:val="CD46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18556BF"/>
    <w:multiLevelType w:val="hybridMultilevel"/>
    <w:tmpl w:val="7160EAA4"/>
    <w:lvl w:ilvl="0" w:tplc="041B0005">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42D65DAF"/>
    <w:multiLevelType w:val="hybridMultilevel"/>
    <w:tmpl w:val="91724448"/>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C6F72CC"/>
    <w:multiLevelType w:val="hybridMultilevel"/>
    <w:tmpl w:val="E7D6A6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D3D2475"/>
    <w:multiLevelType w:val="hybridMultilevel"/>
    <w:tmpl w:val="B42686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C54A7"/>
    <w:multiLevelType w:val="hybridMultilevel"/>
    <w:tmpl w:val="5CA0F3D8"/>
    <w:lvl w:ilvl="0" w:tplc="6052AC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FC811B7"/>
    <w:multiLevelType w:val="hybridMultilevel"/>
    <w:tmpl w:val="CA9EBF3C"/>
    <w:lvl w:ilvl="0" w:tplc="65B65EE4">
      <w:start w:val="5"/>
      <w:numFmt w:val="bullet"/>
      <w:lvlText w:val="-"/>
      <w:lvlJc w:val="left"/>
      <w:pPr>
        <w:ind w:left="1503" w:hanging="360"/>
      </w:pPr>
      <w:rPr>
        <w:rFonts w:ascii="Times New Roman" w:eastAsia="Times New Roman" w:hAnsi="Times New Roman" w:cs="Times New Roman" w:hint="default"/>
        <w:sz w:val="24"/>
      </w:rPr>
    </w:lvl>
    <w:lvl w:ilvl="1" w:tplc="041B0003">
      <w:start w:val="1"/>
      <w:numFmt w:val="bullet"/>
      <w:lvlText w:val="o"/>
      <w:lvlJc w:val="left"/>
      <w:pPr>
        <w:ind w:left="2223" w:hanging="360"/>
      </w:pPr>
      <w:rPr>
        <w:rFonts w:ascii="Courier New" w:hAnsi="Courier New" w:cs="Courier New" w:hint="default"/>
      </w:rPr>
    </w:lvl>
    <w:lvl w:ilvl="2" w:tplc="041B0005" w:tentative="1">
      <w:start w:val="1"/>
      <w:numFmt w:val="bullet"/>
      <w:lvlText w:val=""/>
      <w:lvlJc w:val="left"/>
      <w:pPr>
        <w:ind w:left="2943" w:hanging="360"/>
      </w:pPr>
      <w:rPr>
        <w:rFonts w:ascii="Wingdings" w:hAnsi="Wingdings" w:hint="default"/>
      </w:rPr>
    </w:lvl>
    <w:lvl w:ilvl="3" w:tplc="041B0001" w:tentative="1">
      <w:start w:val="1"/>
      <w:numFmt w:val="bullet"/>
      <w:lvlText w:val=""/>
      <w:lvlJc w:val="left"/>
      <w:pPr>
        <w:ind w:left="3663" w:hanging="360"/>
      </w:pPr>
      <w:rPr>
        <w:rFonts w:ascii="Symbol" w:hAnsi="Symbol" w:hint="default"/>
      </w:rPr>
    </w:lvl>
    <w:lvl w:ilvl="4" w:tplc="041B0003" w:tentative="1">
      <w:start w:val="1"/>
      <w:numFmt w:val="bullet"/>
      <w:lvlText w:val="o"/>
      <w:lvlJc w:val="left"/>
      <w:pPr>
        <w:ind w:left="4383" w:hanging="360"/>
      </w:pPr>
      <w:rPr>
        <w:rFonts w:ascii="Courier New" w:hAnsi="Courier New" w:cs="Courier New" w:hint="default"/>
      </w:rPr>
    </w:lvl>
    <w:lvl w:ilvl="5" w:tplc="041B0005" w:tentative="1">
      <w:start w:val="1"/>
      <w:numFmt w:val="bullet"/>
      <w:lvlText w:val=""/>
      <w:lvlJc w:val="left"/>
      <w:pPr>
        <w:ind w:left="5103" w:hanging="360"/>
      </w:pPr>
      <w:rPr>
        <w:rFonts w:ascii="Wingdings" w:hAnsi="Wingdings" w:hint="default"/>
      </w:rPr>
    </w:lvl>
    <w:lvl w:ilvl="6" w:tplc="041B0001" w:tentative="1">
      <w:start w:val="1"/>
      <w:numFmt w:val="bullet"/>
      <w:lvlText w:val=""/>
      <w:lvlJc w:val="left"/>
      <w:pPr>
        <w:ind w:left="5823" w:hanging="360"/>
      </w:pPr>
      <w:rPr>
        <w:rFonts w:ascii="Symbol" w:hAnsi="Symbol" w:hint="default"/>
      </w:rPr>
    </w:lvl>
    <w:lvl w:ilvl="7" w:tplc="041B0003" w:tentative="1">
      <w:start w:val="1"/>
      <w:numFmt w:val="bullet"/>
      <w:lvlText w:val="o"/>
      <w:lvlJc w:val="left"/>
      <w:pPr>
        <w:ind w:left="6543" w:hanging="360"/>
      </w:pPr>
      <w:rPr>
        <w:rFonts w:ascii="Courier New" w:hAnsi="Courier New" w:cs="Courier New" w:hint="default"/>
      </w:rPr>
    </w:lvl>
    <w:lvl w:ilvl="8" w:tplc="041B0005" w:tentative="1">
      <w:start w:val="1"/>
      <w:numFmt w:val="bullet"/>
      <w:lvlText w:val=""/>
      <w:lvlJc w:val="left"/>
      <w:pPr>
        <w:ind w:left="7263" w:hanging="360"/>
      </w:pPr>
      <w:rPr>
        <w:rFonts w:ascii="Wingdings" w:hAnsi="Wingdings" w:hint="default"/>
      </w:rPr>
    </w:lvl>
  </w:abstractNum>
  <w:abstractNum w:abstractNumId="30" w15:restartNumberingAfterBreak="0">
    <w:nsid w:val="75353BC3"/>
    <w:multiLevelType w:val="multilevel"/>
    <w:tmpl w:val="CAD85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5E6116"/>
    <w:multiLevelType w:val="multilevel"/>
    <w:tmpl w:val="AABEB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502D31"/>
    <w:multiLevelType w:val="hybridMultilevel"/>
    <w:tmpl w:val="9C2824F2"/>
    <w:lvl w:ilvl="0" w:tplc="CBE46094">
      <w:start w:val="5"/>
      <w:numFmt w:val="bullet"/>
      <w:lvlText w:val="-"/>
      <w:lvlJc w:val="left"/>
      <w:pPr>
        <w:ind w:left="1818" w:hanging="360"/>
      </w:pPr>
      <w:rPr>
        <w:rFonts w:ascii="Times New Roman" w:eastAsia="Times New Roman" w:hAnsi="Times New Roman" w:cs="Times New Roman" w:hint="default"/>
        <w:sz w:val="24"/>
      </w:rPr>
    </w:lvl>
    <w:lvl w:ilvl="1" w:tplc="041B0003" w:tentative="1">
      <w:start w:val="1"/>
      <w:numFmt w:val="bullet"/>
      <w:lvlText w:val="o"/>
      <w:lvlJc w:val="left"/>
      <w:pPr>
        <w:ind w:left="2538" w:hanging="360"/>
      </w:pPr>
      <w:rPr>
        <w:rFonts w:ascii="Courier New" w:hAnsi="Courier New" w:cs="Courier New" w:hint="default"/>
      </w:rPr>
    </w:lvl>
    <w:lvl w:ilvl="2" w:tplc="041B0005" w:tentative="1">
      <w:start w:val="1"/>
      <w:numFmt w:val="bullet"/>
      <w:lvlText w:val=""/>
      <w:lvlJc w:val="left"/>
      <w:pPr>
        <w:ind w:left="3258" w:hanging="360"/>
      </w:pPr>
      <w:rPr>
        <w:rFonts w:ascii="Wingdings" w:hAnsi="Wingdings" w:hint="default"/>
      </w:rPr>
    </w:lvl>
    <w:lvl w:ilvl="3" w:tplc="041B0001" w:tentative="1">
      <w:start w:val="1"/>
      <w:numFmt w:val="bullet"/>
      <w:lvlText w:val=""/>
      <w:lvlJc w:val="left"/>
      <w:pPr>
        <w:ind w:left="3978" w:hanging="360"/>
      </w:pPr>
      <w:rPr>
        <w:rFonts w:ascii="Symbol" w:hAnsi="Symbol" w:hint="default"/>
      </w:rPr>
    </w:lvl>
    <w:lvl w:ilvl="4" w:tplc="041B0003" w:tentative="1">
      <w:start w:val="1"/>
      <w:numFmt w:val="bullet"/>
      <w:lvlText w:val="o"/>
      <w:lvlJc w:val="left"/>
      <w:pPr>
        <w:ind w:left="4698" w:hanging="360"/>
      </w:pPr>
      <w:rPr>
        <w:rFonts w:ascii="Courier New" w:hAnsi="Courier New" w:cs="Courier New" w:hint="default"/>
      </w:rPr>
    </w:lvl>
    <w:lvl w:ilvl="5" w:tplc="041B0005" w:tentative="1">
      <w:start w:val="1"/>
      <w:numFmt w:val="bullet"/>
      <w:lvlText w:val=""/>
      <w:lvlJc w:val="left"/>
      <w:pPr>
        <w:ind w:left="5418" w:hanging="360"/>
      </w:pPr>
      <w:rPr>
        <w:rFonts w:ascii="Wingdings" w:hAnsi="Wingdings" w:hint="default"/>
      </w:rPr>
    </w:lvl>
    <w:lvl w:ilvl="6" w:tplc="041B0001" w:tentative="1">
      <w:start w:val="1"/>
      <w:numFmt w:val="bullet"/>
      <w:lvlText w:val=""/>
      <w:lvlJc w:val="left"/>
      <w:pPr>
        <w:ind w:left="6138" w:hanging="360"/>
      </w:pPr>
      <w:rPr>
        <w:rFonts w:ascii="Symbol" w:hAnsi="Symbol" w:hint="default"/>
      </w:rPr>
    </w:lvl>
    <w:lvl w:ilvl="7" w:tplc="041B0003" w:tentative="1">
      <w:start w:val="1"/>
      <w:numFmt w:val="bullet"/>
      <w:lvlText w:val="o"/>
      <w:lvlJc w:val="left"/>
      <w:pPr>
        <w:ind w:left="6858" w:hanging="360"/>
      </w:pPr>
      <w:rPr>
        <w:rFonts w:ascii="Courier New" w:hAnsi="Courier New" w:cs="Courier New" w:hint="default"/>
      </w:rPr>
    </w:lvl>
    <w:lvl w:ilvl="8" w:tplc="041B0005" w:tentative="1">
      <w:start w:val="1"/>
      <w:numFmt w:val="bullet"/>
      <w:lvlText w:val=""/>
      <w:lvlJc w:val="left"/>
      <w:pPr>
        <w:ind w:left="7578" w:hanging="360"/>
      </w:pPr>
      <w:rPr>
        <w:rFonts w:ascii="Wingdings" w:hAnsi="Wingdings" w:hint="default"/>
      </w:rPr>
    </w:lvl>
  </w:abstractNum>
  <w:abstractNum w:abstractNumId="33" w15:restartNumberingAfterBreak="0">
    <w:nsid w:val="7A6E21CB"/>
    <w:multiLevelType w:val="hybridMultilevel"/>
    <w:tmpl w:val="82E61948"/>
    <w:lvl w:ilvl="0" w:tplc="FB163618">
      <w:start w:val="13"/>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4" w15:restartNumberingAfterBreak="0">
    <w:nsid w:val="7A7A5EC0"/>
    <w:multiLevelType w:val="hybridMultilevel"/>
    <w:tmpl w:val="135AB3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ACB0858"/>
    <w:multiLevelType w:val="hybridMultilevel"/>
    <w:tmpl w:val="242AC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4"/>
  </w:num>
  <w:num w:numId="2">
    <w:abstractNumId w:val="8"/>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0"/>
  </w:num>
  <w:num w:numId="6">
    <w:abstractNumId w:val="5"/>
  </w:num>
  <w:num w:numId="7">
    <w:abstractNumId w:val="31"/>
  </w:num>
  <w:num w:numId="8">
    <w:abstractNumId w:val="30"/>
  </w:num>
  <w:num w:numId="9">
    <w:abstractNumId w:val="3"/>
  </w:num>
  <w:num w:numId="10">
    <w:abstractNumId w:val="7"/>
  </w:num>
  <w:num w:numId="11">
    <w:abstractNumId w:val="2"/>
  </w:num>
  <w:num w:numId="12">
    <w:abstractNumId w:val="18"/>
  </w:num>
  <w:num w:numId="13">
    <w:abstractNumId w:val="33"/>
  </w:num>
  <w:num w:numId="14">
    <w:abstractNumId w:val="4"/>
  </w:num>
  <w:num w:numId="15">
    <w:abstractNumId w:val="6"/>
  </w:num>
  <w:num w:numId="16">
    <w:abstractNumId w:val="10"/>
  </w:num>
  <w:num w:numId="17">
    <w:abstractNumId w:val="24"/>
  </w:num>
  <w:num w:numId="18">
    <w:abstractNumId w:val="20"/>
  </w:num>
  <w:num w:numId="19">
    <w:abstractNumId w:val="17"/>
  </w:num>
  <w:num w:numId="20">
    <w:abstractNumId w:val="11"/>
  </w:num>
  <w:num w:numId="21">
    <w:abstractNumId w:val="29"/>
  </w:num>
  <w:num w:numId="22">
    <w:abstractNumId w:val="32"/>
  </w:num>
  <w:num w:numId="23">
    <w:abstractNumId w:val="37"/>
  </w:num>
  <w:num w:numId="24">
    <w:abstractNumId w:val="35"/>
  </w:num>
  <w:num w:numId="25">
    <w:abstractNumId w:val="23"/>
  </w:num>
  <w:num w:numId="26">
    <w:abstractNumId w:val="16"/>
  </w:num>
  <w:num w:numId="27">
    <w:abstractNumId w:val="26"/>
  </w:num>
  <w:num w:numId="28">
    <w:abstractNumId w:val="25"/>
  </w:num>
  <w:num w:numId="29">
    <w:abstractNumId w:val="9"/>
  </w:num>
  <w:num w:numId="30">
    <w:abstractNumId w:val="21"/>
  </w:num>
  <w:num w:numId="31">
    <w:abstractNumId w:val="28"/>
  </w:num>
  <w:num w:numId="32">
    <w:abstractNumId w:val="13"/>
  </w:num>
  <w:num w:numId="33">
    <w:abstractNumId w:val="1"/>
  </w:num>
  <w:num w:numId="34">
    <w:abstractNumId w:val="36"/>
  </w:num>
  <w:num w:numId="35">
    <w:abstractNumId w:val="22"/>
  </w:num>
  <w:num w:numId="36">
    <w:abstractNumId w:val="15"/>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20"/>
    <w:rsid w:val="00004023"/>
    <w:rsid w:val="000049B0"/>
    <w:rsid w:val="00005055"/>
    <w:rsid w:val="0000512F"/>
    <w:rsid w:val="00011FE8"/>
    <w:rsid w:val="00012195"/>
    <w:rsid w:val="000151BA"/>
    <w:rsid w:val="00016451"/>
    <w:rsid w:val="00021080"/>
    <w:rsid w:val="0002328F"/>
    <w:rsid w:val="00024274"/>
    <w:rsid w:val="0002474D"/>
    <w:rsid w:val="00025E1E"/>
    <w:rsid w:val="0003551D"/>
    <w:rsid w:val="000368C4"/>
    <w:rsid w:val="0004109D"/>
    <w:rsid w:val="0004373F"/>
    <w:rsid w:val="00044C4E"/>
    <w:rsid w:val="00050434"/>
    <w:rsid w:val="00053AF0"/>
    <w:rsid w:val="000561DD"/>
    <w:rsid w:val="00060DB2"/>
    <w:rsid w:val="000623A2"/>
    <w:rsid w:val="000651DD"/>
    <w:rsid w:val="000678D7"/>
    <w:rsid w:val="00074BA9"/>
    <w:rsid w:val="00076BE2"/>
    <w:rsid w:val="00087CB9"/>
    <w:rsid w:val="00090691"/>
    <w:rsid w:val="00092BD3"/>
    <w:rsid w:val="000A0EEB"/>
    <w:rsid w:val="000A59D7"/>
    <w:rsid w:val="000A782D"/>
    <w:rsid w:val="000B32CC"/>
    <w:rsid w:val="000B3E7B"/>
    <w:rsid w:val="000B7778"/>
    <w:rsid w:val="000C05FC"/>
    <w:rsid w:val="000C08DB"/>
    <w:rsid w:val="000C0AFD"/>
    <w:rsid w:val="000C0E9D"/>
    <w:rsid w:val="000C197D"/>
    <w:rsid w:val="000C2933"/>
    <w:rsid w:val="000C2BDE"/>
    <w:rsid w:val="000C50BE"/>
    <w:rsid w:val="000C725F"/>
    <w:rsid w:val="000E047C"/>
    <w:rsid w:val="000F1952"/>
    <w:rsid w:val="000F3E29"/>
    <w:rsid w:val="000F4C1A"/>
    <w:rsid w:val="00100232"/>
    <w:rsid w:val="00103891"/>
    <w:rsid w:val="00103E0B"/>
    <w:rsid w:val="0010643F"/>
    <w:rsid w:val="00106699"/>
    <w:rsid w:val="001112E9"/>
    <w:rsid w:val="00112030"/>
    <w:rsid w:val="00112381"/>
    <w:rsid w:val="00113EFE"/>
    <w:rsid w:val="00120CA6"/>
    <w:rsid w:val="00121125"/>
    <w:rsid w:val="00121A38"/>
    <w:rsid w:val="001236D4"/>
    <w:rsid w:val="00123B70"/>
    <w:rsid w:val="00125F65"/>
    <w:rsid w:val="00131EA5"/>
    <w:rsid w:val="00134254"/>
    <w:rsid w:val="00135D87"/>
    <w:rsid w:val="00137851"/>
    <w:rsid w:val="001405CA"/>
    <w:rsid w:val="00140BED"/>
    <w:rsid w:val="001423B1"/>
    <w:rsid w:val="001423B4"/>
    <w:rsid w:val="00142FD9"/>
    <w:rsid w:val="00143E13"/>
    <w:rsid w:val="00146170"/>
    <w:rsid w:val="001477FB"/>
    <w:rsid w:val="00147CC7"/>
    <w:rsid w:val="00147F2D"/>
    <w:rsid w:val="001500AB"/>
    <w:rsid w:val="00150EAD"/>
    <w:rsid w:val="00152703"/>
    <w:rsid w:val="001555FE"/>
    <w:rsid w:val="00155FC9"/>
    <w:rsid w:val="0015725D"/>
    <w:rsid w:val="00162398"/>
    <w:rsid w:val="0016331A"/>
    <w:rsid w:val="001646E9"/>
    <w:rsid w:val="001655BF"/>
    <w:rsid w:val="00166BFF"/>
    <w:rsid w:val="001676B9"/>
    <w:rsid w:val="001678C2"/>
    <w:rsid w:val="00175CA1"/>
    <w:rsid w:val="00175D11"/>
    <w:rsid w:val="00175FD2"/>
    <w:rsid w:val="00182F68"/>
    <w:rsid w:val="00186DAD"/>
    <w:rsid w:val="0018782A"/>
    <w:rsid w:val="00187C19"/>
    <w:rsid w:val="00192EE3"/>
    <w:rsid w:val="00194FA8"/>
    <w:rsid w:val="00196516"/>
    <w:rsid w:val="001A4847"/>
    <w:rsid w:val="001B1369"/>
    <w:rsid w:val="001B2A67"/>
    <w:rsid w:val="001B37BE"/>
    <w:rsid w:val="001B78FD"/>
    <w:rsid w:val="001C3749"/>
    <w:rsid w:val="001D07CF"/>
    <w:rsid w:val="001D15CC"/>
    <w:rsid w:val="001D2FA7"/>
    <w:rsid w:val="001D30BC"/>
    <w:rsid w:val="001E4B49"/>
    <w:rsid w:val="001F0FF5"/>
    <w:rsid w:val="001F10CC"/>
    <w:rsid w:val="001F3EE2"/>
    <w:rsid w:val="001F52BB"/>
    <w:rsid w:val="001F6583"/>
    <w:rsid w:val="001F695D"/>
    <w:rsid w:val="001F6DB4"/>
    <w:rsid w:val="002022EB"/>
    <w:rsid w:val="00202EF3"/>
    <w:rsid w:val="00206006"/>
    <w:rsid w:val="00210498"/>
    <w:rsid w:val="00210CA6"/>
    <w:rsid w:val="00210D1D"/>
    <w:rsid w:val="00214470"/>
    <w:rsid w:val="0022066D"/>
    <w:rsid w:val="00221378"/>
    <w:rsid w:val="00224D73"/>
    <w:rsid w:val="00227F9E"/>
    <w:rsid w:val="00230078"/>
    <w:rsid w:val="00233460"/>
    <w:rsid w:val="00235B83"/>
    <w:rsid w:val="00236943"/>
    <w:rsid w:val="002424EC"/>
    <w:rsid w:val="00242610"/>
    <w:rsid w:val="00243C7D"/>
    <w:rsid w:val="00244D68"/>
    <w:rsid w:val="00247598"/>
    <w:rsid w:val="00255BCD"/>
    <w:rsid w:val="002566AC"/>
    <w:rsid w:val="00264709"/>
    <w:rsid w:val="0026547E"/>
    <w:rsid w:val="00273AE4"/>
    <w:rsid w:val="002746D7"/>
    <w:rsid w:val="00277CB7"/>
    <w:rsid w:val="002832A6"/>
    <w:rsid w:val="002845D8"/>
    <w:rsid w:val="00286E8D"/>
    <w:rsid w:val="002870E4"/>
    <w:rsid w:val="002900A9"/>
    <w:rsid w:val="00290D0C"/>
    <w:rsid w:val="00292BEF"/>
    <w:rsid w:val="00294263"/>
    <w:rsid w:val="00294FDA"/>
    <w:rsid w:val="00295C72"/>
    <w:rsid w:val="00296389"/>
    <w:rsid w:val="002A0BFC"/>
    <w:rsid w:val="002A4B93"/>
    <w:rsid w:val="002A4D71"/>
    <w:rsid w:val="002A7F3E"/>
    <w:rsid w:val="002B242F"/>
    <w:rsid w:val="002B464C"/>
    <w:rsid w:val="002B7500"/>
    <w:rsid w:val="002C234D"/>
    <w:rsid w:val="002C3DDB"/>
    <w:rsid w:val="002D34EC"/>
    <w:rsid w:val="002D5978"/>
    <w:rsid w:val="002E152A"/>
    <w:rsid w:val="002E279A"/>
    <w:rsid w:val="002E2B5F"/>
    <w:rsid w:val="002E515F"/>
    <w:rsid w:val="002E671B"/>
    <w:rsid w:val="002E7A8F"/>
    <w:rsid w:val="002F1810"/>
    <w:rsid w:val="002F1F71"/>
    <w:rsid w:val="002F2CDA"/>
    <w:rsid w:val="002F7369"/>
    <w:rsid w:val="002F737E"/>
    <w:rsid w:val="003073BA"/>
    <w:rsid w:val="003074BF"/>
    <w:rsid w:val="00311726"/>
    <w:rsid w:val="00311AC2"/>
    <w:rsid w:val="00312E05"/>
    <w:rsid w:val="00313DA0"/>
    <w:rsid w:val="00314282"/>
    <w:rsid w:val="00322BE8"/>
    <w:rsid w:val="00323714"/>
    <w:rsid w:val="003276A4"/>
    <w:rsid w:val="00332653"/>
    <w:rsid w:val="00335CF9"/>
    <w:rsid w:val="003418AE"/>
    <w:rsid w:val="003418C0"/>
    <w:rsid w:val="00342B80"/>
    <w:rsid w:val="003454A5"/>
    <w:rsid w:val="00351449"/>
    <w:rsid w:val="00351478"/>
    <w:rsid w:val="00353488"/>
    <w:rsid w:val="003544D4"/>
    <w:rsid w:val="00355C06"/>
    <w:rsid w:val="00357320"/>
    <w:rsid w:val="00360186"/>
    <w:rsid w:val="00360A9C"/>
    <w:rsid w:val="00361F54"/>
    <w:rsid w:val="0036564A"/>
    <w:rsid w:val="00366A40"/>
    <w:rsid w:val="00372683"/>
    <w:rsid w:val="003740D4"/>
    <w:rsid w:val="003744D4"/>
    <w:rsid w:val="003748E6"/>
    <w:rsid w:val="00375BB9"/>
    <w:rsid w:val="00376F2D"/>
    <w:rsid w:val="00382E68"/>
    <w:rsid w:val="00385DCF"/>
    <w:rsid w:val="00390A7B"/>
    <w:rsid w:val="0039263E"/>
    <w:rsid w:val="003932BF"/>
    <w:rsid w:val="00394176"/>
    <w:rsid w:val="003976AD"/>
    <w:rsid w:val="003A05FD"/>
    <w:rsid w:val="003A3802"/>
    <w:rsid w:val="003A3C81"/>
    <w:rsid w:val="003A7BAB"/>
    <w:rsid w:val="003B417A"/>
    <w:rsid w:val="003C1867"/>
    <w:rsid w:val="003C1AB1"/>
    <w:rsid w:val="003C4343"/>
    <w:rsid w:val="003C4AA6"/>
    <w:rsid w:val="003C775D"/>
    <w:rsid w:val="003E21CF"/>
    <w:rsid w:val="003E6C7E"/>
    <w:rsid w:val="003F08D1"/>
    <w:rsid w:val="003F0EBA"/>
    <w:rsid w:val="003F21DE"/>
    <w:rsid w:val="003F4041"/>
    <w:rsid w:val="003F5080"/>
    <w:rsid w:val="003F6381"/>
    <w:rsid w:val="004025C8"/>
    <w:rsid w:val="00404C0C"/>
    <w:rsid w:val="00404ECD"/>
    <w:rsid w:val="004119CC"/>
    <w:rsid w:val="004127D4"/>
    <w:rsid w:val="0041456C"/>
    <w:rsid w:val="004153E6"/>
    <w:rsid w:val="00420F2D"/>
    <w:rsid w:val="00426537"/>
    <w:rsid w:val="004310E3"/>
    <w:rsid w:val="004330B4"/>
    <w:rsid w:val="0043727A"/>
    <w:rsid w:val="00440921"/>
    <w:rsid w:val="0044606C"/>
    <w:rsid w:val="00446A19"/>
    <w:rsid w:val="004514CE"/>
    <w:rsid w:val="00452750"/>
    <w:rsid w:val="00452A60"/>
    <w:rsid w:val="0045342B"/>
    <w:rsid w:val="00453784"/>
    <w:rsid w:val="00453FDE"/>
    <w:rsid w:val="0046320D"/>
    <w:rsid w:val="004652E2"/>
    <w:rsid w:val="004659AD"/>
    <w:rsid w:val="00470ABE"/>
    <w:rsid w:val="004759D7"/>
    <w:rsid w:val="00477480"/>
    <w:rsid w:val="00480285"/>
    <w:rsid w:val="00480BFA"/>
    <w:rsid w:val="00480F98"/>
    <w:rsid w:val="00484E39"/>
    <w:rsid w:val="00487BCD"/>
    <w:rsid w:val="00495B25"/>
    <w:rsid w:val="00495C79"/>
    <w:rsid w:val="004976A5"/>
    <w:rsid w:val="004A65EB"/>
    <w:rsid w:val="004A7C73"/>
    <w:rsid w:val="004B2028"/>
    <w:rsid w:val="004B5ABF"/>
    <w:rsid w:val="004B5C6B"/>
    <w:rsid w:val="004B6107"/>
    <w:rsid w:val="004C195B"/>
    <w:rsid w:val="004C343B"/>
    <w:rsid w:val="004C6217"/>
    <w:rsid w:val="004C6D68"/>
    <w:rsid w:val="004D09F6"/>
    <w:rsid w:val="004D5BD0"/>
    <w:rsid w:val="004D6F5F"/>
    <w:rsid w:val="004E0929"/>
    <w:rsid w:val="004E3029"/>
    <w:rsid w:val="004F07CA"/>
    <w:rsid w:val="004F6831"/>
    <w:rsid w:val="004F6C85"/>
    <w:rsid w:val="0050007B"/>
    <w:rsid w:val="00502FE8"/>
    <w:rsid w:val="005068B4"/>
    <w:rsid w:val="005076D7"/>
    <w:rsid w:val="0051019F"/>
    <w:rsid w:val="0051133C"/>
    <w:rsid w:val="00511C2D"/>
    <w:rsid w:val="0051364A"/>
    <w:rsid w:val="00513B68"/>
    <w:rsid w:val="00516AAC"/>
    <w:rsid w:val="00517E04"/>
    <w:rsid w:val="00520738"/>
    <w:rsid w:val="00525984"/>
    <w:rsid w:val="0053313D"/>
    <w:rsid w:val="005361F9"/>
    <w:rsid w:val="005376DE"/>
    <w:rsid w:val="00537741"/>
    <w:rsid w:val="005416D9"/>
    <w:rsid w:val="00544434"/>
    <w:rsid w:val="00546A04"/>
    <w:rsid w:val="00550302"/>
    <w:rsid w:val="00551A45"/>
    <w:rsid w:val="005531E9"/>
    <w:rsid w:val="005541D8"/>
    <w:rsid w:val="00554949"/>
    <w:rsid w:val="00554CFD"/>
    <w:rsid w:val="005552F2"/>
    <w:rsid w:val="00555510"/>
    <w:rsid w:val="00562C76"/>
    <w:rsid w:val="005630DB"/>
    <w:rsid w:val="00566DEC"/>
    <w:rsid w:val="00571750"/>
    <w:rsid w:val="0057368A"/>
    <w:rsid w:val="005757DB"/>
    <w:rsid w:val="00575855"/>
    <w:rsid w:val="00576C2D"/>
    <w:rsid w:val="00576D96"/>
    <w:rsid w:val="0057738A"/>
    <w:rsid w:val="005839FC"/>
    <w:rsid w:val="00584F14"/>
    <w:rsid w:val="0059014C"/>
    <w:rsid w:val="0059370E"/>
    <w:rsid w:val="0059424E"/>
    <w:rsid w:val="00594B61"/>
    <w:rsid w:val="00594D3E"/>
    <w:rsid w:val="005A0F0B"/>
    <w:rsid w:val="005A3105"/>
    <w:rsid w:val="005A339B"/>
    <w:rsid w:val="005A5864"/>
    <w:rsid w:val="005B6EB3"/>
    <w:rsid w:val="005B7547"/>
    <w:rsid w:val="005B7D61"/>
    <w:rsid w:val="005C12F2"/>
    <w:rsid w:val="005C21DF"/>
    <w:rsid w:val="005C405E"/>
    <w:rsid w:val="005C5A7A"/>
    <w:rsid w:val="005C7931"/>
    <w:rsid w:val="005D0F3C"/>
    <w:rsid w:val="005D5A09"/>
    <w:rsid w:val="005D6086"/>
    <w:rsid w:val="005D7C38"/>
    <w:rsid w:val="005E468F"/>
    <w:rsid w:val="005E50B1"/>
    <w:rsid w:val="005F0C84"/>
    <w:rsid w:val="005F2934"/>
    <w:rsid w:val="005F2F1D"/>
    <w:rsid w:val="005F462A"/>
    <w:rsid w:val="00602B65"/>
    <w:rsid w:val="00613345"/>
    <w:rsid w:val="006137A8"/>
    <w:rsid w:val="0061497C"/>
    <w:rsid w:val="00621577"/>
    <w:rsid w:val="0062157C"/>
    <w:rsid w:val="0062252A"/>
    <w:rsid w:val="00626521"/>
    <w:rsid w:val="006309F7"/>
    <w:rsid w:val="00630DE1"/>
    <w:rsid w:val="006314C5"/>
    <w:rsid w:val="00632B65"/>
    <w:rsid w:val="006330D6"/>
    <w:rsid w:val="006334CB"/>
    <w:rsid w:val="006348B7"/>
    <w:rsid w:val="00636638"/>
    <w:rsid w:val="00637895"/>
    <w:rsid w:val="006460B3"/>
    <w:rsid w:val="006462FB"/>
    <w:rsid w:val="006473B9"/>
    <w:rsid w:val="0064796D"/>
    <w:rsid w:val="00647FD1"/>
    <w:rsid w:val="0065564B"/>
    <w:rsid w:val="00660AEE"/>
    <w:rsid w:val="00663B97"/>
    <w:rsid w:val="00665A33"/>
    <w:rsid w:val="00670CD9"/>
    <w:rsid w:val="00671FAD"/>
    <w:rsid w:val="006762D5"/>
    <w:rsid w:val="00680718"/>
    <w:rsid w:val="0068174F"/>
    <w:rsid w:val="0068260A"/>
    <w:rsid w:val="00694148"/>
    <w:rsid w:val="0069529D"/>
    <w:rsid w:val="006A1189"/>
    <w:rsid w:val="006A5FE7"/>
    <w:rsid w:val="006A70F8"/>
    <w:rsid w:val="006B225A"/>
    <w:rsid w:val="006B296A"/>
    <w:rsid w:val="006B4BA4"/>
    <w:rsid w:val="006B4DC0"/>
    <w:rsid w:val="006C7060"/>
    <w:rsid w:val="006D2928"/>
    <w:rsid w:val="006D364D"/>
    <w:rsid w:val="006D7403"/>
    <w:rsid w:val="006E06F4"/>
    <w:rsid w:val="006E4A51"/>
    <w:rsid w:val="006E4BCA"/>
    <w:rsid w:val="006E65B3"/>
    <w:rsid w:val="006E7783"/>
    <w:rsid w:val="006F1F2A"/>
    <w:rsid w:val="006F478C"/>
    <w:rsid w:val="006F5A90"/>
    <w:rsid w:val="006F641D"/>
    <w:rsid w:val="006F6A79"/>
    <w:rsid w:val="00700558"/>
    <w:rsid w:val="00700566"/>
    <w:rsid w:val="0070258E"/>
    <w:rsid w:val="00704A1A"/>
    <w:rsid w:val="00711447"/>
    <w:rsid w:val="00716EDC"/>
    <w:rsid w:val="00720B9A"/>
    <w:rsid w:val="007210A8"/>
    <w:rsid w:val="00722B56"/>
    <w:rsid w:val="007242E3"/>
    <w:rsid w:val="00727078"/>
    <w:rsid w:val="007335E1"/>
    <w:rsid w:val="00734FB8"/>
    <w:rsid w:val="007353D0"/>
    <w:rsid w:val="00735A6F"/>
    <w:rsid w:val="00736EF5"/>
    <w:rsid w:val="00736FB7"/>
    <w:rsid w:val="00740149"/>
    <w:rsid w:val="00741B8E"/>
    <w:rsid w:val="00744736"/>
    <w:rsid w:val="007451F7"/>
    <w:rsid w:val="0074556A"/>
    <w:rsid w:val="0074789E"/>
    <w:rsid w:val="00750466"/>
    <w:rsid w:val="00751ED9"/>
    <w:rsid w:val="00752A46"/>
    <w:rsid w:val="00753AFB"/>
    <w:rsid w:val="00755220"/>
    <w:rsid w:val="00755E29"/>
    <w:rsid w:val="00756648"/>
    <w:rsid w:val="0075665A"/>
    <w:rsid w:val="007572DC"/>
    <w:rsid w:val="007623F8"/>
    <w:rsid w:val="007629EA"/>
    <w:rsid w:val="00763385"/>
    <w:rsid w:val="00765260"/>
    <w:rsid w:val="00765F30"/>
    <w:rsid w:val="00766F9D"/>
    <w:rsid w:val="00773C2D"/>
    <w:rsid w:val="00776D7C"/>
    <w:rsid w:val="0078048C"/>
    <w:rsid w:val="0078152D"/>
    <w:rsid w:val="00782692"/>
    <w:rsid w:val="00783C08"/>
    <w:rsid w:val="007840CD"/>
    <w:rsid w:val="007848D4"/>
    <w:rsid w:val="00784ED5"/>
    <w:rsid w:val="00790A46"/>
    <w:rsid w:val="00793A28"/>
    <w:rsid w:val="007950FE"/>
    <w:rsid w:val="007951D3"/>
    <w:rsid w:val="007954E6"/>
    <w:rsid w:val="00796CEF"/>
    <w:rsid w:val="007A2950"/>
    <w:rsid w:val="007A4271"/>
    <w:rsid w:val="007A5FE0"/>
    <w:rsid w:val="007B79C1"/>
    <w:rsid w:val="007C113A"/>
    <w:rsid w:val="007C2014"/>
    <w:rsid w:val="007C2290"/>
    <w:rsid w:val="007C477B"/>
    <w:rsid w:val="007C4F8F"/>
    <w:rsid w:val="007C6C73"/>
    <w:rsid w:val="007D0FF8"/>
    <w:rsid w:val="007D20CC"/>
    <w:rsid w:val="007D2F8E"/>
    <w:rsid w:val="007D7EBB"/>
    <w:rsid w:val="007E1671"/>
    <w:rsid w:val="007E1866"/>
    <w:rsid w:val="007E1CA3"/>
    <w:rsid w:val="007E2EDF"/>
    <w:rsid w:val="007E56D6"/>
    <w:rsid w:val="007E6CDC"/>
    <w:rsid w:val="007F1BFD"/>
    <w:rsid w:val="007F5036"/>
    <w:rsid w:val="007F60E2"/>
    <w:rsid w:val="007F74DF"/>
    <w:rsid w:val="00804879"/>
    <w:rsid w:val="0081061A"/>
    <w:rsid w:val="00810FF7"/>
    <w:rsid w:val="00812221"/>
    <w:rsid w:val="008123FD"/>
    <w:rsid w:val="008124E2"/>
    <w:rsid w:val="00812FB1"/>
    <w:rsid w:val="00815C59"/>
    <w:rsid w:val="00817892"/>
    <w:rsid w:val="008229F7"/>
    <w:rsid w:val="00824EEC"/>
    <w:rsid w:val="00832312"/>
    <w:rsid w:val="00833DD6"/>
    <w:rsid w:val="008353A1"/>
    <w:rsid w:val="008457A0"/>
    <w:rsid w:val="00846625"/>
    <w:rsid w:val="0085528E"/>
    <w:rsid w:val="00860E97"/>
    <w:rsid w:val="00861E69"/>
    <w:rsid w:val="0086254C"/>
    <w:rsid w:val="00862D30"/>
    <w:rsid w:val="00865E3E"/>
    <w:rsid w:val="008673D4"/>
    <w:rsid w:val="008677D5"/>
    <w:rsid w:val="008677D6"/>
    <w:rsid w:val="00867C25"/>
    <w:rsid w:val="00870C63"/>
    <w:rsid w:val="00872396"/>
    <w:rsid w:val="008858F2"/>
    <w:rsid w:val="0088713A"/>
    <w:rsid w:val="00890873"/>
    <w:rsid w:val="00895155"/>
    <w:rsid w:val="00895706"/>
    <w:rsid w:val="00895E33"/>
    <w:rsid w:val="008A3792"/>
    <w:rsid w:val="008A3DF4"/>
    <w:rsid w:val="008A68D1"/>
    <w:rsid w:val="008A6A13"/>
    <w:rsid w:val="008A749E"/>
    <w:rsid w:val="008B0C6A"/>
    <w:rsid w:val="008B2411"/>
    <w:rsid w:val="008B610F"/>
    <w:rsid w:val="008B6FA4"/>
    <w:rsid w:val="008B79E2"/>
    <w:rsid w:val="008C2C4B"/>
    <w:rsid w:val="008C74D1"/>
    <w:rsid w:val="008D152D"/>
    <w:rsid w:val="008D548B"/>
    <w:rsid w:val="008E02C6"/>
    <w:rsid w:val="008E1407"/>
    <w:rsid w:val="008E5388"/>
    <w:rsid w:val="008E5A9B"/>
    <w:rsid w:val="008E691C"/>
    <w:rsid w:val="008F6A12"/>
    <w:rsid w:val="0090053A"/>
    <w:rsid w:val="00901E3C"/>
    <w:rsid w:val="009028E0"/>
    <w:rsid w:val="00903C00"/>
    <w:rsid w:val="00903EBF"/>
    <w:rsid w:val="00904F57"/>
    <w:rsid w:val="00907F4E"/>
    <w:rsid w:val="00917339"/>
    <w:rsid w:val="00937082"/>
    <w:rsid w:val="00940278"/>
    <w:rsid w:val="00941626"/>
    <w:rsid w:val="00942597"/>
    <w:rsid w:val="0094426D"/>
    <w:rsid w:val="00946412"/>
    <w:rsid w:val="00950364"/>
    <w:rsid w:val="00953A99"/>
    <w:rsid w:val="009563B4"/>
    <w:rsid w:val="00960E28"/>
    <w:rsid w:val="00975208"/>
    <w:rsid w:val="00980339"/>
    <w:rsid w:val="00984AA2"/>
    <w:rsid w:val="009858C8"/>
    <w:rsid w:val="0099085F"/>
    <w:rsid w:val="00991A7B"/>
    <w:rsid w:val="009922C6"/>
    <w:rsid w:val="009951BF"/>
    <w:rsid w:val="0099547A"/>
    <w:rsid w:val="00996851"/>
    <w:rsid w:val="009975D5"/>
    <w:rsid w:val="009A089E"/>
    <w:rsid w:val="009A0D5C"/>
    <w:rsid w:val="009A0EEF"/>
    <w:rsid w:val="009A1375"/>
    <w:rsid w:val="009A2310"/>
    <w:rsid w:val="009A2C7B"/>
    <w:rsid w:val="009A5DEC"/>
    <w:rsid w:val="009A611D"/>
    <w:rsid w:val="009B1E55"/>
    <w:rsid w:val="009B63B3"/>
    <w:rsid w:val="009B7E2D"/>
    <w:rsid w:val="009C518C"/>
    <w:rsid w:val="009C6F19"/>
    <w:rsid w:val="009C778D"/>
    <w:rsid w:val="009C7CCF"/>
    <w:rsid w:val="009D5C4A"/>
    <w:rsid w:val="009E165E"/>
    <w:rsid w:val="009E2633"/>
    <w:rsid w:val="009E2E88"/>
    <w:rsid w:val="009E4085"/>
    <w:rsid w:val="009F1526"/>
    <w:rsid w:val="009F17CF"/>
    <w:rsid w:val="009F19BC"/>
    <w:rsid w:val="009F1A30"/>
    <w:rsid w:val="00A02355"/>
    <w:rsid w:val="00A03B83"/>
    <w:rsid w:val="00A04A77"/>
    <w:rsid w:val="00A06490"/>
    <w:rsid w:val="00A07BC1"/>
    <w:rsid w:val="00A10B15"/>
    <w:rsid w:val="00A10F18"/>
    <w:rsid w:val="00A140BC"/>
    <w:rsid w:val="00A157E7"/>
    <w:rsid w:val="00A16401"/>
    <w:rsid w:val="00A21130"/>
    <w:rsid w:val="00A21235"/>
    <w:rsid w:val="00A2152F"/>
    <w:rsid w:val="00A22A20"/>
    <w:rsid w:val="00A22AFB"/>
    <w:rsid w:val="00A236B0"/>
    <w:rsid w:val="00A24E2F"/>
    <w:rsid w:val="00A25B57"/>
    <w:rsid w:val="00A30D2A"/>
    <w:rsid w:val="00A40537"/>
    <w:rsid w:val="00A4478A"/>
    <w:rsid w:val="00A50BDA"/>
    <w:rsid w:val="00A57490"/>
    <w:rsid w:val="00A57AD7"/>
    <w:rsid w:val="00A60B53"/>
    <w:rsid w:val="00A65CEE"/>
    <w:rsid w:val="00A6764F"/>
    <w:rsid w:val="00A67716"/>
    <w:rsid w:val="00A67B25"/>
    <w:rsid w:val="00A701A4"/>
    <w:rsid w:val="00A71072"/>
    <w:rsid w:val="00A72154"/>
    <w:rsid w:val="00A73B21"/>
    <w:rsid w:val="00A81127"/>
    <w:rsid w:val="00A813C2"/>
    <w:rsid w:val="00A81BFD"/>
    <w:rsid w:val="00A90DA0"/>
    <w:rsid w:val="00A93959"/>
    <w:rsid w:val="00A9406F"/>
    <w:rsid w:val="00A96781"/>
    <w:rsid w:val="00A967A8"/>
    <w:rsid w:val="00AA49FE"/>
    <w:rsid w:val="00AA56B9"/>
    <w:rsid w:val="00AB0882"/>
    <w:rsid w:val="00AB0D83"/>
    <w:rsid w:val="00AB1D7C"/>
    <w:rsid w:val="00AB25E1"/>
    <w:rsid w:val="00AB2D5B"/>
    <w:rsid w:val="00AC133C"/>
    <w:rsid w:val="00AC2AA8"/>
    <w:rsid w:val="00AC4B9E"/>
    <w:rsid w:val="00AC51DD"/>
    <w:rsid w:val="00AC65D8"/>
    <w:rsid w:val="00AD1BE5"/>
    <w:rsid w:val="00AD620D"/>
    <w:rsid w:val="00AE1326"/>
    <w:rsid w:val="00AE33D9"/>
    <w:rsid w:val="00AE53F2"/>
    <w:rsid w:val="00AE5FDC"/>
    <w:rsid w:val="00AF0E35"/>
    <w:rsid w:val="00AF13B6"/>
    <w:rsid w:val="00AF4021"/>
    <w:rsid w:val="00AF4BEB"/>
    <w:rsid w:val="00AF53D9"/>
    <w:rsid w:val="00B012E0"/>
    <w:rsid w:val="00B013F6"/>
    <w:rsid w:val="00B11546"/>
    <w:rsid w:val="00B11B5D"/>
    <w:rsid w:val="00B1653D"/>
    <w:rsid w:val="00B20C42"/>
    <w:rsid w:val="00B3100E"/>
    <w:rsid w:val="00B34259"/>
    <w:rsid w:val="00B3481B"/>
    <w:rsid w:val="00B377D9"/>
    <w:rsid w:val="00B37E73"/>
    <w:rsid w:val="00B42385"/>
    <w:rsid w:val="00B42898"/>
    <w:rsid w:val="00B430D3"/>
    <w:rsid w:val="00B432D5"/>
    <w:rsid w:val="00B43C96"/>
    <w:rsid w:val="00B534BD"/>
    <w:rsid w:val="00B56346"/>
    <w:rsid w:val="00B56621"/>
    <w:rsid w:val="00B56952"/>
    <w:rsid w:val="00B57D51"/>
    <w:rsid w:val="00B6059E"/>
    <w:rsid w:val="00B6161B"/>
    <w:rsid w:val="00B62201"/>
    <w:rsid w:val="00B656D5"/>
    <w:rsid w:val="00B661AD"/>
    <w:rsid w:val="00B66645"/>
    <w:rsid w:val="00B700A9"/>
    <w:rsid w:val="00B70B95"/>
    <w:rsid w:val="00B72900"/>
    <w:rsid w:val="00B73B3E"/>
    <w:rsid w:val="00B806AD"/>
    <w:rsid w:val="00B81FFC"/>
    <w:rsid w:val="00B879E4"/>
    <w:rsid w:val="00B87C4A"/>
    <w:rsid w:val="00B9010B"/>
    <w:rsid w:val="00B91E1B"/>
    <w:rsid w:val="00B9747C"/>
    <w:rsid w:val="00B97E26"/>
    <w:rsid w:val="00BA4262"/>
    <w:rsid w:val="00BA52AD"/>
    <w:rsid w:val="00BB0A2A"/>
    <w:rsid w:val="00BB1E60"/>
    <w:rsid w:val="00BB562D"/>
    <w:rsid w:val="00BC0073"/>
    <w:rsid w:val="00BC04EB"/>
    <w:rsid w:val="00BC0BD1"/>
    <w:rsid w:val="00BC1667"/>
    <w:rsid w:val="00BC24B3"/>
    <w:rsid w:val="00BC3621"/>
    <w:rsid w:val="00BC7C67"/>
    <w:rsid w:val="00BD57FC"/>
    <w:rsid w:val="00BD621D"/>
    <w:rsid w:val="00BD6D7D"/>
    <w:rsid w:val="00BD77CF"/>
    <w:rsid w:val="00BE0DD1"/>
    <w:rsid w:val="00BE0F42"/>
    <w:rsid w:val="00BE369E"/>
    <w:rsid w:val="00BE5445"/>
    <w:rsid w:val="00BF1788"/>
    <w:rsid w:val="00BF79EC"/>
    <w:rsid w:val="00BF7D52"/>
    <w:rsid w:val="00C07735"/>
    <w:rsid w:val="00C07EBB"/>
    <w:rsid w:val="00C12D36"/>
    <w:rsid w:val="00C14B52"/>
    <w:rsid w:val="00C2534A"/>
    <w:rsid w:val="00C25BBA"/>
    <w:rsid w:val="00C26DF0"/>
    <w:rsid w:val="00C33C72"/>
    <w:rsid w:val="00C3537C"/>
    <w:rsid w:val="00C40CC4"/>
    <w:rsid w:val="00C456CC"/>
    <w:rsid w:val="00C505C7"/>
    <w:rsid w:val="00C51A7A"/>
    <w:rsid w:val="00C51B44"/>
    <w:rsid w:val="00C605D7"/>
    <w:rsid w:val="00C6073E"/>
    <w:rsid w:val="00C66897"/>
    <w:rsid w:val="00C66C59"/>
    <w:rsid w:val="00C700A8"/>
    <w:rsid w:val="00C70955"/>
    <w:rsid w:val="00C74348"/>
    <w:rsid w:val="00C755D2"/>
    <w:rsid w:val="00C82527"/>
    <w:rsid w:val="00C82907"/>
    <w:rsid w:val="00C85128"/>
    <w:rsid w:val="00C85623"/>
    <w:rsid w:val="00C860F1"/>
    <w:rsid w:val="00C87CD0"/>
    <w:rsid w:val="00C87E68"/>
    <w:rsid w:val="00C90819"/>
    <w:rsid w:val="00C91112"/>
    <w:rsid w:val="00C91649"/>
    <w:rsid w:val="00C928ED"/>
    <w:rsid w:val="00C95BC1"/>
    <w:rsid w:val="00C97128"/>
    <w:rsid w:val="00CA0E31"/>
    <w:rsid w:val="00CA2758"/>
    <w:rsid w:val="00CB15F7"/>
    <w:rsid w:val="00CB35E4"/>
    <w:rsid w:val="00CB77F8"/>
    <w:rsid w:val="00CC5B3A"/>
    <w:rsid w:val="00CC611D"/>
    <w:rsid w:val="00CC6966"/>
    <w:rsid w:val="00CD0CCE"/>
    <w:rsid w:val="00CD2079"/>
    <w:rsid w:val="00CD5098"/>
    <w:rsid w:val="00CD53DB"/>
    <w:rsid w:val="00CD5E4F"/>
    <w:rsid w:val="00CD6819"/>
    <w:rsid w:val="00CE31AC"/>
    <w:rsid w:val="00CE39DF"/>
    <w:rsid w:val="00CE7B8E"/>
    <w:rsid w:val="00CF2789"/>
    <w:rsid w:val="00CF38F1"/>
    <w:rsid w:val="00CF40AB"/>
    <w:rsid w:val="00CF75B8"/>
    <w:rsid w:val="00CF7E93"/>
    <w:rsid w:val="00D0269D"/>
    <w:rsid w:val="00D04236"/>
    <w:rsid w:val="00D11D37"/>
    <w:rsid w:val="00D1620A"/>
    <w:rsid w:val="00D1782C"/>
    <w:rsid w:val="00D21557"/>
    <w:rsid w:val="00D217D1"/>
    <w:rsid w:val="00D231E5"/>
    <w:rsid w:val="00D272F7"/>
    <w:rsid w:val="00D27BBD"/>
    <w:rsid w:val="00D35836"/>
    <w:rsid w:val="00D35E47"/>
    <w:rsid w:val="00D3773B"/>
    <w:rsid w:val="00D44FDC"/>
    <w:rsid w:val="00D45DA7"/>
    <w:rsid w:val="00D468D4"/>
    <w:rsid w:val="00D52CEB"/>
    <w:rsid w:val="00D5304F"/>
    <w:rsid w:val="00D54C45"/>
    <w:rsid w:val="00D61F7A"/>
    <w:rsid w:val="00D625DB"/>
    <w:rsid w:val="00D638D6"/>
    <w:rsid w:val="00D6473F"/>
    <w:rsid w:val="00D6526F"/>
    <w:rsid w:val="00D67436"/>
    <w:rsid w:val="00D6764C"/>
    <w:rsid w:val="00D73FB1"/>
    <w:rsid w:val="00D743DE"/>
    <w:rsid w:val="00D76484"/>
    <w:rsid w:val="00D765F3"/>
    <w:rsid w:val="00D7747A"/>
    <w:rsid w:val="00D77D4D"/>
    <w:rsid w:val="00D81874"/>
    <w:rsid w:val="00D81B0B"/>
    <w:rsid w:val="00D9024D"/>
    <w:rsid w:val="00D902F2"/>
    <w:rsid w:val="00D92818"/>
    <w:rsid w:val="00D9650C"/>
    <w:rsid w:val="00DA1F5E"/>
    <w:rsid w:val="00DA2108"/>
    <w:rsid w:val="00DA4142"/>
    <w:rsid w:val="00DA43C1"/>
    <w:rsid w:val="00DA4F4E"/>
    <w:rsid w:val="00DA59F6"/>
    <w:rsid w:val="00DB0707"/>
    <w:rsid w:val="00DB21D4"/>
    <w:rsid w:val="00DB489D"/>
    <w:rsid w:val="00DB5CDC"/>
    <w:rsid w:val="00DB7DBC"/>
    <w:rsid w:val="00DC0348"/>
    <w:rsid w:val="00DC0A74"/>
    <w:rsid w:val="00DC1AF2"/>
    <w:rsid w:val="00DC3184"/>
    <w:rsid w:val="00DC5CAB"/>
    <w:rsid w:val="00DC5E6E"/>
    <w:rsid w:val="00DD2776"/>
    <w:rsid w:val="00DD4D56"/>
    <w:rsid w:val="00DD6201"/>
    <w:rsid w:val="00DE28AD"/>
    <w:rsid w:val="00DE3BA0"/>
    <w:rsid w:val="00DE44E5"/>
    <w:rsid w:val="00DE752A"/>
    <w:rsid w:val="00DF75E3"/>
    <w:rsid w:val="00E007AC"/>
    <w:rsid w:val="00E066F5"/>
    <w:rsid w:val="00E0741E"/>
    <w:rsid w:val="00E1192B"/>
    <w:rsid w:val="00E13609"/>
    <w:rsid w:val="00E13BF6"/>
    <w:rsid w:val="00E167D7"/>
    <w:rsid w:val="00E177FA"/>
    <w:rsid w:val="00E26D82"/>
    <w:rsid w:val="00E31AF3"/>
    <w:rsid w:val="00E355EF"/>
    <w:rsid w:val="00E36967"/>
    <w:rsid w:val="00E3749A"/>
    <w:rsid w:val="00E414C1"/>
    <w:rsid w:val="00E42F65"/>
    <w:rsid w:val="00E46AEE"/>
    <w:rsid w:val="00E5025A"/>
    <w:rsid w:val="00E51C0B"/>
    <w:rsid w:val="00E533B3"/>
    <w:rsid w:val="00E53607"/>
    <w:rsid w:val="00E603F7"/>
    <w:rsid w:val="00E639D3"/>
    <w:rsid w:val="00E669CA"/>
    <w:rsid w:val="00E71B30"/>
    <w:rsid w:val="00E749F1"/>
    <w:rsid w:val="00E76177"/>
    <w:rsid w:val="00E76516"/>
    <w:rsid w:val="00E76974"/>
    <w:rsid w:val="00E848D1"/>
    <w:rsid w:val="00E84F8E"/>
    <w:rsid w:val="00E85909"/>
    <w:rsid w:val="00E86F00"/>
    <w:rsid w:val="00E913F1"/>
    <w:rsid w:val="00E97C34"/>
    <w:rsid w:val="00EA5E08"/>
    <w:rsid w:val="00EA5FFA"/>
    <w:rsid w:val="00EA6141"/>
    <w:rsid w:val="00EB22C3"/>
    <w:rsid w:val="00EB7969"/>
    <w:rsid w:val="00EC1060"/>
    <w:rsid w:val="00EC305C"/>
    <w:rsid w:val="00EC330B"/>
    <w:rsid w:val="00EC600D"/>
    <w:rsid w:val="00EC6A3B"/>
    <w:rsid w:val="00EC7676"/>
    <w:rsid w:val="00ED01C7"/>
    <w:rsid w:val="00ED354D"/>
    <w:rsid w:val="00ED3587"/>
    <w:rsid w:val="00ED4E92"/>
    <w:rsid w:val="00ED5BDD"/>
    <w:rsid w:val="00EE1CC1"/>
    <w:rsid w:val="00EE45F1"/>
    <w:rsid w:val="00EF2AEE"/>
    <w:rsid w:val="00EF3697"/>
    <w:rsid w:val="00EF3E06"/>
    <w:rsid w:val="00EF3F64"/>
    <w:rsid w:val="00EF6676"/>
    <w:rsid w:val="00EF6EAA"/>
    <w:rsid w:val="00F01919"/>
    <w:rsid w:val="00F03B83"/>
    <w:rsid w:val="00F04CA9"/>
    <w:rsid w:val="00F0690E"/>
    <w:rsid w:val="00F10B50"/>
    <w:rsid w:val="00F1320A"/>
    <w:rsid w:val="00F152E5"/>
    <w:rsid w:val="00F1570F"/>
    <w:rsid w:val="00F1702C"/>
    <w:rsid w:val="00F17538"/>
    <w:rsid w:val="00F22F3F"/>
    <w:rsid w:val="00F24886"/>
    <w:rsid w:val="00F25E7C"/>
    <w:rsid w:val="00F30443"/>
    <w:rsid w:val="00F371D0"/>
    <w:rsid w:val="00F40701"/>
    <w:rsid w:val="00F45EF2"/>
    <w:rsid w:val="00F4655F"/>
    <w:rsid w:val="00F47F53"/>
    <w:rsid w:val="00F527EC"/>
    <w:rsid w:val="00F53B57"/>
    <w:rsid w:val="00F57765"/>
    <w:rsid w:val="00F620BE"/>
    <w:rsid w:val="00F62C50"/>
    <w:rsid w:val="00F630D7"/>
    <w:rsid w:val="00F636B0"/>
    <w:rsid w:val="00F6420B"/>
    <w:rsid w:val="00F64364"/>
    <w:rsid w:val="00F66D73"/>
    <w:rsid w:val="00F67723"/>
    <w:rsid w:val="00F74CCD"/>
    <w:rsid w:val="00F75A55"/>
    <w:rsid w:val="00F83507"/>
    <w:rsid w:val="00F84FB1"/>
    <w:rsid w:val="00F9014D"/>
    <w:rsid w:val="00F90FEA"/>
    <w:rsid w:val="00F93A68"/>
    <w:rsid w:val="00F93D64"/>
    <w:rsid w:val="00F93EC1"/>
    <w:rsid w:val="00F95DDB"/>
    <w:rsid w:val="00FA0B67"/>
    <w:rsid w:val="00FA394F"/>
    <w:rsid w:val="00FA6384"/>
    <w:rsid w:val="00FA6592"/>
    <w:rsid w:val="00FA6C0C"/>
    <w:rsid w:val="00FA6E49"/>
    <w:rsid w:val="00FA7B22"/>
    <w:rsid w:val="00FA7EDA"/>
    <w:rsid w:val="00FB4324"/>
    <w:rsid w:val="00FC241C"/>
    <w:rsid w:val="00FC41A3"/>
    <w:rsid w:val="00FC7D33"/>
    <w:rsid w:val="00FD25D9"/>
    <w:rsid w:val="00FD4A92"/>
    <w:rsid w:val="00FD5555"/>
    <w:rsid w:val="00FD7988"/>
    <w:rsid w:val="00FE046D"/>
    <w:rsid w:val="00FE0B26"/>
    <w:rsid w:val="00FE38EC"/>
    <w:rsid w:val="00FE41B1"/>
    <w:rsid w:val="00FE4DA5"/>
    <w:rsid w:val="00FE4EAE"/>
    <w:rsid w:val="00FF1CD6"/>
    <w:rsid w:val="00FF7C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1720E"/>
  <w15:chartTrackingRefBased/>
  <w15:docId w15:val="{F8041E2F-373F-4E37-9AD4-F8A0ED22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068B4"/>
    <w:pPr>
      <w:widowControl w:val="0"/>
      <w:adjustRightInd w:val="0"/>
    </w:pPr>
    <w:rPr>
      <w:rFonts w:eastAsia="Times New Roman"/>
      <w:szCs w:val="24"/>
      <w:lang w:eastAsia="sk-SK"/>
    </w:rPr>
  </w:style>
  <w:style w:type="paragraph" w:styleId="Nadpis1">
    <w:name w:val="heading 1"/>
    <w:basedOn w:val="Normlny"/>
    <w:next w:val="Normlny"/>
    <w:link w:val="Nadpis1Char"/>
    <w:uiPriority w:val="9"/>
    <w:qFormat/>
    <w:rsid w:val="00366A40"/>
    <w:pPr>
      <w:keepNext/>
      <w:keepLines/>
      <w:widowControl/>
      <w:adjustRightInd/>
      <w:spacing w:before="480" w:after="120" w:line="276" w:lineRule="auto"/>
      <w:outlineLvl w:val="0"/>
    </w:pPr>
    <w:rPr>
      <w:rFonts w:ascii="Calibri" w:eastAsia="Calibri" w:hAnsi="Calibri" w:cs="Calibri"/>
      <w:b/>
      <w:sz w:val="48"/>
      <w:szCs w:val="48"/>
    </w:rPr>
  </w:style>
  <w:style w:type="paragraph" w:styleId="Nadpis2">
    <w:name w:val="heading 2"/>
    <w:basedOn w:val="Normlny"/>
    <w:next w:val="Normlny"/>
    <w:link w:val="Nadpis2Char"/>
    <w:uiPriority w:val="9"/>
    <w:semiHidden/>
    <w:unhideWhenUsed/>
    <w:qFormat/>
    <w:rsid w:val="00366A40"/>
    <w:pPr>
      <w:keepNext/>
      <w:keepLines/>
      <w:widowControl/>
      <w:adjustRightInd/>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CA2758"/>
    <w:pPr>
      <w:keepNext/>
      <w:tabs>
        <w:tab w:val="center" w:pos="4513"/>
      </w:tabs>
      <w:suppressAutoHyphens/>
      <w:autoSpaceDE w:val="0"/>
      <w:autoSpaceDN w:val="0"/>
      <w:jc w:val="both"/>
      <w:outlineLvl w:val="2"/>
    </w:pPr>
    <w:rPr>
      <w:rFonts w:ascii="Courier New" w:hAnsi="Courier New" w:cs="Courier New"/>
      <w:b/>
      <w:bCs/>
      <w:spacing w:val="-3"/>
    </w:rPr>
  </w:style>
  <w:style w:type="paragraph" w:styleId="Nadpis4">
    <w:name w:val="heading 4"/>
    <w:basedOn w:val="Normlny"/>
    <w:next w:val="Normlny"/>
    <w:link w:val="Nadpis4Char"/>
    <w:uiPriority w:val="9"/>
    <w:unhideWhenUsed/>
    <w:qFormat/>
    <w:rsid w:val="00366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366A40"/>
    <w:pPr>
      <w:keepNext/>
      <w:keepLines/>
      <w:widowControl/>
      <w:adjustRightInd/>
      <w:spacing w:before="220" w:after="40" w:line="276" w:lineRule="auto"/>
      <w:outlineLvl w:val="4"/>
    </w:pPr>
    <w:rPr>
      <w:rFonts w:ascii="Calibri" w:eastAsia="Calibri" w:hAnsi="Calibri" w:cs="Calibri"/>
      <w:b/>
      <w:sz w:val="22"/>
      <w:szCs w:val="22"/>
    </w:rPr>
  </w:style>
  <w:style w:type="paragraph" w:styleId="Nadpis6">
    <w:name w:val="heading 6"/>
    <w:basedOn w:val="Normlny"/>
    <w:next w:val="Normlny"/>
    <w:link w:val="Nadpis6Char"/>
    <w:uiPriority w:val="9"/>
    <w:semiHidden/>
    <w:unhideWhenUsed/>
    <w:qFormat/>
    <w:rsid w:val="00366A40"/>
    <w:pPr>
      <w:keepNext/>
      <w:keepLines/>
      <w:widowControl/>
      <w:adjustRightInd/>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uiPriority w:val="99"/>
    <w:rsid w:val="00CA2758"/>
    <w:pPr>
      <w:tabs>
        <w:tab w:val="center" w:pos="4536"/>
        <w:tab w:val="right" w:pos="9072"/>
      </w:tabs>
      <w:autoSpaceDE w:val="0"/>
      <w:autoSpaceDN w:val="0"/>
    </w:pPr>
    <w:rPr>
      <w:rFonts w:ascii="Courier New" w:hAnsi="Courier New" w:cs="Courier New"/>
    </w:rPr>
  </w:style>
  <w:style w:type="character" w:customStyle="1" w:styleId="HlavikaChar">
    <w:name w:val="Hlavička Char"/>
    <w:basedOn w:val="Predvolenpsmoodseku"/>
    <w:link w:val="Hlavika"/>
    <w:uiPriority w:val="99"/>
    <w:rsid w:val="00CA2758"/>
    <w:rPr>
      <w:rFonts w:ascii="Courier New" w:eastAsia="Times New Roman" w:hAnsi="Courier New" w:cs="Courier New"/>
      <w:sz w:val="24"/>
      <w:szCs w:val="24"/>
      <w:lang w:eastAsia="sk-SK"/>
    </w:rPr>
  </w:style>
  <w:style w:type="paragraph" w:styleId="Pta">
    <w:name w:val="footer"/>
    <w:basedOn w:val="Normlny"/>
    <w:link w:val="PtaChar"/>
    <w:uiPriority w:val="99"/>
    <w:rsid w:val="00CA2758"/>
    <w:pPr>
      <w:tabs>
        <w:tab w:val="center" w:pos="4536"/>
        <w:tab w:val="right" w:pos="9072"/>
      </w:tabs>
      <w:autoSpaceDE w:val="0"/>
      <w:autoSpaceDN w:val="0"/>
    </w:pPr>
    <w:rPr>
      <w:rFonts w:ascii="Courier New" w:hAnsi="Courier New" w:cs="Courier New"/>
    </w:rPr>
  </w:style>
  <w:style w:type="character" w:customStyle="1" w:styleId="PtaChar">
    <w:name w:val="Päta Char"/>
    <w:basedOn w:val="Predvolenpsmoodseku"/>
    <w:link w:val="Pta"/>
    <w:uiPriority w:val="99"/>
    <w:rsid w:val="00CA2758"/>
    <w:rPr>
      <w:rFonts w:ascii="Courier New" w:eastAsia="Times New Roman" w:hAnsi="Courier New" w:cs="Courier New"/>
      <w:sz w:val="24"/>
      <w:szCs w:val="24"/>
      <w:lang w:eastAsia="sk-SK"/>
    </w:rPr>
  </w:style>
  <w:style w:type="character" w:styleId="slostrany">
    <w:name w:val="page number"/>
    <w:basedOn w:val="Predvolenpsmoodseku"/>
    <w:uiPriority w:val="99"/>
    <w:rsid w:val="00CA2758"/>
  </w:style>
  <w:style w:type="paragraph" w:styleId="Zkladntext">
    <w:name w:val="Body Text"/>
    <w:basedOn w:val="Normlny"/>
    <w:link w:val="ZkladntextChar"/>
    <w:unhideWhenUsed/>
    <w:rsid w:val="005068B4"/>
    <w:pPr>
      <w:widowControl/>
      <w:adjustRightInd/>
      <w:jc w:val="both"/>
    </w:pPr>
    <w:rPr>
      <w:rFonts w:ascii="Arial" w:hAnsi="Arial"/>
      <w:szCs w:val="20"/>
    </w:rPr>
  </w:style>
  <w:style w:type="character" w:customStyle="1" w:styleId="ZkladntextChar">
    <w:name w:val="Základný text Char"/>
    <w:basedOn w:val="Predvolenpsmoodseku"/>
    <w:link w:val="Zkladntext"/>
    <w:rsid w:val="005068B4"/>
    <w:rPr>
      <w:rFonts w:ascii="Arial" w:eastAsia="Times New Roman" w:hAnsi="Arial"/>
      <w:lang w:eastAsia="sk-SK"/>
    </w:rPr>
  </w:style>
  <w:style w:type="paragraph" w:styleId="Textbubliny">
    <w:name w:val="Balloon Text"/>
    <w:basedOn w:val="Normlny"/>
    <w:link w:val="TextbublinyChar"/>
    <w:uiPriority w:val="99"/>
    <w:semiHidden/>
    <w:unhideWhenUsed/>
    <w:rsid w:val="00F22F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2F3F"/>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4759D7"/>
    <w:rPr>
      <w:sz w:val="16"/>
      <w:szCs w:val="16"/>
    </w:rPr>
  </w:style>
  <w:style w:type="paragraph" w:styleId="Textkomentra">
    <w:name w:val="annotation text"/>
    <w:basedOn w:val="Normlny"/>
    <w:link w:val="TextkomentraChar"/>
    <w:uiPriority w:val="99"/>
    <w:semiHidden/>
    <w:unhideWhenUsed/>
    <w:rsid w:val="004759D7"/>
    <w:rPr>
      <w:sz w:val="20"/>
      <w:szCs w:val="20"/>
    </w:rPr>
  </w:style>
  <w:style w:type="character" w:customStyle="1" w:styleId="TextkomentraChar">
    <w:name w:val="Text komentára Char"/>
    <w:basedOn w:val="Predvolenpsmoodseku"/>
    <w:link w:val="Textkomentra"/>
    <w:uiPriority w:val="99"/>
    <w:semiHidden/>
    <w:rsid w:val="004759D7"/>
    <w:rPr>
      <w:rFonts w:eastAsia="Times New Roman"/>
      <w:sz w:val="20"/>
      <w:lang w:eastAsia="sk-SK"/>
    </w:rPr>
  </w:style>
  <w:style w:type="paragraph" w:styleId="Predmetkomentra">
    <w:name w:val="annotation subject"/>
    <w:basedOn w:val="Textkomentra"/>
    <w:next w:val="Textkomentra"/>
    <w:link w:val="PredmetkomentraChar"/>
    <w:uiPriority w:val="99"/>
    <w:semiHidden/>
    <w:unhideWhenUsed/>
    <w:rsid w:val="004759D7"/>
    <w:rPr>
      <w:b/>
      <w:bCs/>
    </w:rPr>
  </w:style>
  <w:style w:type="character" w:customStyle="1" w:styleId="PredmetkomentraChar">
    <w:name w:val="Predmet komentára Char"/>
    <w:basedOn w:val="TextkomentraChar"/>
    <w:link w:val="Predmetkomentra"/>
    <w:uiPriority w:val="99"/>
    <w:semiHidden/>
    <w:rsid w:val="004759D7"/>
    <w:rPr>
      <w:rFonts w:eastAsia="Times New Roman"/>
      <w:b/>
      <w:bCs/>
      <w:sz w:val="20"/>
      <w:lang w:eastAsia="sk-SK"/>
    </w:rPr>
  </w:style>
  <w:style w:type="paragraph" w:styleId="Normlnywebov">
    <w:name w:val="Normal (Web)"/>
    <w:basedOn w:val="Normlny"/>
    <w:uiPriority w:val="99"/>
    <w:unhideWhenUsed/>
    <w:rsid w:val="004F6831"/>
    <w:pPr>
      <w:widowControl/>
      <w:adjustRightInd/>
    </w:pPr>
    <w:rPr>
      <w:rFonts w:eastAsiaTheme="minorHAnsi"/>
    </w:rPr>
  </w:style>
  <w:style w:type="paragraph" w:styleId="Odsekzoznamu">
    <w:name w:val="List Paragraph"/>
    <w:basedOn w:val="Normlny"/>
    <w:uiPriority w:val="34"/>
    <w:qFormat/>
    <w:rsid w:val="00C66C59"/>
    <w:pPr>
      <w:ind w:left="720"/>
      <w:contextualSpacing/>
    </w:pPr>
  </w:style>
  <w:style w:type="character" w:customStyle="1" w:styleId="h1a4">
    <w:name w:val="h1a4"/>
    <w:basedOn w:val="Predvolenpsmoodseku"/>
    <w:rsid w:val="006B225A"/>
    <w:rPr>
      <w:rFonts w:ascii="Trebuchet MS" w:hAnsi="Trebuchet MS" w:hint="default"/>
      <w:vanish w:val="0"/>
      <w:webHidden w:val="0"/>
      <w:color w:val="505050"/>
      <w:sz w:val="24"/>
      <w:szCs w:val="24"/>
      <w:specVanish w:val="0"/>
    </w:rPr>
  </w:style>
  <w:style w:type="character" w:styleId="Hypertextovprepojenie">
    <w:name w:val="Hyperlink"/>
    <w:basedOn w:val="Predvolenpsmoodseku"/>
    <w:uiPriority w:val="99"/>
    <w:unhideWhenUsed/>
    <w:rsid w:val="00AA56B9"/>
    <w:rPr>
      <w:color w:val="0000FF" w:themeColor="hyperlink"/>
      <w:u w:val="single"/>
    </w:rPr>
  </w:style>
  <w:style w:type="paragraph" w:styleId="Bezriadkovania">
    <w:name w:val="No Spacing"/>
    <w:uiPriority w:val="1"/>
    <w:qFormat/>
    <w:rsid w:val="007951D3"/>
    <w:rPr>
      <w:rFonts w:asciiTheme="minorHAnsi" w:eastAsiaTheme="minorHAnsi" w:hAnsiTheme="minorHAnsi" w:cstheme="minorBidi"/>
      <w:sz w:val="22"/>
      <w:szCs w:val="22"/>
    </w:rPr>
  </w:style>
  <w:style w:type="character" w:customStyle="1" w:styleId="Nadpis4Char">
    <w:name w:val="Nadpis 4 Char"/>
    <w:basedOn w:val="Predvolenpsmoodseku"/>
    <w:link w:val="Nadpis4"/>
    <w:uiPriority w:val="9"/>
    <w:semiHidden/>
    <w:rsid w:val="00366A40"/>
    <w:rPr>
      <w:rFonts w:asciiTheme="majorHAnsi" w:eastAsiaTheme="majorEastAsia" w:hAnsiTheme="majorHAnsi" w:cstheme="majorBidi"/>
      <w:i/>
      <w:iCs/>
      <w:color w:val="365F91" w:themeColor="accent1" w:themeShade="BF"/>
      <w:szCs w:val="24"/>
      <w:lang w:eastAsia="sk-SK"/>
    </w:rPr>
  </w:style>
  <w:style w:type="character" w:styleId="Siln">
    <w:name w:val="Strong"/>
    <w:uiPriority w:val="22"/>
    <w:qFormat/>
    <w:rsid w:val="00366A40"/>
    <w:rPr>
      <w:b/>
      <w:bCs/>
    </w:rPr>
  </w:style>
  <w:style w:type="character" w:customStyle="1" w:styleId="norm00e1lnychar1">
    <w:name w:val="norm_00e1lny__char1"/>
    <w:rsid w:val="00366A40"/>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366A40"/>
    <w:pPr>
      <w:widowControl/>
      <w:adjustRightInd/>
      <w:spacing w:line="200" w:lineRule="atLeast"/>
    </w:pPr>
    <w:rPr>
      <w:sz w:val="20"/>
      <w:szCs w:val="20"/>
    </w:rPr>
  </w:style>
  <w:style w:type="character" w:customStyle="1" w:styleId="Nadpis1Char">
    <w:name w:val="Nadpis 1 Char"/>
    <w:basedOn w:val="Predvolenpsmoodseku"/>
    <w:link w:val="Nadpis1"/>
    <w:uiPriority w:val="9"/>
    <w:rsid w:val="00366A40"/>
    <w:rPr>
      <w:rFonts w:ascii="Calibri" w:hAnsi="Calibri" w:cs="Calibri"/>
      <w:b/>
      <w:sz w:val="48"/>
      <w:szCs w:val="48"/>
      <w:lang w:eastAsia="sk-SK"/>
    </w:rPr>
  </w:style>
  <w:style w:type="character" w:customStyle="1" w:styleId="Nadpis2Char">
    <w:name w:val="Nadpis 2 Char"/>
    <w:basedOn w:val="Predvolenpsmoodseku"/>
    <w:link w:val="Nadpis2"/>
    <w:uiPriority w:val="9"/>
    <w:semiHidden/>
    <w:rsid w:val="00366A40"/>
    <w:rPr>
      <w:rFonts w:ascii="Calibri" w:hAnsi="Calibri" w:cs="Calibri"/>
      <w:b/>
      <w:sz w:val="36"/>
      <w:szCs w:val="36"/>
      <w:lang w:eastAsia="sk-SK"/>
    </w:rPr>
  </w:style>
  <w:style w:type="character" w:customStyle="1" w:styleId="Nadpis5Char">
    <w:name w:val="Nadpis 5 Char"/>
    <w:basedOn w:val="Predvolenpsmoodseku"/>
    <w:link w:val="Nadpis5"/>
    <w:uiPriority w:val="9"/>
    <w:semiHidden/>
    <w:rsid w:val="00366A40"/>
    <w:rPr>
      <w:rFonts w:ascii="Calibri" w:hAnsi="Calibri" w:cs="Calibri"/>
      <w:b/>
      <w:sz w:val="22"/>
      <w:szCs w:val="22"/>
      <w:lang w:eastAsia="sk-SK"/>
    </w:rPr>
  </w:style>
  <w:style w:type="character" w:customStyle="1" w:styleId="Nadpis6Char">
    <w:name w:val="Nadpis 6 Char"/>
    <w:basedOn w:val="Predvolenpsmoodseku"/>
    <w:link w:val="Nadpis6"/>
    <w:uiPriority w:val="9"/>
    <w:semiHidden/>
    <w:rsid w:val="00366A40"/>
    <w:rPr>
      <w:rFonts w:ascii="Calibri" w:hAnsi="Calibri" w:cs="Calibri"/>
      <w:b/>
      <w:sz w:val="20"/>
      <w:lang w:eastAsia="sk-SK"/>
    </w:rPr>
  </w:style>
  <w:style w:type="table" w:customStyle="1" w:styleId="TableNormal">
    <w:name w:val="Table Normal"/>
    <w:rsid w:val="00366A40"/>
    <w:pPr>
      <w:spacing w:after="200" w:line="276" w:lineRule="auto"/>
    </w:pPr>
    <w:rPr>
      <w:rFonts w:ascii="Calibri" w:hAnsi="Calibri" w:cs="Calibri"/>
      <w:sz w:val="22"/>
      <w:szCs w:val="22"/>
      <w:lang w:eastAsia="sk-SK"/>
    </w:rPr>
    <w:tblPr>
      <w:tblCellMar>
        <w:top w:w="0" w:type="dxa"/>
        <w:left w:w="0" w:type="dxa"/>
        <w:bottom w:w="0" w:type="dxa"/>
        <w:right w:w="0" w:type="dxa"/>
      </w:tblCellMar>
    </w:tblPr>
  </w:style>
  <w:style w:type="paragraph" w:styleId="Nzov">
    <w:name w:val="Title"/>
    <w:basedOn w:val="Normlny"/>
    <w:next w:val="Normlny"/>
    <w:link w:val="NzovChar"/>
    <w:uiPriority w:val="10"/>
    <w:qFormat/>
    <w:rsid w:val="00366A40"/>
    <w:pPr>
      <w:keepNext/>
      <w:keepLines/>
      <w:widowControl/>
      <w:adjustRightInd/>
      <w:spacing w:before="480" w:after="120" w:line="276" w:lineRule="auto"/>
    </w:pPr>
    <w:rPr>
      <w:rFonts w:ascii="Calibri" w:eastAsia="Calibri" w:hAnsi="Calibri" w:cs="Calibri"/>
      <w:b/>
      <w:sz w:val="72"/>
      <w:szCs w:val="72"/>
    </w:rPr>
  </w:style>
  <w:style w:type="character" w:customStyle="1" w:styleId="NzovChar">
    <w:name w:val="Názov Char"/>
    <w:basedOn w:val="Predvolenpsmoodseku"/>
    <w:link w:val="Nzov"/>
    <w:uiPriority w:val="10"/>
    <w:rsid w:val="00366A40"/>
    <w:rPr>
      <w:rFonts w:ascii="Calibri" w:hAnsi="Calibri" w:cs="Calibri"/>
      <w:b/>
      <w:sz w:val="72"/>
      <w:szCs w:val="72"/>
      <w:lang w:eastAsia="sk-SK"/>
    </w:rPr>
  </w:style>
  <w:style w:type="paragraph" w:styleId="Podtitul">
    <w:name w:val="Subtitle"/>
    <w:basedOn w:val="Normlny"/>
    <w:next w:val="Normlny"/>
    <w:link w:val="PodtitulChar"/>
    <w:uiPriority w:val="11"/>
    <w:qFormat/>
    <w:rsid w:val="00366A40"/>
    <w:pPr>
      <w:keepNext/>
      <w:keepLines/>
      <w:widowControl/>
      <w:adjustRightInd/>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366A40"/>
    <w:rPr>
      <w:rFonts w:ascii="Georgia" w:eastAsia="Georgia" w:hAnsi="Georgia" w:cs="Georgia"/>
      <w:i/>
      <w:color w:val="666666"/>
      <w:sz w:val="48"/>
      <w:szCs w:val="48"/>
      <w:lang w:eastAsia="sk-SK"/>
    </w:rPr>
  </w:style>
  <w:style w:type="character" w:customStyle="1" w:styleId="xapple-converted-space">
    <w:name w:val="xapple-converted-space"/>
    <w:basedOn w:val="Predvolenpsmoodseku"/>
    <w:rsid w:val="00366A40"/>
  </w:style>
  <w:style w:type="paragraph" w:customStyle="1" w:styleId="Default">
    <w:name w:val="Default"/>
    <w:rsid w:val="00EC305C"/>
    <w:pPr>
      <w:autoSpaceDE w:val="0"/>
      <w:autoSpaceDN w:val="0"/>
      <w:adjustRightInd w:val="0"/>
    </w:pPr>
    <w:rPr>
      <w:rFonts w:eastAsiaTheme="minorHAnsi"/>
      <w:color w:val="000000"/>
      <w:szCs w:val="24"/>
    </w:rPr>
  </w:style>
  <w:style w:type="table" w:styleId="Mriekatabuky">
    <w:name w:val="Table Grid"/>
    <w:basedOn w:val="Normlnatabuka"/>
    <w:uiPriority w:val="59"/>
    <w:rsid w:val="007E1C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7E1CA3"/>
    <w:rPr>
      <w:rFonts w:ascii="Times New Roman" w:hAnsi="Times New Roman"/>
      <w:color w:val="808080"/>
    </w:rPr>
  </w:style>
  <w:style w:type="paragraph" w:customStyle="1" w:styleId="BodyText1">
    <w:name w:val="Body Text1"/>
    <w:qFormat/>
    <w:rsid w:val="00632B65"/>
    <w:pPr>
      <w:spacing w:after="120"/>
    </w:pPr>
    <w:rPr>
      <w:rFonts w:ascii="Arial" w:eastAsia="Times New Roman" w:hAnsi="Arial"/>
      <w:color w:val="000000"/>
      <w:sz w:val="19"/>
      <w:szCs w:val="48"/>
    </w:rPr>
  </w:style>
  <w:style w:type="paragraph" w:customStyle="1" w:styleId="Deloittebodytext">
    <w:name w:val="Deloitte body text"/>
    <w:qFormat/>
    <w:rsid w:val="00632B65"/>
    <w:pPr>
      <w:spacing w:after="240" w:line="280" w:lineRule="exact"/>
      <w:jc w:val="both"/>
    </w:pPr>
    <w:rPr>
      <w:rFonts w:ascii="Arial" w:eastAsia="Times New Roman" w:hAnsi="Arial"/>
      <w:color w:val="000000"/>
      <w:sz w:val="22"/>
      <w:szCs w:val="48"/>
    </w:rPr>
  </w:style>
  <w:style w:type="paragraph" w:customStyle="1" w:styleId="TableColumnheader">
    <w:name w:val="Table Column header"/>
    <w:basedOn w:val="Normlny"/>
    <w:rsid w:val="00632B65"/>
    <w:pPr>
      <w:widowControl/>
      <w:adjustRightInd/>
      <w:spacing w:before="80" w:after="80"/>
    </w:pPr>
    <w:rPr>
      <w:rFonts w:ascii="Arial" w:eastAsia="Times" w:hAnsi="Arial"/>
      <w:b/>
      <w:noProof/>
      <w:color w:val="FFFFFF"/>
      <w:sz w:val="18"/>
      <w:lang w:val="en-US" w:eastAsia="en-US"/>
    </w:rPr>
  </w:style>
  <w:style w:type="paragraph" w:customStyle="1" w:styleId="TableParagraph">
    <w:name w:val="Table Paragraph"/>
    <w:basedOn w:val="Normlny"/>
    <w:uiPriority w:val="1"/>
    <w:qFormat/>
    <w:rsid w:val="001E4B49"/>
    <w:pPr>
      <w:adjustRightInd/>
      <w:ind w:left="57"/>
    </w:pPr>
    <w:rPr>
      <w:sz w:val="22"/>
      <w:szCs w:val="22"/>
      <w:lang w:eastAsia="en-US"/>
    </w:rPr>
  </w:style>
  <w:style w:type="paragraph" w:styleId="Textpoznmkypodiarou">
    <w:name w:val="footnote text"/>
    <w:basedOn w:val="Normlny"/>
    <w:link w:val="TextpoznmkypodiarouChar"/>
    <w:uiPriority w:val="99"/>
    <w:semiHidden/>
    <w:unhideWhenUsed/>
    <w:rsid w:val="001E4B49"/>
    <w:pPr>
      <w:widowControl/>
      <w:adjustRightInd/>
    </w:pPr>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1E4B49"/>
    <w:rPr>
      <w:rFonts w:asciiTheme="minorHAnsi" w:eastAsiaTheme="minorHAnsi" w:hAnsiTheme="minorHAnsi" w:cstheme="minorBidi"/>
      <w:sz w:val="20"/>
    </w:rPr>
  </w:style>
  <w:style w:type="character" w:styleId="Odkaznapoznmkupodiarou">
    <w:name w:val="footnote reference"/>
    <w:basedOn w:val="Predvolenpsmoodseku"/>
    <w:uiPriority w:val="99"/>
    <w:semiHidden/>
    <w:unhideWhenUsed/>
    <w:rsid w:val="001E4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7649">
      <w:bodyDiv w:val="1"/>
      <w:marLeft w:val="0"/>
      <w:marRight w:val="0"/>
      <w:marTop w:val="0"/>
      <w:marBottom w:val="0"/>
      <w:divBdr>
        <w:top w:val="none" w:sz="0" w:space="0" w:color="auto"/>
        <w:left w:val="none" w:sz="0" w:space="0" w:color="auto"/>
        <w:bottom w:val="none" w:sz="0" w:space="0" w:color="auto"/>
        <w:right w:val="none" w:sz="0" w:space="0" w:color="auto"/>
      </w:divBdr>
    </w:div>
    <w:div w:id="407270953">
      <w:bodyDiv w:val="1"/>
      <w:marLeft w:val="0"/>
      <w:marRight w:val="0"/>
      <w:marTop w:val="0"/>
      <w:marBottom w:val="0"/>
      <w:divBdr>
        <w:top w:val="none" w:sz="0" w:space="0" w:color="auto"/>
        <w:left w:val="none" w:sz="0" w:space="0" w:color="auto"/>
        <w:bottom w:val="none" w:sz="0" w:space="0" w:color="auto"/>
        <w:right w:val="none" w:sz="0" w:space="0" w:color="auto"/>
      </w:divBdr>
    </w:div>
    <w:div w:id="438599180">
      <w:bodyDiv w:val="1"/>
      <w:marLeft w:val="0"/>
      <w:marRight w:val="0"/>
      <w:marTop w:val="0"/>
      <w:marBottom w:val="0"/>
      <w:divBdr>
        <w:top w:val="none" w:sz="0" w:space="0" w:color="auto"/>
        <w:left w:val="none" w:sz="0" w:space="0" w:color="auto"/>
        <w:bottom w:val="none" w:sz="0" w:space="0" w:color="auto"/>
        <w:right w:val="none" w:sz="0" w:space="0" w:color="auto"/>
      </w:divBdr>
    </w:div>
    <w:div w:id="542837314">
      <w:bodyDiv w:val="1"/>
      <w:marLeft w:val="0"/>
      <w:marRight w:val="0"/>
      <w:marTop w:val="0"/>
      <w:marBottom w:val="0"/>
      <w:divBdr>
        <w:top w:val="none" w:sz="0" w:space="0" w:color="auto"/>
        <w:left w:val="none" w:sz="0" w:space="0" w:color="auto"/>
        <w:bottom w:val="none" w:sz="0" w:space="0" w:color="auto"/>
        <w:right w:val="none" w:sz="0" w:space="0" w:color="auto"/>
      </w:divBdr>
    </w:div>
    <w:div w:id="547573525">
      <w:bodyDiv w:val="1"/>
      <w:marLeft w:val="0"/>
      <w:marRight w:val="0"/>
      <w:marTop w:val="0"/>
      <w:marBottom w:val="0"/>
      <w:divBdr>
        <w:top w:val="none" w:sz="0" w:space="0" w:color="auto"/>
        <w:left w:val="none" w:sz="0" w:space="0" w:color="auto"/>
        <w:bottom w:val="none" w:sz="0" w:space="0" w:color="auto"/>
        <w:right w:val="none" w:sz="0" w:space="0" w:color="auto"/>
      </w:divBdr>
    </w:div>
    <w:div w:id="556017459">
      <w:bodyDiv w:val="1"/>
      <w:marLeft w:val="0"/>
      <w:marRight w:val="0"/>
      <w:marTop w:val="0"/>
      <w:marBottom w:val="0"/>
      <w:divBdr>
        <w:top w:val="none" w:sz="0" w:space="0" w:color="auto"/>
        <w:left w:val="none" w:sz="0" w:space="0" w:color="auto"/>
        <w:bottom w:val="none" w:sz="0" w:space="0" w:color="auto"/>
        <w:right w:val="none" w:sz="0" w:space="0" w:color="auto"/>
      </w:divBdr>
    </w:div>
    <w:div w:id="668219226">
      <w:bodyDiv w:val="1"/>
      <w:marLeft w:val="0"/>
      <w:marRight w:val="0"/>
      <w:marTop w:val="0"/>
      <w:marBottom w:val="0"/>
      <w:divBdr>
        <w:top w:val="none" w:sz="0" w:space="0" w:color="auto"/>
        <w:left w:val="none" w:sz="0" w:space="0" w:color="auto"/>
        <w:bottom w:val="none" w:sz="0" w:space="0" w:color="auto"/>
        <w:right w:val="none" w:sz="0" w:space="0" w:color="auto"/>
      </w:divBdr>
    </w:div>
    <w:div w:id="716510513">
      <w:bodyDiv w:val="1"/>
      <w:marLeft w:val="0"/>
      <w:marRight w:val="0"/>
      <w:marTop w:val="0"/>
      <w:marBottom w:val="0"/>
      <w:divBdr>
        <w:top w:val="none" w:sz="0" w:space="0" w:color="auto"/>
        <w:left w:val="none" w:sz="0" w:space="0" w:color="auto"/>
        <w:bottom w:val="none" w:sz="0" w:space="0" w:color="auto"/>
        <w:right w:val="none" w:sz="0" w:space="0" w:color="auto"/>
      </w:divBdr>
    </w:div>
    <w:div w:id="774448470">
      <w:bodyDiv w:val="1"/>
      <w:marLeft w:val="0"/>
      <w:marRight w:val="0"/>
      <w:marTop w:val="0"/>
      <w:marBottom w:val="0"/>
      <w:divBdr>
        <w:top w:val="none" w:sz="0" w:space="0" w:color="auto"/>
        <w:left w:val="none" w:sz="0" w:space="0" w:color="auto"/>
        <w:bottom w:val="none" w:sz="0" w:space="0" w:color="auto"/>
        <w:right w:val="none" w:sz="0" w:space="0" w:color="auto"/>
      </w:divBdr>
    </w:div>
    <w:div w:id="956453188">
      <w:bodyDiv w:val="1"/>
      <w:marLeft w:val="0"/>
      <w:marRight w:val="0"/>
      <w:marTop w:val="0"/>
      <w:marBottom w:val="0"/>
      <w:divBdr>
        <w:top w:val="none" w:sz="0" w:space="0" w:color="auto"/>
        <w:left w:val="none" w:sz="0" w:space="0" w:color="auto"/>
        <w:bottom w:val="none" w:sz="0" w:space="0" w:color="auto"/>
        <w:right w:val="none" w:sz="0" w:space="0" w:color="auto"/>
      </w:divBdr>
    </w:div>
    <w:div w:id="972752588">
      <w:bodyDiv w:val="1"/>
      <w:marLeft w:val="0"/>
      <w:marRight w:val="0"/>
      <w:marTop w:val="0"/>
      <w:marBottom w:val="0"/>
      <w:divBdr>
        <w:top w:val="none" w:sz="0" w:space="0" w:color="auto"/>
        <w:left w:val="none" w:sz="0" w:space="0" w:color="auto"/>
        <w:bottom w:val="none" w:sz="0" w:space="0" w:color="auto"/>
        <w:right w:val="none" w:sz="0" w:space="0" w:color="auto"/>
      </w:divBdr>
    </w:div>
    <w:div w:id="999428538">
      <w:bodyDiv w:val="1"/>
      <w:marLeft w:val="0"/>
      <w:marRight w:val="0"/>
      <w:marTop w:val="0"/>
      <w:marBottom w:val="0"/>
      <w:divBdr>
        <w:top w:val="none" w:sz="0" w:space="0" w:color="auto"/>
        <w:left w:val="none" w:sz="0" w:space="0" w:color="auto"/>
        <w:bottom w:val="none" w:sz="0" w:space="0" w:color="auto"/>
        <w:right w:val="none" w:sz="0" w:space="0" w:color="auto"/>
      </w:divBdr>
    </w:div>
    <w:div w:id="1123965011">
      <w:bodyDiv w:val="1"/>
      <w:marLeft w:val="0"/>
      <w:marRight w:val="0"/>
      <w:marTop w:val="0"/>
      <w:marBottom w:val="0"/>
      <w:divBdr>
        <w:top w:val="none" w:sz="0" w:space="0" w:color="auto"/>
        <w:left w:val="none" w:sz="0" w:space="0" w:color="auto"/>
        <w:bottom w:val="none" w:sz="0" w:space="0" w:color="auto"/>
        <w:right w:val="none" w:sz="0" w:space="0" w:color="auto"/>
      </w:divBdr>
      <w:divsChild>
        <w:div w:id="356855039">
          <w:marLeft w:val="255"/>
          <w:marRight w:val="0"/>
          <w:marTop w:val="0"/>
          <w:marBottom w:val="0"/>
          <w:divBdr>
            <w:top w:val="none" w:sz="0" w:space="0" w:color="auto"/>
            <w:left w:val="none" w:sz="0" w:space="0" w:color="auto"/>
            <w:bottom w:val="none" w:sz="0" w:space="0" w:color="auto"/>
            <w:right w:val="none" w:sz="0" w:space="0" w:color="auto"/>
          </w:divBdr>
        </w:div>
        <w:div w:id="973176078">
          <w:marLeft w:val="255"/>
          <w:marRight w:val="0"/>
          <w:marTop w:val="0"/>
          <w:marBottom w:val="0"/>
          <w:divBdr>
            <w:top w:val="none" w:sz="0" w:space="0" w:color="auto"/>
            <w:left w:val="none" w:sz="0" w:space="0" w:color="auto"/>
            <w:bottom w:val="none" w:sz="0" w:space="0" w:color="auto"/>
            <w:right w:val="none" w:sz="0" w:space="0" w:color="auto"/>
          </w:divBdr>
        </w:div>
        <w:div w:id="608589059">
          <w:marLeft w:val="255"/>
          <w:marRight w:val="0"/>
          <w:marTop w:val="0"/>
          <w:marBottom w:val="0"/>
          <w:divBdr>
            <w:top w:val="none" w:sz="0" w:space="0" w:color="auto"/>
            <w:left w:val="none" w:sz="0" w:space="0" w:color="auto"/>
            <w:bottom w:val="none" w:sz="0" w:space="0" w:color="auto"/>
            <w:right w:val="none" w:sz="0" w:space="0" w:color="auto"/>
          </w:divBdr>
        </w:div>
        <w:div w:id="2119522187">
          <w:marLeft w:val="255"/>
          <w:marRight w:val="0"/>
          <w:marTop w:val="0"/>
          <w:marBottom w:val="0"/>
          <w:divBdr>
            <w:top w:val="none" w:sz="0" w:space="0" w:color="auto"/>
            <w:left w:val="none" w:sz="0" w:space="0" w:color="auto"/>
            <w:bottom w:val="none" w:sz="0" w:space="0" w:color="auto"/>
            <w:right w:val="none" w:sz="0" w:space="0" w:color="auto"/>
          </w:divBdr>
        </w:div>
        <w:div w:id="16083116">
          <w:marLeft w:val="255"/>
          <w:marRight w:val="0"/>
          <w:marTop w:val="0"/>
          <w:marBottom w:val="0"/>
          <w:divBdr>
            <w:top w:val="none" w:sz="0" w:space="0" w:color="auto"/>
            <w:left w:val="none" w:sz="0" w:space="0" w:color="auto"/>
            <w:bottom w:val="none" w:sz="0" w:space="0" w:color="auto"/>
            <w:right w:val="none" w:sz="0" w:space="0" w:color="auto"/>
          </w:divBdr>
        </w:div>
      </w:divsChild>
    </w:div>
    <w:div w:id="1131821538">
      <w:bodyDiv w:val="1"/>
      <w:marLeft w:val="0"/>
      <w:marRight w:val="0"/>
      <w:marTop w:val="0"/>
      <w:marBottom w:val="0"/>
      <w:divBdr>
        <w:top w:val="none" w:sz="0" w:space="0" w:color="auto"/>
        <w:left w:val="none" w:sz="0" w:space="0" w:color="auto"/>
        <w:bottom w:val="none" w:sz="0" w:space="0" w:color="auto"/>
        <w:right w:val="none" w:sz="0" w:space="0" w:color="auto"/>
      </w:divBdr>
      <w:divsChild>
        <w:div w:id="622539497">
          <w:marLeft w:val="255"/>
          <w:marRight w:val="0"/>
          <w:marTop w:val="75"/>
          <w:marBottom w:val="0"/>
          <w:divBdr>
            <w:top w:val="none" w:sz="0" w:space="0" w:color="auto"/>
            <w:left w:val="none" w:sz="0" w:space="0" w:color="auto"/>
            <w:bottom w:val="none" w:sz="0" w:space="0" w:color="auto"/>
            <w:right w:val="none" w:sz="0" w:space="0" w:color="auto"/>
          </w:divBdr>
        </w:div>
        <w:div w:id="30618483">
          <w:marLeft w:val="255"/>
          <w:marRight w:val="0"/>
          <w:marTop w:val="75"/>
          <w:marBottom w:val="0"/>
          <w:divBdr>
            <w:top w:val="none" w:sz="0" w:space="0" w:color="auto"/>
            <w:left w:val="none" w:sz="0" w:space="0" w:color="auto"/>
            <w:bottom w:val="none" w:sz="0" w:space="0" w:color="auto"/>
            <w:right w:val="none" w:sz="0" w:space="0" w:color="auto"/>
          </w:divBdr>
          <w:divsChild>
            <w:div w:id="709959832">
              <w:marLeft w:val="0"/>
              <w:marRight w:val="225"/>
              <w:marTop w:val="0"/>
              <w:marBottom w:val="0"/>
              <w:divBdr>
                <w:top w:val="none" w:sz="0" w:space="0" w:color="auto"/>
                <w:left w:val="none" w:sz="0" w:space="0" w:color="auto"/>
                <w:bottom w:val="none" w:sz="0" w:space="0" w:color="auto"/>
                <w:right w:val="none" w:sz="0" w:space="0" w:color="auto"/>
              </w:divBdr>
            </w:div>
          </w:divsChild>
        </w:div>
        <w:div w:id="1438481595">
          <w:marLeft w:val="255"/>
          <w:marRight w:val="0"/>
          <w:marTop w:val="75"/>
          <w:marBottom w:val="0"/>
          <w:divBdr>
            <w:top w:val="none" w:sz="0" w:space="0" w:color="auto"/>
            <w:left w:val="none" w:sz="0" w:space="0" w:color="auto"/>
            <w:bottom w:val="none" w:sz="0" w:space="0" w:color="auto"/>
            <w:right w:val="none" w:sz="0" w:space="0" w:color="auto"/>
          </w:divBdr>
          <w:divsChild>
            <w:div w:id="15471366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41120135">
      <w:bodyDiv w:val="1"/>
      <w:marLeft w:val="0"/>
      <w:marRight w:val="0"/>
      <w:marTop w:val="0"/>
      <w:marBottom w:val="0"/>
      <w:divBdr>
        <w:top w:val="none" w:sz="0" w:space="0" w:color="auto"/>
        <w:left w:val="none" w:sz="0" w:space="0" w:color="auto"/>
        <w:bottom w:val="none" w:sz="0" w:space="0" w:color="auto"/>
        <w:right w:val="none" w:sz="0" w:space="0" w:color="auto"/>
      </w:divBdr>
    </w:div>
    <w:div w:id="1158301938">
      <w:bodyDiv w:val="1"/>
      <w:marLeft w:val="0"/>
      <w:marRight w:val="0"/>
      <w:marTop w:val="0"/>
      <w:marBottom w:val="0"/>
      <w:divBdr>
        <w:top w:val="none" w:sz="0" w:space="0" w:color="auto"/>
        <w:left w:val="none" w:sz="0" w:space="0" w:color="auto"/>
        <w:bottom w:val="none" w:sz="0" w:space="0" w:color="auto"/>
        <w:right w:val="none" w:sz="0" w:space="0" w:color="auto"/>
      </w:divBdr>
    </w:div>
    <w:div w:id="1176967119">
      <w:bodyDiv w:val="1"/>
      <w:marLeft w:val="0"/>
      <w:marRight w:val="0"/>
      <w:marTop w:val="0"/>
      <w:marBottom w:val="0"/>
      <w:divBdr>
        <w:top w:val="none" w:sz="0" w:space="0" w:color="auto"/>
        <w:left w:val="none" w:sz="0" w:space="0" w:color="auto"/>
        <w:bottom w:val="none" w:sz="0" w:space="0" w:color="auto"/>
        <w:right w:val="none" w:sz="0" w:space="0" w:color="auto"/>
      </w:divBdr>
    </w:div>
    <w:div w:id="1273434647">
      <w:bodyDiv w:val="1"/>
      <w:marLeft w:val="0"/>
      <w:marRight w:val="0"/>
      <w:marTop w:val="0"/>
      <w:marBottom w:val="0"/>
      <w:divBdr>
        <w:top w:val="none" w:sz="0" w:space="0" w:color="auto"/>
        <w:left w:val="none" w:sz="0" w:space="0" w:color="auto"/>
        <w:bottom w:val="none" w:sz="0" w:space="0" w:color="auto"/>
        <w:right w:val="none" w:sz="0" w:space="0" w:color="auto"/>
      </w:divBdr>
    </w:div>
    <w:div w:id="1416245779">
      <w:bodyDiv w:val="1"/>
      <w:marLeft w:val="0"/>
      <w:marRight w:val="0"/>
      <w:marTop w:val="0"/>
      <w:marBottom w:val="0"/>
      <w:divBdr>
        <w:top w:val="none" w:sz="0" w:space="0" w:color="auto"/>
        <w:left w:val="none" w:sz="0" w:space="0" w:color="auto"/>
        <w:bottom w:val="none" w:sz="0" w:space="0" w:color="auto"/>
        <w:right w:val="none" w:sz="0" w:space="0" w:color="auto"/>
      </w:divBdr>
    </w:div>
    <w:div w:id="1454669239">
      <w:bodyDiv w:val="1"/>
      <w:marLeft w:val="0"/>
      <w:marRight w:val="0"/>
      <w:marTop w:val="0"/>
      <w:marBottom w:val="0"/>
      <w:divBdr>
        <w:top w:val="none" w:sz="0" w:space="0" w:color="auto"/>
        <w:left w:val="none" w:sz="0" w:space="0" w:color="auto"/>
        <w:bottom w:val="none" w:sz="0" w:space="0" w:color="auto"/>
        <w:right w:val="none" w:sz="0" w:space="0" w:color="auto"/>
      </w:divBdr>
    </w:div>
    <w:div w:id="1497838235">
      <w:bodyDiv w:val="1"/>
      <w:marLeft w:val="0"/>
      <w:marRight w:val="0"/>
      <w:marTop w:val="0"/>
      <w:marBottom w:val="0"/>
      <w:divBdr>
        <w:top w:val="none" w:sz="0" w:space="0" w:color="auto"/>
        <w:left w:val="none" w:sz="0" w:space="0" w:color="auto"/>
        <w:bottom w:val="none" w:sz="0" w:space="0" w:color="auto"/>
        <w:right w:val="none" w:sz="0" w:space="0" w:color="auto"/>
      </w:divBdr>
    </w:div>
    <w:div w:id="1500582891">
      <w:bodyDiv w:val="1"/>
      <w:marLeft w:val="0"/>
      <w:marRight w:val="0"/>
      <w:marTop w:val="0"/>
      <w:marBottom w:val="0"/>
      <w:divBdr>
        <w:top w:val="none" w:sz="0" w:space="0" w:color="auto"/>
        <w:left w:val="none" w:sz="0" w:space="0" w:color="auto"/>
        <w:bottom w:val="none" w:sz="0" w:space="0" w:color="auto"/>
        <w:right w:val="none" w:sz="0" w:space="0" w:color="auto"/>
      </w:divBdr>
    </w:div>
    <w:div w:id="1527871338">
      <w:bodyDiv w:val="1"/>
      <w:marLeft w:val="0"/>
      <w:marRight w:val="0"/>
      <w:marTop w:val="0"/>
      <w:marBottom w:val="0"/>
      <w:divBdr>
        <w:top w:val="none" w:sz="0" w:space="0" w:color="auto"/>
        <w:left w:val="none" w:sz="0" w:space="0" w:color="auto"/>
        <w:bottom w:val="none" w:sz="0" w:space="0" w:color="auto"/>
        <w:right w:val="none" w:sz="0" w:space="0" w:color="auto"/>
      </w:divBdr>
    </w:div>
    <w:div w:id="1538859939">
      <w:bodyDiv w:val="1"/>
      <w:marLeft w:val="0"/>
      <w:marRight w:val="0"/>
      <w:marTop w:val="0"/>
      <w:marBottom w:val="0"/>
      <w:divBdr>
        <w:top w:val="none" w:sz="0" w:space="0" w:color="auto"/>
        <w:left w:val="none" w:sz="0" w:space="0" w:color="auto"/>
        <w:bottom w:val="none" w:sz="0" w:space="0" w:color="auto"/>
        <w:right w:val="none" w:sz="0" w:space="0" w:color="auto"/>
      </w:divBdr>
    </w:div>
    <w:div w:id="1714192363">
      <w:bodyDiv w:val="1"/>
      <w:marLeft w:val="0"/>
      <w:marRight w:val="0"/>
      <w:marTop w:val="0"/>
      <w:marBottom w:val="0"/>
      <w:divBdr>
        <w:top w:val="none" w:sz="0" w:space="0" w:color="auto"/>
        <w:left w:val="none" w:sz="0" w:space="0" w:color="auto"/>
        <w:bottom w:val="none" w:sz="0" w:space="0" w:color="auto"/>
        <w:right w:val="none" w:sz="0" w:space="0" w:color="auto"/>
      </w:divBdr>
    </w:div>
    <w:div w:id="1759398666">
      <w:bodyDiv w:val="1"/>
      <w:marLeft w:val="0"/>
      <w:marRight w:val="0"/>
      <w:marTop w:val="0"/>
      <w:marBottom w:val="0"/>
      <w:divBdr>
        <w:top w:val="none" w:sz="0" w:space="0" w:color="auto"/>
        <w:left w:val="none" w:sz="0" w:space="0" w:color="auto"/>
        <w:bottom w:val="none" w:sz="0" w:space="0" w:color="auto"/>
        <w:right w:val="none" w:sz="0" w:space="0" w:color="auto"/>
      </w:divBdr>
    </w:div>
    <w:div w:id="1814103324">
      <w:bodyDiv w:val="1"/>
      <w:marLeft w:val="0"/>
      <w:marRight w:val="0"/>
      <w:marTop w:val="0"/>
      <w:marBottom w:val="0"/>
      <w:divBdr>
        <w:top w:val="none" w:sz="0" w:space="0" w:color="auto"/>
        <w:left w:val="none" w:sz="0" w:space="0" w:color="auto"/>
        <w:bottom w:val="none" w:sz="0" w:space="0" w:color="auto"/>
        <w:right w:val="none" w:sz="0" w:space="0" w:color="auto"/>
      </w:divBdr>
    </w:div>
    <w:div w:id="1845048822">
      <w:bodyDiv w:val="1"/>
      <w:marLeft w:val="0"/>
      <w:marRight w:val="0"/>
      <w:marTop w:val="0"/>
      <w:marBottom w:val="0"/>
      <w:divBdr>
        <w:top w:val="none" w:sz="0" w:space="0" w:color="auto"/>
        <w:left w:val="none" w:sz="0" w:space="0" w:color="auto"/>
        <w:bottom w:val="none" w:sz="0" w:space="0" w:color="auto"/>
        <w:right w:val="none" w:sz="0" w:space="0" w:color="auto"/>
      </w:divBdr>
    </w:div>
    <w:div w:id="1878855033">
      <w:bodyDiv w:val="1"/>
      <w:marLeft w:val="0"/>
      <w:marRight w:val="0"/>
      <w:marTop w:val="0"/>
      <w:marBottom w:val="0"/>
      <w:divBdr>
        <w:top w:val="none" w:sz="0" w:space="0" w:color="auto"/>
        <w:left w:val="none" w:sz="0" w:space="0" w:color="auto"/>
        <w:bottom w:val="none" w:sz="0" w:space="0" w:color="auto"/>
        <w:right w:val="none" w:sz="0" w:space="0" w:color="auto"/>
      </w:divBdr>
    </w:div>
    <w:div w:id="1894385160">
      <w:bodyDiv w:val="1"/>
      <w:marLeft w:val="0"/>
      <w:marRight w:val="0"/>
      <w:marTop w:val="0"/>
      <w:marBottom w:val="0"/>
      <w:divBdr>
        <w:top w:val="none" w:sz="0" w:space="0" w:color="auto"/>
        <w:left w:val="none" w:sz="0" w:space="0" w:color="auto"/>
        <w:bottom w:val="none" w:sz="0" w:space="0" w:color="auto"/>
        <w:right w:val="none" w:sz="0" w:space="0" w:color="auto"/>
      </w:divBdr>
    </w:div>
    <w:div w:id="1920213836">
      <w:bodyDiv w:val="1"/>
      <w:marLeft w:val="0"/>
      <w:marRight w:val="0"/>
      <w:marTop w:val="0"/>
      <w:marBottom w:val="0"/>
      <w:divBdr>
        <w:top w:val="none" w:sz="0" w:space="0" w:color="auto"/>
        <w:left w:val="none" w:sz="0" w:space="0" w:color="auto"/>
        <w:bottom w:val="none" w:sz="0" w:space="0" w:color="auto"/>
        <w:right w:val="none" w:sz="0" w:space="0" w:color="auto"/>
      </w:divBdr>
    </w:div>
    <w:div w:id="1958369438">
      <w:bodyDiv w:val="1"/>
      <w:marLeft w:val="0"/>
      <w:marRight w:val="0"/>
      <w:marTop w:val="0"/>
      <w:marBottom w:val="0"/>
      <w:divBdr>
        <w:top w:val="none" w:sz="0" w:space="0" w:color="auto"/>
        <w:left w:val="none" w:sz="0" w:space="0" w:color="auto"/>
        <w:bottom w:val="none" w:sz="0" w:space="0" w:color="auto"/>
        <w:right w:val="none" w:sz="0" w:space="0" w:color="auto"/>
      </w:divBdr>
    </w:div>
    <w:div w:id="1987002843">
      <w:bodyDiv w:val="1"/>
      <w:marLeft w:val="0"/>
      <w:marRight w:val="0"/>
      <w:marTop w:val="0"/>
      <w:marBottom w:val="0"/>
      <w:divBdr>
        <w:top w:val="none" w:sz="0" w:space="0" w:color="auto"/>
        <w:left w:val="none" w:sz="0" w:space="0" w:color="auto"/>
        <w:bottom w:val="none" w:sz="0" w:space="0" w:color="auto"/>
        <w:right w:val="none" w:sz="0" w:space="0" w:color="auto"/>
      </w:divBdr>
    </w:div>
    <w:div w:id="2075467602">
      <w:bodyDiv w:val="1"/>
      <w:marLeft w:val="0"/>
      <w:marRight w:val="0"/>
      <w:marTop w:val="0"/>
      <w:marBottom w:val="0"/>
      <w:divBdr>
        <w:top w:val="none" w:sz="0" w:space="0" w:color="auto"/>
        <w:left w:val="none" w:sz="0" w:space="0" w:color="auto"/>
        <w:bottom w:val="none" w:sz="0" w:space="0" w:color="auto"/>
        <w:right w:val="none" w:sz="0" w:space="0" w:color="auto"/>
      </w:divBdr>
      <w:divsChild>
        <w:div w:id="907765565">
          <w:marLeft w:val="255"/>
          <w:marRight w:val="0"/>
          <w:marTop w:val="0"/>
          <w:marBottom w:val="0"/>
          <w:divBdr>
            <w:top w:val="none" w:sz="0" w:space="0" w:color="auto"/>
            <w:left w:val="none" w:sz="0" w:space="0" w:color="auto"/>
            <w:bottom w:val="none" w:sz="0" w:space="0" w:color="auto"/>
            <w:right w:val="none" w:sz="0" w:space="0" w:color="auto"/>
          </w:divBdr>
        </w:div>
        <w:div w:id="614555158">
          <w:marLeft w:val="255"/>
          <w:marRight w:val="0"/>
          <w:marTop w:val="0"/>
          <w:marBottom w:val="0"/>
          <w:divBdr>
            <w:top w:val="none" w:sz="0" w:space="0" w:color="auto"/>
            <w:left w:val="none" w:sz="0" w:space="0" w:color="auto"/>
            <w:bottom w:val="none" w:sz="0" w:space="0" w:color="auto"/>
            <w:right w:val="none" w:sz="0" w:space="0" w:color="auto"/>
          </w:divBdr>
        </w:div>
        <w:div w:id="238563424">
          <w:marLeft w:val="255"/>
          <w:marRight w:val="0"/>
          <w:marTop w:val="0"/>
          <w:marBottom w:val="0"/>
          <w:divBdr>
            <w:top w:val="none" w:sz="0" w:space="0" w:color="auto"/>
            <w:left w:val="none" w:sz="0" w:space="0" w:color="auto"/>
            <w:bottom w:val="none" w:sz="0" w:space="0" w:color="auto"/>
            <w:right w:val="none" w:sz="0" w:space="0" w:color="auto"/>
          </w:divBdr>
        </w:div>
        <w:div w:id="2004697281">
          <w:marLeft w:val="255"/>
          <w:marRight w:val="0"/>
          <w:marTop w:val="0"/>
          <w:marBottom w:val="0"/>
          <w:divBdr>
            <w:top w:val="none" w:sz="0" w:space="0" w:color="auto"/>
            <w:left w:val="none" w:sz="0" w:space="0" w:color="auto"/>
            <w:bottom w:val="none" w:sz="0" w:space="0" w:color="auto"/>
            <w:right w:val="none" w:sz="0" w:space="0" w:color="auto"/>
          </w:divBdr>
        </w:div>
        <w:div w:id="1434285204">
          <w:marLeft w:val="255"/>
          <w:marRight w:val="0"/>
          <w:marTop w:val="0"/>
          <w:marBottom w:val="0"/>
          <w:divBdr>
            <w:top w:val="none" w:sz="0" w:space="0" w:color="auto"/>
            <w:left w:val="none" w:sz="0" w:space="0" w:color="auto"/>
            <w:bottom w:val="none" w:sz="0" w:space="0" w:color="auto"/>
            <w:right w:val="none" w:sz="0" w:space="0" w:color="auto"/>
          </w:divBdr>
        </w:div>
      </w:divsChild>
    </w:div>
    <w:div w:id="2102947293">
      <w:bodyDiv w:val="1"/>
      <w:marLeft w:val="0"/>
      <w:marRight w:val="0"/>
      <w:marTop w:val="0"/>
      <w:marBottom w:val="0"/>
      <w:divBdr>
        <w:top w:val="none" w:sz="0" w:space="0" w:color="auto"/>
        <w:left w:val="none" w:sz="0" w:space="0" w:color="auto"/>
        <w:bottom w:val="none" w:sz="0" w:space="0" w:color="auto"/>
        <w:right w:val="none" w:sz="0" w:space="0" w:color="auto"/>
      </w:divBdr>
    </w:div>
    <w:div w:id="21347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statistics.sk/showdoc.do?docid=1924" TargetMode="External"/><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diagramData" Target="diagrams/data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diagramQuickStyle" Target="diagrams/quickStyle1.xml"/><Relationship Id="rId27" Type="http://schemas.openxmlformats.org/officeDocument/2006/relationships/footer" Target="footer3.xml"/><Relationship Id="rId30"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1D0AE-E20F-4729-8B4D-B3833993BD7A}" type="doc">
      <dgm:prSet loTypeId="urn:microsoft.com/office/officeart/2005/8/layout/orgChart1" loCatId="hierarchy" qsTypeId="urn:microsoft.com/office/officeart/2005/8/quickstyle/simple1" qsCatId="simple" csTypeId="urn:microsoft.com/office/officeart/2005/8/colors/accent1_2" csCatId="accent1" phldr="1"/>
      <dgm:spPr/>
    </dgm:pt>
    <dgm:pt modelId="{5F254598-ACFD-4493-9147-CAEE4774F119}">
      <dgm:prSet/>
      <dgm:spPr/>
      <dgm:t>
        <a:bodyPr/>
        <a:lstStyle/>
        <a:p>
          <a:pPr marR="0" algn="ctr" rtl="0"/>
          <a:r>
            <a:rPr lang="sk-SK" b="0" i="0" u="none" strike="noStrike" baseline="0" smtClean="0">
              <a:latin typeface="Times New Roman"/>
            </a:rPr>
            <a:t>Fázy vykonávania testu MSP</a:t>
          </a:r>
          <a:endParaRPr lang="sk-SK" smtClean="0"/>
        </a:p>
      </dgm:t>
    </dgm:pt>
    <dgm:pt modelId="{40DBE72A-9A47-4523-86E0-3FE2F8929102}" type="parTrans" cxnId="{52C65F7A-4DFE-438D-8BC3-CEF20881B7EF}">
      <dgm:prSet/>
      <dgm:spPr/>
      <dgm:t>
        <a:bodyPr/>
        <a:lstStyle/>
        <a:p>
          <a:endParaRPr lang="sk-SK"/>
        </a:p>
      </dgm:t>
    </dgm:pt>
    <dgm:pt modelId="{2F82F967-4AD6-4E34-B3CA-0E641571C92F}" type="sibTrans" cxnId="{52C65F7A-4DFE-438D-8BC3-CEF20881B7EF}">
      <dgm:prSet/>
      <dgm:spPr/>
      <dgm:t>
        <a:bodyPr/>
        <a:lstStyle/>
        <a:p>
          <a:endParaRPr lang="sk-SK"/>
        </a:p>
      </dgm:t>
    </dgm:pt>
    <dgm:pt modelId="{1370191D-207C-43DE-9CDC-F0981E038579}">
      <dgm:prSet/>
      <dgm:spPr/>
      <dgm:t>
        <a:bodyPr/>
        <a:lstStyle/>
        <a:p>
          <a:pPr marR="0" algn="ctr" rtl="0"/>
          <a:r>
            <a:rPr lang="sk-SK" b="0" i="0" u="none" strike="noStrike" baseline="0" smtClean="0">
              <a:latin typeface="Times New Roman"/>
            </a:rPr>
            <a:t>1.Konzultácie so zástupcami MSP</a:t>
          </a:r>
          <a:endParaRPr lang="sk-SK" smtClean="0"/>
        </a:p>
      </dgm:t>
    </dgm:pt>
    <dgm:pt modelId="{8607C018-2BCA-4E1E-ADC6-E43D2DCFDEB5}" type="parTrans" cxnId="{BBCA088B-4086-42D9-A781-F37231ED6E23}">
      <dgm:prSet/>
      <dgm:spPr/>
      <dgm:t>
        <a:bodyPr/>
        <a:lstStyle/>
        <a:p>
          <a:endParaRPr lang="sk-SK"/>
        </a:p>
      </dgm:t>
    </dgm:pt>
    <dgm:pt modelId="{BC9B71A1-06FB-4513-85F4-8E33AA99A8E8}" type="sibTrans" cxnId="{BBCA088B-4086-42D9-A781-F37231ED6E23}">
      <dgm:prSet/>
      <dgm:spPr/>
      <dgm:t>
        <a:bodyPr/>
        <a:lstStyle/>
        <a:p>
          <a:endParaRPr lang="sk-SK"/>
        </a:p>
      </dgm:t>
    </dgm:pt>
    <dgm:pt modelId="{521874EA-6E41-4711-BB7A-E45EB2C177CD}">
      <dgm:prSet/>
      <dgm:spPr/>
      <dgm:t>
        <a:bodyPr/>
        <a:lstStyle/>
        <a:p>
          <a:pPr marR="0" algn="ctr" rtl="0"/>
          <a:r>
            <a:rPr lang="sk-SK" b="0" i="0" u="none" strike="noStrike" baseline="0" smtClean="0">
              <a:latin typeface="Times New Roman"/>
            </a:rPr>
            <a:t>2. Predbežné posúdenie pravdepodobne 	ovplyvnených podnikateľských subjektov  </a:t>
          </a:r>
          <a:endParaRPr lang="sk-SK" smtClean="0"/>
        </a:p>
      </dgm:t>
    </dgm:pt>
    <dgm:pt modelId="{B9FF5DD2-0314-466F-BD07-538275B06742}" type="parTrans" cxnId="{92CCDD2A-052E-4850-BDDB-960A3DD74246}">
      <dgm:prSet/>
      <dgm:spPr/>
      <dgm:t>
        <a:bodyPr/>
        <a:lstStyle/>
        <a:p>
          <a:endParaRPr lang="sk-SK"/>
        </a:p>
      </dgm:t>
    </dgm:pt>
    <dgm:pt modelId="{737D1A14-5437-411B-B2D3-06BEF36D2563}" type="sibTrans" cxnId="{92CCDD2A-052E-4850-BDDB-960A3DD74246}">
      <dgm:prSet/>
      <dgm:spPr/>
      <dgm:t>
        <a:bodyPr/>
        <a:lstStyle/>
        <a:p>
          <a:endParaRPr lang="sk-SK"/>
        </a:p>
      </dgm:t>
    </dgm:pt>
    <dgm:pt modelId="{A7FC6FC6-4038-4346-AF81-4CF1C7F0186C}">
      <dgm:prSet/>
      <dgm:spPr/>
      <dgm:t>
        <a:bodyPr/>
        <a:lstStyle/>
        <a:p>
          <a:pPr marR="0" algn="ctr" rtl="0"/>
          <a:r>
            <a:rPr lang="sk-SK" b="0" i="0" u="none" strike="noStrike" baseline="0" smtClean="0">
              <a:latin typeface="Times New Roman"/>
            </a:rPr>
            <a:t>3.Meranie vplyvu regulácie na MSP</a:t>
          </a:r>
          <a:endParaRPr lang="sk-SK" smtClean="0"/>
        </a:p>
      </dgm:t>
    </dgm:pt>
    <dgm:pt modelId="{A7F615EF-BE2C-4D7C-A492-BF26AE09E984}" type="parTrans" cxnId="{C437F6FA-A1F2-4AA4-97E7-36ABAB8F743B}">
      <dgm:prSet/>
      <dgm:spPr/>
      <dgm:t>
        <a:bodyPr/>
        <a:lstStyle/>
        <a:p>
          <a:endParaRPr lang="sk-SK"/>
        </a:p>
      </dgm:t>
    </dgm:pt>
    <dgm:pt modelId="{FF240594-2146-4CD9-A951-1EC7239FE915}" type="sibTrans" cxnId="{C437F6FA-A1F2-4AA4-97E7-36ABAB8F743B}">
      <dgm:prSet/>
      <dgm:spPr/>
      <dgm:t>
        <a:bodyPr/>
        <a:lstStyle/>
        <a:p>
          <a:endParaRPr lang="sk-SK"/>
        </a:p>
      </dgm:t>
    </dgm:pt>
    <dgm:pt modelId="{5E0484C8-FB5C-4D97-9AD7-902A22E6BB39}">
      <dgm:prSet/>
      <dgm:spPr/>
      <dgm:t>
        <a:bodyPr/>
        <a:lstStyle/>
        <a:p>
          <a:pPr marR="0" algn="ctr" rtl="0"/>
          <a:r>
            <a:rPr lang="sk-SK" b="0" i="0" u="none" strike="noStrike" baseline="0" smtClean="0">
              <a:latin typeface="Times New Roman"/>
            </a:rPr>
            <a:t>4.Posúdenie alternatívnych možností a zmierňujúcich opatrení pre MSP</a:t>
          </a:r>
          <a:endParaRPr lang="sk-SK" smtClean="0"/>
        </a:p>
      </dgm:t>
    </dgm:pt>
    <dgm:pt modelId="{1DFAA7B4-76A5-4AA7-B947-6DF855D7B913}" type="parTrans" cxnId="{67F2CB4C-F71D-4284-899A-090500D6B280}">
      <dgm:prSet/>
      <dgm:spPr/>
      <dgm:t>
        <a:bodyPr/>
        <a:lstStyle/>
        <a:p>
          <a:endParaRPr lang="sk-SK"/>
        </a:p>
      </dgm:t>
    </dgm:pt>
    <dgm:pt modelId="{B9B0AEC9-2573-4F14-B2ED-D5961A6B6CA3}" type="sibTrans" cxnId="{67F2CB4C-F71D-4284-899A-090500D6B280}">
      <dgm:prSet/>
      <dgm:spPr/>
      <dgm:t>
        <a:bodyPr/>
        <a:lstStyle/>
        <a:p>
          <a:endParaRPr lang="sk-SK"/>
        </a:p>
      </dgm:t>
    </dgm:pt>
    <dgm:pt modelId="{57BA9BCC-365A-4710-9F0B-AE5E34111283}" type="pres">
      <dgm:prSet presAssocID="{C2E1D0AE-E20F-4729-8B4D-B3833993BD7A}" presName="hierChild1" presStyleCnt="0">
        <dgm:presLayoutVars>
          <dgm:orgChart val="1"/>
          <dgm:chPref val="1"/>
          <dgm:dir/>
          <dgm:animOne val="branch"/>
          <dgm:animLvl val="lvl"/>
          <dgm:resizeHandles/>
        </dgm:presLayoutVars>
      </dgm:prSet>
      <dgm:spPr/>
    </dgm:pt>
    <dgm:pt modelId="{0BD804DE-0CC3-4B2B-B109-02111D228D1C}" type="pres">
      <dgm:prSet presAssocID="{5F254598-ACFD-4493-9147-CAEE4774F119}" presName="hierRoot1" presStyleCnt="0">
        <dgm:presLayoutVars>
          <dgm:hierBranch val="r"/>
        </dgm:presLayoutVars>
      </dgm:prSet>
      <dgm:spPr/>
    </dgm:pt>
    <dgm:pt modelId="{65FDA49F-F7D0-4E40-A0FA-57FB787A4695}" type="pres">
      <dgm:prSet presAssocID="{5F254598-ACFD-4493-9147-CAEE4774F119}" presName="rootComposite1" presStyleCnt="0"/>
      <dgm:spPr/>
    </dgm:pt>
    <dgm:pt modelId="{A88F122A-3A8F-4C17-B7A2-132F691F99A7}" type="pres">
      <dgm:prSet presAssocID="{5F254598-ACFD-4493-9147-CAEE4774F119}" presName="rootText1" presStyleLbl="node0" presStyleIdx="0" presStyleCnt="1">
        <dgm:presLayoutVars>
          <dgm:chPref val="3"/>
        </dgm:presLayoutVars>
      </dgm:prSet>
      <dgm:spPr/>
      <dgm:t>
        <a:bodyPr/>
        <a:lstStyle/>
        <a:p>
          <a:endParaRPr lang="sk-SK"/>
        </a:p>
      </dgm:t>
    </dgm:pt>
    <dgm:pt modelId="{58B7CD29-7A92-4B60-A7CD-60691F41BE7C}" type="pres">
      <dgm:prSet presAssocID="{5F254598-ACFD-4493-9147-CAEE4774F119}" presName="rootConnector1" presStyleLbl="node1" presStyleIdx="0" presStyleCnt="0"/>
      <dgm:spPr/>
      <dgm:t>
        <a:bodyPr/>
        <a:lstStyle/>
        <a:p>
          <a:endParaRPr lang="sk-SK"/>
        </a:p>
      </dgm:t>
    </dgm:pt>
    <dgm:pt modelId="{BA33D02C-E6B6-4059-98A0-272816ED8E2C}" type="pres">
      <dgm:prSet presAssocID="{5F254598-ACFD-4493-9147-CAEE4774F119}" presName="hierChild2" presStyleCnt="0"/>
      <dgm:spPr/>
    </dgm:pt>
    <dgm:pt modelId="{72080392-37F8-4943-9AFF-57BB22A937C6}" type="pres">
      <dgm:prSet presAssocID="{8607C018-2BCA-4E1E-ADC6-E43D2DCFDEB5}" presName="Name50" presStyleLbl="parChTrans1D2" presStyleIdx="0" presStyleCnt="4"/>
      <dgm:spPr/>
      <dgm:t>
        <a:bodyPr/>
        <a:lstStyle/>
        <a:p>
          <a:endParaRPr lang="sk-SK"/>
        </a:p>
      </dgm:t>
    </dgm:pt>
    <dgm:pt modelId="{229B4DF4-BD81-468B-A53B-FB0C7A876323}" type="pres">
      <dgm:prSet presAssocID="{1370191D-207C-43DE-9CDC-F0981E038579}" presName="hierRoot2" presStyleCnt="0">
        <dgm:presLayoutVars>
          <dgm:hierBranch/>
        </dgm:presLayoutVars>
      </dgm:prSet>
      <dgm:spPr/>
    </dgm:pt>
    <dgm:pt modelId="{7A987FD8-82FC-4712-9F38-B080E93D24ED}" type="pres">
      <dgm:prSet presAssocID="{1370191D-207C-43DE-9CDC-F0981E038579}" presName="rootComposite" presStyleCnt="0"/>
      <dgm:spPr/>
    </dgm:pt>
    <dgm:pt modelId="{D4847877-A882-456B-89B5-4343B21D4101}" type="pres">
      <dgm:prSet presAssocID="{1370191D-207C-43DE-9CDC-F0981E038579}" presName="rootText" presStyleLbl="node2" presStyleIdx="0" presStyleCnt="4">
        <dgm:presLayoutVars>
          <dgm:chPref val="3"/>
        </dgm:presLayoutVars>
      </dgm:prSet>
      <dgm:spPr/>
      <dgm:t>
        <a:bodyPr/>
        <a:lstStyle/>
        <a:p>
          <a:endParaRPr lang="sk-SK"/>
        </a:p>
      </dgm:t>
    </dgm:pt>
    <dgm:pt modelId="{D320C5F2-C510-4CC0-B0D7-1794C6EC0817}" type="pres">
      <dgm:prSet presAssocID="{1370191D-207C-43DE-9CDC-F0981E038579}" presName="rootConnector" presStyleLbl="node2" presStyleIdx="0" presStyleCnt="4"/>
      <dgm:spPr/>
      <dgm:t>
        <a:bodyPr/>
        <a:lstStyle/>
        <a:p>
          <a:endParaRPr lang="sk-SK"/>
        </a:p>
      </dgm:t>
    </dgm:pt>
    <dgm:pt modelId="{55B6FE52-90C0-4EF4-A9D0-80E1AEE3206A}" type="pres">
      <dgm:prSet presAssocID="{1370191D-207C-43DE-9CDC-F0981E038579}" presName="hierChild4" presStyleCnt="0"/>
      <dgm:spPr/>
    </dgm:pt>
    <dgm:pt modelId="{E9533EDE-1C17-4306-8E7A-069D406094F6}" type="pres">
      <dgm:prSet presAssocID="{1370191D-207C-43DE-9CDC-F0981E038579}" presName="hierChild5" presStyleCnt="0"/>
      <dgm:spPr/>
    </dgm:pt>
    <dgm:pt modelId="{10A386F6-8ECE-439B-A83B-5B6AD2C4F8A0}" type="pres">
      <dgm:prSet presAssocID="{B9FF5DD2-0314-466F-BD07-538275B06742}" presName="Name50" presStyleLbl="parChTrans1D2" presStyleIdx="1" presStyleCnt="4"/>
      <dgm:spPr/>
      <dgm:t>
        <a:bodyPr/>
        <a:lstStyle/>
        <a:p>
          <a:endParaRPr lang="sk-SK"/>
        </a:p>
      </dgm:t>
    </dgm:pt>
    <dgm:pt modelId="{DC443BDB-9C53-4AC3-AFB6-C44125244C5A}" type="pres">
      <dgm:prSet presAssocID="{521874EA-6E41-4711-BB7A-E45EB2C177CD}" presName="hierRoot2" presStyleCnt="0">
        <dgm:presLayoutVars>
          <dgm:hierBranch/>
        </dgm:presLayoutVars>
      </dgm:prSet>
      <dgm:spPr/>
    </dgm:pt>
    <dgm:pt modelId="{E125083F-D170-4146-8875-50503A61DF6D}" type="pres">
      <dgm:prSet presAssocID="{521874EA-6E41-4711-BB7A-E45EB2C177CD}" presName="rootComposite" presStyleCnt="0"/>
      <dgm:spPr/>
    </dgm:pt>
    <dgm:pt modelId="{9B6AF713-8D67-4323-B646-4068A2BC876C}" type="pres">
      <dgm:prSet presAssocID="{521874EA-6E41-4711-BB7A-E45EB2C177CD}" presName="rootText" presStyleLbl="node2" presStyleIdx="1" presStyleCnt="4" custScaleX="145402">
        <dgm:presLayoutVars>
          <dgm:chPref val="3"/>
        </dgm:presLayoutVars>
      </dgm:prSet>
      <dgm:spPr/>
      <dgm:t>
        <a:bodyPr/>
        <a:lstStyle/>
        <a:p>
          <a:endParaRPr lang="sk-SK"/>
        </a:p>
      </dgm:t>
    </dgm:pt>
    <dgm:pt modelId="{CDBABD21-2F2F-4763-9C0D-A4F61B3E8103}" type="pres">
      <dgm:prSet presAssocID="{521874EA-6E41-4711-BB7A-E45EB2C177CD}" presName="rootConnector" presStyleLbl="node2" presStyleIdx="1" presStyleCnt="4"/>
      <dgm:spPr/>
      <dgm:t>
        <a:bodyPr/>
        <a:lstStyle/>
        <a:p>
          <a:endParaRPr lang="sk-SK"/>
        </a:p>
      </dgm:t>
    </dgm:pt>
    <dgm:pt modelId="{0D4862D6-E847-4693-A4EE-0AB36E91F054}" type="pres">
      <dgm:prSet presAssocID="{521874EA-6E41-4711-BB7A-E45EB2C177CD}" presName="hierChild4" presStyleCnt="0"/>
      <dgm:spPr/>
    </dgm:pt>
    <dgm:pt modelId="{030D4C91-6CD3-4E49-8C2B-514CC42BDE40}" type="pres">
      <dgm:prSet presAssocID="{521874EA-6E41-4711-BB7A-E45EB2C177CD}" presName="hierChild5" presStyleCnt="0"/>
      <dgm:spPr/>
    </dgm:pt>
    <dgm:pt modelId="{E51EEFB1-B4A9-477B-8D21-436571D7B2DC}" type="pres">
      <dgm:prSet presAssocID="{A7F615EF-BE2C-4D7C-A492-BF26AE09E984}" presName="Name50" presStyleLbl="parChTrans1D2" presStyleIdx="2" presStyleCnt="4"/>
      <dgm:spPr/>
      <dgm:t>
        <a:bodyPr/>
        <a:lstStyle/>
        <a:p>
          <a:endParaRPr lang="sk-SK"/>
        </a:p>
      </dgm:t>
    </dgm:pt>
    <dgm:pt modelId="{53C92187-E288-4BEB-9CBC-DCF4AF02986C}" type="pres">
      <dgm:prSet presAssocID="{A7FC6FC6-4038-4346-AF81-4CF1C7F0186C}" presName="hierRoot2" presStyleCnt="0">
        <dgm:presLayoutVars>
          <dgm:hierBranch/>
        </dgm:presLayoutVars>
      </dgm:prSet>
      <dgm:spPr/>
    </dgm:pt>
    <dgm:pt modelId="{8042F5BB-5128-46AC-85E7-DF67FE16424F}" type="pres">
      <dgm:prSet presAssocID="{A7FC6FC6-4038-4346-AF81-4CF1C7F0186C}" presName="rootComposite" presStyleCnt="0"/>
      <dgm:spPr/>
    </dgm:pt>
    <dgm:pt modelId="{DCD8670C-1B49-4FA3-8514-5EDFEC496BE7}" type="pres">
      <dgm:prSet presAssocID="{A7FC6FC6-4038-4346-AF81-4CF1C7F0186C}" presName="rootText" presStyleLbl="node2" presStyleIdx="2" presStyleCnt="4">
        <dgm:presLayoutVars>
          <dgm:chPref val="3"/>
        </dgm:presLayoutVars>
      </dgm:prSet>
      <dgm:spPr/>
      <dgm:t>
        <a:bodyPr/>
        <a:lstStyle/>
        <a:p>
          <a:endParaRPr lang="sk-SK"/>
        </a:p>
      </dgm:t>
    </dgm:pt>
    <dgm:pt modelId="{C3230535-DC83-4A49-95A2-CA8C7877350C}" type="pres">
      <dgm:prSet presAssocID="{A7FC6FC6-4038-4346-AF81-4CF1C7F0186C}" presName="rootConnector" presStyleLbl="node2" presStyleIdx="2" presStyleCnt="4"/>
      <dgm:spPr/>
      <dgm:t>
        <a:bodyPr/>
        <a:lstStyle/>
        <a:p>
          <a:endParaRPr lang="sk-SK"/>
        </a:p>
      </dgm:t>
    </dgm:pt>
    <dgm:pt modelId="{24BC225A-78D7-4DEE-A54C-E7D1C72CDCD4}" type="pres">
      <dgm:prSet presAssocID="{A7FC6FC6-4038-4346-AF81-4CF1C7F0186C}" presName="hierChild4" presStyleCnt="0"/>
      <dgm:spPr/>
    </dgm:pt>
    <dgm:pt modelId="{62D3D81B-8616-4E78-8027-9EAD873638D1}" type="pres">
      <dgm:prSet presAssocID="{A7FC6FC6-4038-4346-AF81-4CF1C7F0186C}" presName="hierChild5" presStyleCnt="0"/>
      <dgm:spPr/>
    </dgm:pt>
    <dgm:pt modelId="{20019C3C-E1E2-4DEA-8099-902EB7C68D37}" type="pres">
      <dgm:prSet presAssocID="{1DFAA7B4-76A5-4AA7-B947-6DF855D7B913}" presName="Name50" presStyleLbl="parChTrans1D2" presStyleIdx="3" presStyleCnt="4"/>
      <dgm:spPr/>
      <dgm:t>
        <a:bodyPr/>
        <a:lstStyle/>
        <a:p>
          <a:endParaRPr lang="sk-SK"/>
        </a:p>
      </dgm:t>
    </dgm:pt>
    <dgm:pt modelId="{B2B9D473-B6E9-4116-BAE6-D32CB111D4F4}" type="pres">
      <dgm:prSet presAssocID="{5E0484C8-FB5C-4D97-9AD7-902A22E6BB39}" presName="hierRoot2" presStyleCnt="0">
        <dgm:presLayoutVars>
          <dgm:hierBranch/>
        </dgm:presLayoutVars>
      </dgm:prSet>
      <dgm:spPr/>
    </dgm:pt>
    <dgm:pt modelId="{15AC2BCE-1B16-4659-B603-A3B26B985F65}" type="pres">
      <dgm:prSet presAssocID="{5E0484C8-FB5C-4D97-9AD7-902A22E6BB39}" presName="rootComposite" presStyleCnt="0"/>
      <dgm:spPr/>
    </dgm:pt>
    <dgm:pt modelId="{2B0DF7BF-458D-4CF0-A657-34F05C922494}" type="pres">
      <dgm:prSet presAssocID="{5E0484C8-FB5C-4D97-9AD7-902A22E6BB39}" presName="rootText" presStyleLbl="node2" presStyleIdx="3" presStyleCnt="4" custScaleX="147339">
        <dgm:presLayoutVars>
          <dgm:chPref val="3"/>
        </dgm:presLayoutVars>
      </dgm:prSet>
      <dgm:spPr/>
      <dgm:t>
        <a:bodyPr/>
        <a:lstStyle/>
        <a:p>
          <a:endParaRPr lang="sk-SK"/>
        </a:p>
      </dgm:t>
    </dgm:pt>
    <dgm:pt modelId="{E9390D1B-95F2-4E18-A586-967F1B064FC3}" type="pres">
      <dgm:prSet presAssocID="{5E0484C8-FB5C-4D97-9AD7-902A22E6BB39}" presName="rootConnector" presStyleLbl="node2" presStyleIdx="3" presStyleCnt="4"/>
      <dgm:spPr/>
      <dgm:t>
        <a:bodyPr/>
        <a:lstStyle/>
        <a:p>
          <a:endParaRPr lang="sk-SK"/>
        </a:p>
      </dgm:t>
    </dgm:pt>
    <dgm:pt modelId="{E6376C15-2F18-408F-BCE0-C072ABEEB7D5}" type="pres">
      <dgm:prSet presAssocID="{5E0484C8-FB5C-4D97-9AD7-902A22E6BB39}" presName="hierChild4" presStyleCnt="0"/>
      <dgm:spPr/>
    </dgm:pt>
    <dgm:pt modelId="{DD47F823-2ED3-4700-AC4C-7E91F414D76C}" type="pres">
      <dgm:prSet presAssocID="{5E0484C8-FB5C-4D97-9AD7-902A22E6BB39}" presName="hierChild5" presStyleCnt="0"/>
      <dgm:spPr/>
    </dgm:pt>
    <dgm:pt modelId="{F7E90810-6952-4C99-96EE-7B99998F91D0}" type="pres">
      <dgm:prSet presAssocID="{5F254598-ACFD-4493-9147-CAEE4774F119}" presName="hierChild3" presStyleCnt="0"/>
      <dgm:spPr/>
    </dgm:pt>
  </dgm:ptLst>
  <dgm:cxnLst>
    <dgm:cxn modelId="{919218CB-6057-4001-9AB0-0BF64203CFF8}" type="presOf" srcId="{521874EA-6E41-4711-BB7A-E45EB2C177CD}" destId="{CDBABD21-2F2F-4763-9C0D-A4F61B3E8103}" srcOrd="1" destOrd="0" presId="urn:microsoft.com/office/officeart/2005/8/layout/orgChart1"/>
    <dgm:cxn modelId="{481D37C2-5E42-447D-94AC-4A6A342BEC95}" type="presOf" srcId="{1370191D-207C-43DE-9CDC-F0981E038579}" destId="{D4847877-A882-456B-89B5-4343B21D4101}" srcOrd="0" destOrd="0" presId="urn:microsoft.com/office/officeart/2005/8/layout/orgChart1"/>
    <dgm:cxn modelId="{BBCA088B-4086-42D9-A781-F37231ED6E23}" srcId="{5F254598-ACFD-4493-9147-CAEE4774F119}" destId="{1370191D-207C-43DE-9CDC-F0981E038579}" srcOrd="0" destOrd="0" parTransId="{8607C018-2BCA-4E1E-ADC6-E43D2DCFDEB5}" sibTransId="{BC9B71A1-06FB-4513-85F4-8E33AA99A8E8}"/>
    <dgm:cxn modelId="{B82AEE86-C355-4A22-BD57-1FBD3AA0C3D7}" type="presOf" srcId="{5F254598-ACFD-4493-9147-CAEE4774F119}" destId="{58B7CD29-7A92-4B60-A7CD-60691F41BE7C}" srcOrd="1" destOrd="0" presId="urn:microsoft.com/office/officeart/2005/8/layout/orgChart1"/>
    <dgm:cxn modelId="{D8CEF9ED-F096-41FC-9C8E-1648212DADEA}" type="presOf" srcId="{5E0484C8-FB5C-4D97-9AD7-902A22E6BB39}" destId="{2B0DF7BF-458D-4CF0-A657-34F05C922494}" srcOrd="0" destOrd="0" presId="urn:microsoft.com/office/officeart/2005/8/layout/orgChart1"/>
    <dgm:cxn modelId="{92CCDD2A-052E-4850-BDDB-960A3DD74246}" srcId="{5F254598-ACFD-4493-9147-CAEE4774F119}" destId="{521874EA-6E41-4711-BB7A-E45EB2C177CD}" srcOrd="1" destOrd="0" parTransId="{B9FF5DD2-0314-466F-BD07-538275B06742}" sibTransId="{737D1A14-5437-411B-B2D3-06BEF36D2563}"/>
    <dgm:cxn modelId="{02AFDA5C-8395-424F-A424-2555453C3348}" type="presOf" srcId="{A7FC6FC6-4038-4346-AF81-4CF1C7F0186C}" destId="{DCD8670C-1B49-4FA3-8514-5EDFEC496BE7}" srcOrd="0" destOrd="0" presId="urn:microsoft.com/office/officeart/2005/8/layout/orgChart1"/>
    <dgm:cxn modelId="{67F2CB4C-F71D-4284-899A-090500D6B280}" srcId="{5F254598-ACFD-4493-9147-CAEE4774F119}" destId="{5E0484C8-FB5C-4D97-9AD7-902A22E6BB39}" srcOrd="3" destOrd="0" parTransId="{1DFAA7B4-76A5-4AA7-B947-6DF855D7B913}" sibTransId="{B9B0AEC9-2573-4F14-B2ED-D5961A6B6CA3}"/>
    <dgm:cxn modelId="{842E842F-0EA4-4A16-BE9D-459F242301C1}" type="presOf" srcId="{B9FF5DD2-0314-466F-BD07-538275B06742}" destId="{10A386F6-8ECE-439B-A83B-5B6AD2C4F8A0}" srcOrd="0" destOrd="0" presId="urn:microsoft.com/office/officeart/2005/8/layout/orgChart1"/>
    <dgm:cxn modelId="{5EC514E3-F119-4A82-A567-5D4DB1ACD04E}" type="presOf" srcId="{8607C018-2BCA-4E1E-ADC6-E43D2DCFDEB5}" destId="{72080392-37F8-4943-9AFF-57BB22A937C6}" srcOrd="0" destOrd="0" presId="urn:microsoft.com/office/officeart/2005/8/layout/orgChart1"/>
    <dgm:cxn modelId="{B76E77A6-4D83-4638-A26C-CAACCF9143D4}" type="presOf" srcId="{1370191D-207C-43DE-9CDC-F0981E038579}" destId="{D320C5F2-C510-4CC0-B0D7-1794C6EC0817}" srcOrd="1" destOrd="0" presId="urn:microsoft.com/office/officeart/2005/8/layout/orgChart1"/>
    <dgm:cxn modelId="{52C65F7A-4DFE-438D-8BC3-CEF20881B7EF}" srcId="{C2E1D0AE-E20F-4729-8B4D-B3833993BD7A}" destId="{5F254598-ACFD-4493-9147-CAEE4774F119}" srcOrd="0" destOrd="0" parTransId="{40DBE72A-9A47-4523-86E0-3FE2F8929102}" sibTransId="{2F82F967-4AD6-4E34-B3CA-0E641571C92F}"/>
    <dgm:cxn modelId="{67680862-718F-4DF5-81BE-C109DA27EA65}" type="presOf" srcId="{A7F615EF-BE2C-4D7C-A492-BF26AE09E984}" destId="{E51EEFB1-B4A9-477B-8D21-436571D7B2DC}" srcOrd="0" destOrd="0" presId="urn:microsoft.com/office/officeart/2005/8/layout/orgChart1"/>
    <dgm:cxn modelId="{E97FDBAF-55D6-42AD-B3C2-47D94CE86205}" type="presOf" srcId="{A7FC6FC6-4038-4346-AF81-4CF1C7F0186C}" destId="{C3230535-DC83-4A49-95A2-CA8C7877350C}" srcOrd="1" destOrd="0" presId="urn:microsoft.com/office/officeart/2005/8/layout/orgChart1"/>
    <dgm:cxn modelId="{3D4CC376-6DFB-4BA5-BDC8-6F3CBE1255AF}" type="presOf" srcId="{521874EA-6E41-4711-BB7A-E45EB2C177CD}" destId="{9B6AF713-8D67-4323-B646-4068A2BC876C}" srcOrd="0" destOrd="0" presId="urn:microsoft.com/office/officeart/2005/8/layout/orgChart1"/>
    <dgm:cxn modelId="{2209BB64-7565-453D-BF16-D8DEB8500F05}" type="presOf" srcId="{5E0484C8-FB5C-4D97-9AD7-902A22E6BB39}" destId="{E9390D1B-95F2-4E18-A586-967F1B064FC3}" srcOrd="1" destOrd="0" presId="urn:microsoft.com/office/officeart/2005/8/layout/orgChart1"/>
    <dgm:cxn modelId="{E486983F-7E16-47D6-A7B0-30F39069BB65}" type="presOf" srcId="{5F254598-ACFD-4493-9147-CAEE4774F119}" destId="{A88F122A-3A8F-4C17-B7A2-132F691F99A7}" srcOrd="0" destOrd="0" presId="urn:microsoft.com/office/officeart/2005/8/layout/orgChart1"/>
    <dgm:cxn modelId="{DA376C4B-657E-46F2-B7D3-6E72C6AB281E}" type="presOf" srcId="{C2E1D0AE-E20F-4729-8B4D-B3833993BD7A}" destId="{57BA9BCC-365A-4710-9F0B-AE5E34111283}" srcOrd="0" destOrd="0" presId="urn:microsoft.com/office/officeart/2005/8/layout/orgChart1"/>
    <dgm:cxn modelId="{C437F6FA-A1F2-4AA4-97E7-36ABAB8F743B}" srcId="{5F254598-ACFD-4493-9147-CAEE4774F119}" destId="{A7FC6FC6-4038-4346-AF81-4CF1C7F0186C}" srcOrd="2" destOrd="0" parTransId="{A7F615EF-BE2C-4D7C-A492-BF26AE09E984}" sibTransId="{FF240594-2146-4CD9-A951-1EC7239FE915}"/>
    <dgm:cxn modelId="{F19B9D22-17FB-4E5A-9242-2CDFA3AFD886}" type="presOf" srcId="{1DFAA7B4-76A5-4AA7-B947-6DF855D7B913}" destId="{20019C3C-E1E2-4DEA-8099-902EB7C68D37}" srcOrd="0" destOrd="0" presId="urn:microsoft.com/office/officeart/2005/8/layout/orgChart1"/>
    <dgm:cxn modelId="{81C03A21-FC2F-4E6A-993A-0C6E700E05D3}" type="presParOf" srcId="{57BA9BCC-365A-4710-9F0B-AE5E34111283}" destId="{0BD804DE-0CC3-4B2B-B109-02111D228D1C}" srcOrd="0" destOrd="0" presId="urn:microsoft.com/office/officeart/2005/8/layout/orgChart1"/>
    <dgm:cxn modelId="{5415769F-93E2-433C-AB38-7C230B664D2D}" type="presParOf" srcId="{0BD804DE-0CC3-4B2B-B109-02111D228D1C}" destId="{65FDA49F-F7D0-4E40-A0FA-57FB787A4695}" srcOrd="0" destOrd="0" presId="urn:microsoft.com/office/officeart/2005/8/layout/orgChart1"/>
    <dgm:cxn modelId="{D693A2FF-999B-45D7-A975-4C6C646187CA}" type="presParOf" srcId="{65FDA49F-F7D0-4E40-A0FA-57FB787A4695}" destId="{A88F122A-3A8F-4C17-B7A2-132F691F99A7}" srcOrd="0" destOrd="0" presId="urn:microsoft.com/office/officeart/2005/8/layout/orgChart1"/>
    <dgm:cxn modelId="{65EAC2AD-F3EF-45DF-B0FF-5291EA346AC0}" type="presParOf" srcId="{65FDA49F-F7D0-4E40-A0FA-57FB787A4695}" destId="{58B7CD29-7A92-4B60-A7CD-60691F41BE7C}" srcOrd="1" destOrd="0" presId="urn:microsoft.com/office/officeart/2005/8/layout/orgChart1"/>
    <dgm:cxn modelId="{85D54D1A-1B38-4696-BD7B-DEEBCB108C28}" type="presParOf" srcId="{0BD804DE-0CC3-4B2B-B109-02111D228D1C}" destId="{BA33D02C-E6B6-4059-98A0-272816ED8E2C}" srcOrd="1" destOrd="0" presId="urn:microsoft.com/office/officeart/2005/8/layout/orgChart1"/>
    <dgm:cxn modelId="{975C6835-F38F-4BDA-B660-5115DD4CF6F0}" type="presParOf" srcId="{BA33D02C-E6B6-4059-98A0-272816ED8E2C}" destId="{72080392-37F8-4943-9AFF-57BB22A937C6}" srcOrd="0" destOrd="0" presId="urn:microsoft.com/office/officeart/2005/8/layout/orgChart1"/>
    <dgm:cxn modelId="{BEDBD814-4D6B-491A-A83D-A70037A6A2B3}" type="presParOf" srcId="{BA33D02C-E6B6-4059-98A0-272816ED8E2C}" destId="{229B4DF4-BD81-468B-A53B-FB0C7A876323}" srcOrd="1" destOrd="0" presId="urn:microsoft.com/office/officeart/2005/8/layout/orgChart1"/>
    <dgm:cxn modelId="{C09A01E6-0C68-4A7F-8D76-13075E77BD37}" type="presParOf" srcId="{229B4DF4-BD81-468B-A53B-FB0C7A876323}" destId="{7A987FD8-82FC-4712-9F38-B080E93D24ED}" srcOrd="0" destOrd="0" presId="urn:microsoft.com/office/officeart/2005/8/layout/orgChart1"/>
    <dgm:cxn modelId="{3FE1933F-1C7A-48D6-8881-8244657D1A13}" type="presParOf" srcId="{7A987FD8-82FC-4712-9F38-B080E93D24ED}" destId="{D4847877-A882-456B-89B5-4343B21D4101}" srcOrd="0" destOrd="0" presId="urn:microsoft.com/office/officeart/2005/8/layout/orgChart1"/>
    <dgm:cxn modelId="{41140195-7749-4160-9FE7-101902456FAC}" type="presParOf" srcId="{7A987FD8-82FC-4712-9F38-B080E93D24ED}" destId="{D320C5F2-C510-4CC0-B0D7-1794C6EC0817}" srcOrd="1" destOrd="0" presId="urn:microsoft.com/office/officeart/2005/8/layout/orgChart1"/>
    <dgm:cxn modelId="{257D4CC3-D8E1-464C-9C61-63CA33D8EBE7}" type="presParOf" srcId="{229B4DF4-BD81-468B-A53B-FB0C7A876323}" destId="{55B6FE52-90C0-4EF4-A9D0-80E1AEE3206A}" srcOrd="1" destOrd="0" presId="urn:microsoft.com/office/officeart/2005/8/layout/orgChart1"/>
    <dgm:cxn modelId="{7ABCE47B-0B23-4E78-8B9E-4BCB56716392}" type="presParOf" srcId="{229B4DF4-BD81-468B-A53B-FB0C7A876323}" destId="{E9533EDE-1C17-4306-8E7A-069D406094F6}" srcOrd="2" destOrd="0" presId="urn:microsoft.com/office/officeart/2005/8/layout/orgChart1"/>
    <dgm:cxn modelId="{1E8C7B96-EFFE-4B5B-836B-FE5DFC7AA64F}" type="presParOf" srcId="{BA33D02C-E6B6-4059-98A0-272816ED8E2C}" destId="{10A386F6-8ECE-439B-A83B-5B6AD2C4F8A0}" srcOrd="2" destOrd="0" presId="urn:microsoft.com/office/officeart/2005/8/layout/orgChart1"/>
    <dgm:cxn modelId="{FE960C0D-36D2-448A-B8F8-CFDB6F6025C3}" type="presParOf" srcId="{BA33D02C-E6B6-4059-98A0-272816ED8E2C}" destId="{DC443BDB-9C53-4AC3-AFB6-C44125244C5A}" srcOrd="3" destOrd="0" presId="urn:microsoft.com/office/officeart/2005/8/layout/orgChart1"/>
    <dgm:cxn modelId="{EA84AD53-78C5-45D8-97BE-228B40E71AFA}" type="presParOf" srcId="{DC443BDB-9C53-4AC3-AFB6-C44125244C5A}" destId="{E125083F-D170-4146-8875-50503A61DF6D}" srcOrd="0" destOrd="0" presId="urn:microsoft.com/office/officeart/2005/8/layout/orgChart1"/>
    <dgm:cxn modelId="{8474B470-88B3-4F02-B1DF-B3E58CFB3E2B}" type="presParOf" srcId="{E125083F-D170-4146-8875-50503A61DF6D}" destId="{9B6AF713-8D67-4323-B646-4068A2BC876C}" srcOrd="0" destOrd="0" presId="urn:microsoft.com/office/officeart/2005/8/layout/orgChart1"/>
    <dgm:cxn modelId="{7BB42831-69CD-4759-82DF-50C3033F9E4F}" type="presParOf" srcId="{E125083F-D170-4146-8875-50503A61DF6D}" destId="{CDBABD21-2F2F-4763-9C0D-A4F61B3E8103}" srcOrd="1" destOrd="0" presId="urn:microsoft.com/office/officeart/2005/8/layout/orgChart1"/>
    <dgm:cxn modelId="{A9B77AFE-3E22-470D-A27A-9BCE2308B7C1}" type="presParOf" srcId="{DC443BDB-9C53-4AC3-AFB6-C44125244C5A}" destId="{0D4862D6-E847-4693-A4EE-0AB36E91F054}" srcOrd="1" destOrd="0" presId="urn:microsoft.com/office/officeart/2005/8/layout/orgChart1"/>
    <dgm:cxn modelId="{68FF1DBC-4392-4EBA-8BB1-46B05CA041E1}" type="presParOf" srcId="{DC443BDB-9C53-4AC3-AFB6-C44125244C5A}" destId="{030D4C91-6CD3-4E49-8C2B-514CC42BDE40}" srcOrd="2" destOrd="0" presId="urn:microsoft.com/office/officeart/2005/8/layout/orgChart1"/>
    <dgm:cxn modelId="{90CBF379-C340-44EF-B48F-3081DA4B2C01}" type="presParOf" srcId="{BA33D02C-E6B6-4059-98A0-272816ED8E2C}" destId="{E51EEFB1-B4A9-477B-8D21-436571D7B2DC}" srcOrd="4" destOrd="0" presId="urn:microsoft.com/office/officeart/2005/8/layout/orgChart1"/>
    <dgm:cxn modelId="{DB95CAF0-FED8-42AB-8868-38F6C250E774}" type="presParOf" srcId="{BA33D02C-E6B6-4059-98A0-272816ED8E2C}" destId="{53C92187-E288-4BEB-9CBC-DCF4AF02986C}" srcOrd="5" destOrd="0" presId="urn:microsoft.com/office/officeart/2005/8/layout/orgChart1"/>
    <dgm:cxn modelId="{392A9730-AE72-4247-A56E-E94CE9848310}" type="presParOf" srcId="{53C92187-E288-4BEB-9CBC-DCF4AF02986C}" destId="{8042F5BB-5128-46AC-85E7-DF67FE16424F}" srcOrd="0" destOrd="0" presId="urn:microsoft.com/office/officeart/2005/8/layout/orgChart1"/>
    <dgm:cxn modelId="{96E46138-BB7A-4528-AF8F-8B326FA3930E}" type="presParOf" srcId="{8042F5BB-5128-46AC-85E7-DF67FE16424F}" destId="{DCD8670C-1B49-4FA3-8514-5EDFEC496BE7}" srcOrd="0" destOrd="0" presId="urn:microsoft.com/office/officeart/2005/8/layout/orgChart1"/>
    <dgm:cxn modelId="{0C388E47-CBAA-443E-8A7C-896130C23B8A}" type="presParOf" srcId="{8042F5BB-5128-46AC-85E7-DF67FE16424F}" destId="{C3230535-DC83-4A49-95A2-CA8C7877350C}" srcOrd="1" destOrd="0" presId="urn:microsoft.com/office/officeart/2005/8/layout/orgChart1"/>
    <dgm:cxn modelId="{C7C1B4E7-ADAD-45AC-B508-F07910DAD05D}" type="presParOf" srcId="{53C92187-E288-4BEB-9CBC-DCF4AF02986C}" destId="{24BC225A-78D7-4DEE-A54C-E7D1C72CDCD4}" srcOrd="1" destOrd="0" presId="urn:microsoft.com/office/officeart/2005/8/layout/orgChart1"/>
    <dgm:cxn modelId="{327B7A2C-2FE9-4F9F-9046-AC84E4388BBB}" type="presParOf" srcId="{53C92187-E288-4BEB-9CBC-DCF4AF02986C}" destId="{62D3D81B-8616-4E78-8027-9EAD873638D1}" srcOrd="2" destOrd="0" presId="urn:microsoft.com/office/officeart/2005/8/layout/orgChart1"/>
    <dgm:cxn modelId="{CF0D83A3-5462-4947-A3C7-25404A8F125C}" type="presParOf" srcId="{BA33D02C-E6B6-4059-98A0-272816ED8E2C}" destId="{20019C3C-E1E2-4DEA-8099-902EB7C68D37}" srcOrd="6" destOrd="0" presId="urn:microsoft.com/office/officeart/2005/8/layout/orgChart1"/>
    <dgm:cxn modelId="{F0665F99-E51D-46F8-9E15-C8B9A5784494}" type="presParOf" srcId="{BA33D02C-E6B6-4059-98A0-272816ED8E2C}" destId="{B2B9D473-B6E9-4116-BAE6-D32CB111D4F4}" srcOrd="7" destOrd="0" presId="urn:microsoft.com/office/officeart/2005/8/layout/orgChart1"/>
    <dgm:cxn modelId="{BF6221C5-43AE-49A1-9040-6DC1F94EB1EB}" type="presParOf" srcId="{B2B9D473-B6E9-4116-BAE6-D32CB111D4F4}" destId="{15AC2BCE-1B16-4659-B603-A3B26B985F65}" srcOrd="0" destOrd="0" presId="urn:microsoft.com/office/officeart/2005/8/layout/orgChart1"/>
    <dgm:cxn modelId="{6871B9F1-0700-4BFB-A96E-0B5DAB17EAD0}" type="presParOf" srcId="{15AC2BCE-1B16-4659-B603-A3B26B985F65}" destId="{2B0DF7BF-458D-4CF0-A657-34F05C922494}" srcOrd="0" destOrd="0" presId="urn:microsoft.com/office/officeart/2005/8/layout/orgChart1"/>
    <dgm:cxn modelId="{61C7BDAB-F359-4D3C-B56F-2609E536A79B}" type="presParOf" srcId="{15AC2BCE-1B16-4659-B603-A3B26B985F65}" destId="{E9390D1B-95F2-4E18-A586-967F1B064FC3}" srcOrd="1" destOrd="0" presId="urn:microsoft.com/office/officeart/2005/8/layout/orgChart1"/>
    <dgm:cxn modelId="{A8B7604E-C948-447E-AD89-70A067912936}" type="presParOf" srcId="{B2B9D473-B6E9-4116-BAE6-D32CB111D4F4}" destId="{E6376C15-2F18-408F-BCE0-C072ABEEB7D5}" srcOrd="1" destOrd="0" presId="urn:microsoft.com/office/officeart/2005/8/layout/orgChart1"/>
    <dgm:cxn modelId="{5897A7EC-9789-4C8B-8E5E-3C589F8A9902}" type="presParOf" srcId="{B2B9D473-B6E9-4116-BAE6-D32CB111D4F4}" destId="{DD47F823-2ED3-4700-AC4C-7E91F414D76C}" srcOrd="2" destOrd="0" presId="urn:microsoft.com/office/officeart/2005/8/layout/orgChart1"/>
    <dgm:cxn modelId="{8E91539B-4F47-4D92-83C9-0D81522075B2}" type="presParOf" srcId="{0BD804DE-0CC3-4B2B-B109-02111D228D1C}" destId="{F7E90810-6952-4C99-96EE-7B99998F91D0}"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19C3C-E1E2-4DEA-8099-902EB7C68D37}">
      <dsp:nvSpPr>
        <dsp:cNvPr id="0" name=""/>
        <dsp:cNvSpPr/>
      </dsp:nvSpPr>
      <dsp:spPr>
        <a:xfrm>
          <a:off x="2117656" y="410734"/>
          <a:ext cx="123187" cy="2127043"/>
        </a:xfrm>
        <a:custGeom>
          <a:avLst/>
          <a:gdLst/>
          <a:ahLst/>
          <a:cxnLst/>
          <a:rect l="0" t="0" r="0" b="0"/>
          <a:pathLst>
            <a:path>
              <a:moveTo>
                <a:pt x="0" y="0"/>
              </a:moveTo>
              <a:lnTo>
                <a:pt x="0" y="2127043"/>
              </a:lnTo>
              <a:lnTo>
                <a:pt x="123187" y="21270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1EEFB1-B4A9-477B-8D21-436571D7B2DC}">
      <dsp:nvSpPr>
        <dsp:cNvPr id="0" name=""/>
        <dsp:cNvSpPr/>
      </dsp:nvSpPr>
      <dsp:spPr>
        <a:xfrm>
          <a:off x="2117656" y="410734"/>
          <a:ext cx="123187" cy="1543954"/>
        </a:xfrm>
        <a:custGeom>
          <a:avLst/>
          <a:gdLst/>
          <a:ahLst/>
          <a:cxnLst/>
          <a:rect l="0" t="0" r="0" b="0"/>
          <a:pathLst>
            <a:path>
              <a:moveTo>
                <a:pt x="0" y="0"/>
              </a:moveTo>
              <a:lnTo>
                <a:pt x="0" y="1543954"/>
              </a:lnTo>
              <a:lnTo>
                <a:pt x="123187" y="1543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A386F6-8ECE-439B-A83B-5B6AD2C4F8A0}">
      <dsp:nvSpPr>
        <dsp:cNvPr id="0" name=""/>
        <dsp:cNvSpPr/>
      </dsp:nvSpPr>
      <dsp:spPr>
        <a:xfrm>
          <a:off x="2117656" y="410734"/>
          <a:ext cx="123187" cy="960865"/>
        </a:xfrm>
        <a:custGeom>
          <a:avLst/>
          <a:gdLst/>
          <a:ahLst/>
          <a:cxnLst/>
          <a:rect l="0" t="0" r="0" b="0"/>
          <a:pathLst>
            <a:path>
              <a:moveTo>
                <a:pt x="0" y="0"/>
              </a:moveTo>
              <a:lnTo>
                <a:pt x="0" y="960865"/>
              </a:lnTo>
              <a:lnTo>
                <a:pt x="123187" y="960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80392-37F8-4943-9AFF-57BB22A937C6}">
      <dsp:nvSpPr>
        <dsp:cNvPr id="0" name=""/>
        <dsp:cNvSpPr/>
      </dsp:nvSpPr>
      <dsp:spPr>
        <a:xfrm>
          <a:off x="2117656" y="410734"/>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F122A-3A8F-4C17-B7A2-132F691F99A7}">
      <dsp:nvSpPr>
        <dsp:cNvPr id="0" name=""/>
        <dsp:cNvSpPr/>
      </dsp:nvSpPr>
      <dsp:spPr>
        <a:xfrm>
          <a:off x="2035531"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Fázy vykonávania testu MSP</a:t>
          </a:r>
          <a:endParaRPr lang="sk-SK" sz="700" kern="1200" smtClean="0"/>
        </a:p>
      </dsp:txBody>
      <dsp:txXfrm>
        <a:off x="2035531" y="108"/>
        <a:ext cx="821252" cy="410626"/>
      </dsp:txXfrm>
    </dsp:sp>
    <dsp:sp modelId="{D4847877-A882-456B-89B5-4343B21D4101}">
      <dsp:nvSpPr>
        <dsp:cNvPr id="0" name=""/>
        <dsp:cNvSpPr/>
      </dsp:nvSpPr>
      <dsp:spPr>
        <a:xfrm>
          <a:off x="2240844"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1.Konzultácie so zástupcami MSP</a:t>
          </a:r>
          <a:endParaRPr lang="sk-SK" sz="700" kern="1200" smtClean="0"/>
        </a:p>
      </dsp:txBody>
      <dsp:txXfrm>
        <a:off x="2240844" y="583197"/>
        <a:ext cx="821252" cy="410626"/>
      </dsp:txXfrm>
    </dsp:sp>
    <dsp:sp modelId="{9B6AF713-8D67-4323-B646-4068A2BC876C}">
      <dsp:nvSpPr>
        <dsp:cNvPr id="0" name=""/>
        <dsp:cNvSpPr/>
      </dsp:nvSpPr>
      <dsp:spPr>
        <a:xfrm>
          <a:off x="2240844" y="1166286"/>
          <a:ext cx="1194117"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2. Predbežné posúdenie pravdepodobne 	ovplyvnených podnikateľských subjektov  </a:t>
          </a:r>
          <a:endParaRPr lang="sk-SK" sz="700" kern="1200" smtClean="0"/>
        </a:p>
      </dsp:txBody>
      <dsp:txXfrm>
        <a:off x="2240844" y="1166286"/>
        <a:ext cx="1194117" cy="410626"/>
      </dsp:txXfrm>
    </dsp:sp>
    <dsp:sp modelId="{DCD8670C-1B49-4FA3-8514-5EDFEC496BE7}">
      <dsp:nvSpPr>
        <dsp:cNvPr id="0" name=""/>
        <dsp:cNvSpPr/>
      </dsp:nvSpPr>
      <dsp:spPr>
        <a:xfrm>
          <a:off x="2240844"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3.Meranie vplyvu regulácie na MSP</a:t>
          </a:r>
          <a:endParaRPr lang="sk-SK" sz="700" kern="1200" smtClean="0"/>
        </a:p>
      </dsp:txBody>
      <dsp:txXfrm>
        <a:off x="2240844" y="1749376"/>
        <a:ext cx="821252" cy="410626"/>
      </dsp:txXfrm>
    </dsp:sp>
    <dsp:sp modelId="{2B0DF7BF-458D-4CF0-A657-34F05C922494}">
      <dsp:nvSpPr>
        <dsp:cNvPr id="0" name=""/>
        <dsp:cNvSpPr/>
      </dsp:nvSpPr>
      <dsp:spPr>
        <a:xfrm>
          <a:off x="2240844" y="2332465"/>
          <a:ext cx="1210024"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4.Posúdenie alternatívnych možností a zmierňujúcich opatrení pre MSP</a:t>
          </a:r>
          <a:endParaRPr lang="sk-SK" sz="700" kern="1200" smtClean="0"/>
        </a:p>
      </dsp:txBody>
      <dsp:txXfrm>
        <a:off x="2240844" y="2332465"/>
        <a:ext cx="1210024"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osobitna-cast"/>
    <f:field ref="objsubject" par="" edit="true" text=""/>
    <f:field ref="objcreatedby" par="" text="Semanco, Martin, JUDr."/>
    <f:field ref="objcreatedat" par="" text="15.2.2018 11:21:25"/>
    <f:field ref="objchangedby" par="" text="Administrator, System"/>
    <f:field ref="objmodifiedat" par="" text="15.2.2018 11:21: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9A1E755-0FF5-462F-B7EF-DDB9BEE4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11042</Words>
  <Characters>62940</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Janíková, Michaela</dc:creator>
  <cp:keywords/>
  <dc:description/>
  <cp:lastModifiedBy>Michaela Janíková</cp:lastModifiedBy>
  <cp:revision>2</cp:revision>
  <cp:lastPrinted>2021-05-26T11:32:00Z</cp:lastPrinted>
  <dcterms:created xsi:type="dcterms:W3CDTF">2021-05-26T11:33:00Z</dcterms:created>
  <dcterms:modified xsi:type="dcterms:W3CDTF">2021-05-26T11:33:00Z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návrhu&amp;nbsp;&amp;nbsp;zákona o&amp;nbsp;niektorých opatreniach na znižovanie administratívnej záťaže využívaním informačných systémov verejnej správy a&amp;nbsp;o&amp;nbsp;zmene a&amp;nbsp;doplnení niektorých zákonov informovaná prostredníct</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Rokovanie Národnej rady SR</vt:lpwstr>
  </property>
  <property fmtid="{D5CDD505-2E9C-101B-9397-08002B2CF9AE}" pid="7" name="FSC#SKEDITIONSLOVLEX@103.510:povodpredpis">
    <vt:lpwstr>Slovlex (eLeg)</vt:lpwstr>
  </property>
  <property fmtid="{D5CDD505-2E9C-101B-9397-08002B2CF9AE}" pid="8" name="FSC#SKEDITIONSLOVLEX@103.510:legoblast">
    <vt:lpwstr>Správne právo_x000d_
Doprava_x000d_
Energetika a priemysel_x000d_
Geológia, geodézia, kartografia_x000d_
Lesy a lesné hospodárstvo_x000d_
Kultúra_x000d_
Lotérie a hazardné hry_x000d_
Obyvateľstvo a občianstvo_x000d_
Odpadové hospodárstvo_x000d_
Poľovníctvo a rybárstvo_x000d_
Poľnohospodárstvo a potravinárstvo_x000d_
Sta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Martin Semanco</vt:lpwstr>
  </property>
  <property fmtid="{D5CDD505-2E9C-101B-9397-08002B2CF9AE}" pid="12" name="FSC#SKEDITIONSLOVLEX@103.510:zodppredkladatel">
    <vt:lpwstr>Richard Raši</vt:lpwstr>
  </property>
  <property fmtid="{D5CDD505-2E9C-101B-9397-08002B2CF9AE}" pid="13" name="FSC#SKEDITIONSLOVLEX@103.510:dalsipredkladatel">
    <vt:lpwstr/>
  </property>
  <property fmtid="{D5CDD505-2E9C-101B-9397-08002B2CF9AE}" pid="14" name="FSC#SKEDITIONSLOVLEX@103.510:nazovpredpis">
    <vt:lpwstr> o niektorých opatreniach na znižovanie administratívnej záťaže osôb využívaním informačných systémov verejnej správy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podpredsedu vlády Slovenskej republiky pre investície a informatizáciu</vt:lpwstr>
  </property>
  <property fmtid="{D5CDD505-2E9C-101B-9397-08002B2CF9AE}" pid="20" name="FSC#SKEDITIONSLOVLEX@103.510:pripomienkovatelia">
    <vt:lpwstr>Úrad podpredsedu vlády Slovenskej republiky pre investície a informatizáciu, Úrad podpredsedu vlády Slovenskej republiky pre investície a informatizáciu, Úrad podpredsedu vlády Slovenskej republiky pre investície a informatizáciu, Úrad podpredsedu vlády S</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niektorých opatreniach na znižovanie administratívnej záťaže osôb využívaním informačných systémov verejnej správy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2628/2017/oLG-1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LP/2018/2</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18, 20 a 21 Zmluvy o fungovaní Európskej únie v platnom znení</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podpredsedu vlády Slovenskej republiky pre investície a informatizáciu</vt:lpwstr>
  </property>
  <property fmtid="{D5CDD505-2E9C-101B-9397-08002B2CF9AE}" pid="58" name="FSC#SKEDITIONSLOVLEX@103.510:AttrDateDocPropZaciatokPKK">
    <vt:lpwstr>19. 12. 2017</vt:lpwstr>
  </property>
  <property fmtid="{D5CDD505-2E9C-101B-9397-08002B2CF9AE}" pid="59" name="FSC#SKEDITIONSLOVLEX@103.510:AttrDateDocPropUkonceniePKK">
    <vt:lpwstr>28. 12. 2017</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1. zachovanie súčasného stavu- táto alternatíva nie je vhodná z dôvodu zbytočného administratívneho zaťažovania fyzických a právnických osôb pri kontakte so štátom, čo im prináša zvýšené finančné i časové náklady 2. zvolená alternatíva- nakoľko štát už dn</vt:lpwstr>
  </property>
  <property fmtid="{D5CDD505-2E9C-101B-9397-08002B2CF9AE}" pid="67" name="FSC#SKEDITIONSLOVLEX@103.510:AttrStrListDocPropStanoviskoGest">
    <vt:lpwstr>Komisia uplatňuje k materiálu nasledovné pripomienky a odporúčania: K analýze vplyvov na podnikateľské prostredie Komisia predkladateľovi odporúča v bode 3.1. Analýzy vplyvov na podnikateľské prostredie vychádzať z aktuálnejších údajov, než z údajov Štati</vt:lpwstr>
  </property>
  <property fmtid="{D5CDD505-2E9C-101B-9397-08002B2CF9AE}" pid="68" name="FSC#SKEDITIONSLOVLEX@103.510:AttrStrListDocPropTextKomunike">
    <vt:lpwstr>_x000d_
Vláda Slovenskej republiky na svojom rokovaní dňa ... prerokovala a schválila návrh zákona o niektorých opatreniach na znižovanie administratívnej záťaže využívaním informačných systémov verejnej správy a o zmene a doplnení niektorých zákonov._x000d_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 pre investície a informatizáciu_x000d_
ministri_x000d_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 pre investície a informatizáciu</vt:lpwstr>
  </property>
  <property fmtid="{D5CDD505-2E9C-101B-9397-08002B2CF9AE}" pid="142" name="FSC#SKEDITIONSLOVLEX@103.510:funkciaZodpPredAkuzativ">
    <vt:lpwstr>podpredsedovi vlády Slovenskej republiky pre investície a informatizáciu</vt:lpwstr>
  </property>
  <property fmtid="{D5CDD505-2E9C-101B-9397-08002B2CF9AE}" pid="143" name="FSC#SKEDITIONSLOVLEX@103.510:funkciaZodpPredDativ">
    <vt:lpwstr>podpredsedu vlády Slovenskej republiky pre investície a informatizáciu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Richard Raši_x000d_
podpredseda vlády Slovenskej republiky pre investície a informatizáciu</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o&amp;nbsp;niektorých opatreniach na znižovanie administratívnej záťaže využívaním informačných systémov verejnej správy a&amp;nbsp;o&amp;nbsp;zmene a&amp;nbsp;doplnení niektorých zákonov (ďalej len „návrh zákona“) predkladá na rokovanie vlády Slovenskej </vt:lpwstr>
  </property>
  <property fmtid="{D5CDD505-2E9C-101B-9397-08002B2CF9AE}" pid="150" name="FSC#SKEDITIONSLOVLEX@103.510:vytvorenedna">
    <vt:lpwstr>15. 2. 2018</vt:lpwstr>
  </property>
  <property fmtid="{D5CDD505-2E9C-101B-9397-08002B2CF9AE}" pid="151" name="FSC#COOSYSTEM@1.1:Container">
    <vt:lpwstr>COO.2145.1000.3.2432516</vt:lpwstr>
  </property>
  <property fmtid="{D5CDD505-2E9C-101B-9397-08002B2CF9AE}" pid="152" name="FSC#FSCFOLIO@1.1001:docpropproject">
    <vt:lpwstr/>
  </property>
</Properties>
</file>