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14:paraId="1C47B502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188D1108" w14:textId="77777777"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14:paraId="76D31E8B" w14:textId="77777777"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14:paraId="0CA4BA9A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05F7C09B" w14:textId="77777777"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14:paraId="11A03170" w14:textId="77777777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14:paraId="19CE3B34" w14:textId="77777777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6975394" w14:textId="77777777"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66E1FFF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14:paraId="6164AB49" w14:textId="77777777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7C1EAE6" w14:textId="77777777"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55D2518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14:paraId="24EB1D44" w14:textId="77777777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0BF7BE" w14:textId="77777777" w:rsidR="009F2DFA" w:rsidRPr="00F04CCD" w:rsidRDefault="00AC2438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C2C2743" w14:textId="77777777"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14:paraId="6ACE9111" w14:textId="77777777"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14:paraId="42C256E4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49955DB1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14:paraId="02383E80" w14:textId="77777777"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03BD9D8E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48C50FB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14:paraId="060B8A19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14:paraId="0FE91718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1F2C6D4B" w14:textId="77777777" w:rsidR="00D8471F" w:rsidRPr="00F83BD9" w:rsidRDefault="00D8471F" w:rsidP="00FE527E">
            <w:pPr>
              <w:jc w:val="both"/>
              <w:rPr>
                <w:rFonts w:ascii="Times" w:hAnsi="Times" w:cs="Times"/>
              </w:rPr>
            </w:pPr>
            <w:r w:rsidRPr="00F83BD9">
              <w:rPr>
                <w:rFonts w:ascii="Times" w:hAnsi="Times" w:cs="Times"/>
              </w:rPr>
              <w:t>Predkladaný materiál bude mať vplyv na subjekty, ktorým bola udelená autorizácia na výkon činnosti OZV pre obaly a na koordinačné centrum pre obaly v súvislosti so zmenou v spôsobe zabezpečenia triedeného zberu odpadov z obalov a odpadov z neobalových výrobkov v obciach.</w:t>
            </w:r>
          </w:p>
          <w:p w14:paraId="1E95392D" w14:textId="2C5AC265" w:rsidR="00D8471F" w:rsidRDefault="00D8471F" w:rsidP="00FE527E">
            <w:pPr>
              <w:jc w:val="both"/>
              <w:rPr>
                <w:rFonts w:ascii="Times" w:hAnsi="Times" w:cs="Times"/>
              </w:rPr>
            </w:pPr>
            <w:r w:rsidRPr="00F83BD9">
              <w:rPr>
                <w:rFonts w:ascii="Times" w:hAnsi="Times" w:cs="Times"/>
              </w:rPr>
              <w:t>Dotknuté budú subjekty, ktoré vykonávajú zber zmesového komunálneho o</w:t>
            </w:r>
            <w:r w:rsidR="00FE527E">
              <w:rPr>
                <w:rFonts w:ascii="Times" w:hAnsi="Times" w:cs="Times"/>
              </w:rPr>
              <w:t>dpadu a triedený zber odpadov z </w:t>
            </w:r>
            <w:r w:rsidRPr="00F83BD9">
              <w:rPr>
                <w:rFonts w:ascii="Times" w:hAnsi="Times" w:cs="Times"/>
              </w:rPr>
              <w:t>obalov a odpadov z neobalových výrobkov v obci.</w:t>
            </w:r>
          </w:p>
          <w:p w14:paraId="411971F7" w14:textId="77777777" w:rsidR="00427129" w:rsidRDefault="00D8471F" w:rsidP="00FE527E">
            <w:pPr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Dotknuté budú aj všetky subjekty podieľajúce sa na zabezpečení cieľov zberu odpadov z obalov a odpadov z neobalových výrobkov v súvislosti so zmenou v plnení na kalendárny rok a v súvislosti so zvyšujúcim sa cieľom zberu do roku 2025.</w:t>
            </w:r>
          </w:p>
          <w:p w14:paraId="24BF9B74" w14:textId="77777777" w:rsidR="00427129" w:rsidRPr="00B974A7" w:rsidRDefault="00427129" w:rsidP="00FE527E">
            <w:pPr>
              <w:jc w:val="both"/>
              <w:rPr>
                <w:rFonts w:ascii="Times" w:hAnsi="Times" w:cs="Times"/>
              </w:rPr>
            </w:pPr>
            <w:r w:rsidRPr="00B974A7">
              <w:rPr>
                <w:rFonts w:ascii="Times" w:hAnsi="Times" w:cs="Times"/>
              </w:rPr>
              <w:t>Predkladaný materiál bude mať vplyv na fyzické osoby – podnikateľov, resp. právnické osoby, ktoré majú v zmysle zákona o odpadoch povinnosť mať udelené súhlasy, ktorých vypustenie je predmetom návrhu zákona.</w:t>
            </w:r>
          </w:p>
          <w:p w14:paraId="2762AF3A" w14:textId="0D32AC0D" w:rsidR="00B974A7" w:rsidRPr="00427129" w:rsidRDefault="00B974A7" w:rsidP="00FE527E">
            <w:pPr>
              <w:jc w:val="both"/>
              <w:rPr>
                <w:rFonts w:ascii="Times" w:hAnsi="Times" w:cs="Times"/>
              </w:rPr>
            </w:pPr>
            <w:r w:rsidRPr="00B974A7">
              <w:rPr>
                <w:rFonts w:ascii="Times" w:hAnsi="Times" w:cs="Times"/>
              </w:rPr>
              <w:t>Predkladaný materiál bude mať vplyv na podnikateľské subjekty – spracovateľov starých vozidiel a na subjekty vykonávajúce zber starých vozidiel. Úprava zákona sa dotkne 48 spracovateľov s</w:t>
            </w:r>
            <w:r w:rsidR="00FE527E">
              <w:rPr>
                <w:rFonts w:ascii="Times" w:hAnsi="Times" w:cs="Times"/>
              </w:rPr>
              <w:t>tarých vozidiel a približne 100 </w:t>
            </w:r>
            <w:r w:rsidRPr="00B974A7">
              <w:rPr>
                <w:rFonts w:ascii="Times" w:hAnsi="Times" w:cs="Times"/>
              </w:rPr>
              <w:t>subjektov vykonávajúcich zber starých vozidiel.</w:t>
            </w:r>
          </w:p>
        </w:tc>
      </w:tr>
      <w:tr w:rsidR="009F2DFA" w:rsidRPr="00F04CCD" w14:paraId="2C0356DA" w14:textId="77777777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7B115" w14:textId="77777777" w:rsidR="009F2DFA" w:rsidRPr="00762CC8" w:rsidRDefault="002B1108" w:rsidP="007B71A4">
            <w:pPr>
              <w:rPr>
                <w:b/>
                <w:color w:val="000000" w:themeColor="text1"/>
                <w:sz w:val="24"/>
              </w:rPr>
            </w:pPr>
            <w:r w:rsidRPr="00762CC8">
              <w:rPr>
                <w:b/>
                <w:color w:val="000000" w:themeColor="text1"/>
                <w:sz w:val="24"/>
              </w:rPr>
              <w:t>3</w:t>
            </w:r>
            <w:r w:rsidR="009F2DFA" w:rsidRPr="00762CC8">
              <w:rPr>
                <w:b/>
                <w:color w:val="000000" w:themeColor="text1"/>
                <w:sz w:val="24"/>
              </w:rPr>
              <w:t>.2 Vyhodnotenie konzultácií</w:t>
            </w:r>
          </w:p>
          <w:p w14:paraId="19C169C4" w14:textId="77777777" w:rsidR="009F2DFA" w:rsidRPr="00762CC8" w:rsidRDefault="009F2DFA" w:rsidP="007B71A4">
            <w:pPr>
              <w:rPr>
                <w:b/>
                <w:color w:val="000000" w:themeColor="text1"/>
              </w:rPr>
            </w:pPr>
            <w:r w:rsidRPr="00762CC8">
              <w:rPr>
                <w:color w:val="000000" w:themeColor="text1"/>
                <w:sz w:val="24"/>
              </w:rPr>
              <w:t xml:space="preserve">       - </w:t>
            </w:r>
            <w:r w:rsidRPr="00762CC8">
              <w:rPr>
                <w:b/>
                <w:color w:val="000000" w:themeColor="text1"/>
                <w:sz w:val="24"/>
              </w:rPr>
              <w:t>z toho MSP</w:t>
            </w:r>
          </w:p>
        </w:tc>
      </w:tr>
      <w:tr w:rsidR="009F2DFA" w:rsidRPr="00F04CCD" w14:paraId="3C79BF41" w14:textId="77777777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14:paraId="1727AA16" w14:textId="77777777" w:rsidR="009F2DFA" w:rsidRPr="00762CC8" w:rsidRDefault="009F2DFA" w:rsidP="007B71A4">
            <w:pPr>
              <w:rPr>
                <w:i/>
                <w:color w:val="000000" w:themeColor="text1"/>
              </w:rPr>
            </w:pPr>
            <w:r w:rsidRPr="00762CC8">
              <w:rPr>
                <w:i/>
                <w:color w:val="000000" w:themeColor="text1"/>
              </w:rPr>
              <w:t>Uveďte, akou formou (verejné alebo cielené konzultácie a prečo) a s kým bol návrh konzultovaný.</w:t>
            </w:r>
          </w:p>
          <w:p w14:paraId="67B4CD01" w14:textId="77777777" w:rsidR="009F2DFA" w:rsidRPr="00762CC8" w:rsidRDefault="009F2DFA" w:rsidP="007B71A4">
            <w:pPr>
              <w:rPr>
                <w:i/>
                <w:color w:val="000000" w:themeColor="text1"/>
              </w:rPr>
            </w:pPr>
            <w:r w:rsidRPr="00762CC8">
              <w:rPr>
                <w:i/>
                <w:color w:val="000000" w:themeColor="text1"/>
              </w:rPr>
              <w:t>Ako dlho trvali konzultácie?</w:t>
            </w:r>
          </w:p>
          <w:p w14:paraId="1E29965A" w14:textId="77777777" w:rsidR="009F2DFA" w:rsidRPr="00762CC8" w:rsidRDefault="009F2DFA" w:rsidP="007B71A4">
            <w:pPr>
              <w:rPr>
                <w:i/>
                <w:color w:val="000000" w:themeColor="text1"/>
              </w:rPr>
            </w:pPr>
            <w:r w:rsidRPr="00762CC8">
              <w:rPr>
                <w:i/>
                <w:color w:val="000000" w:themeColor="text1"/>
              </w:rPr>
              <w:t xml:space="preserve">Uveďte hlavné body konzultácií a výsledky konzultácií. </w:t>
            </w:r>
          </w:p>
        </w:tc>
      </w:tr>
      <w:tr w:rsidR="009F2DFA" w:rsidRPr="00F04CCD" w14:paraId="3EE61A68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25AB022C" w14:textId="4E7CF66A" w:rsidR="009F2DFA" w:rsidRPr="00762CC8" w:rsidRDefault="00AC2438" w:rsidP="00566B31">
            <w:pPr>
              <w:jc w:val="both"/>
              <w:rPr>
                <w:color w:val="000000" w:themeColor="text1"/>
              </w:rPr>
            </w:pPr>
            <w:r w:rsidRPr="00762CC8">
              <w:rPr>
                <w:color w:val="000000" w:themeColor="text1"/>
              </w:rPr>
              <w:t xml:space="preserve">Predbežná informácia k predkladanému materiálu bola zverejnená na portáli Slov-Lex dňa </w:t>
            </w:r>
            <w:r w:rsidR="006812D4">
              <w:rPr>
                <w:color w:val="000000" w:themeColor="text1"/>
              </w:rPr>
              <w:t>08.06.2020</w:t>
            </w:r>
            <w:r w:rsidRPr="00762CC8">
              <w:rPr>
                <w:color w:val="000000" w:themeColor="text1"/>
              </w:rPr>
              <w:t xml:space="preserve"> a zasielanie návrhov a pripomienok bolo možné do </w:t>
            </w:r>
            <w:r w:rsidR="006812D4">
              <w:rPr>
                <w:color w:val="000000" w:themeColor="text1"/>
              </w:rPr>
              <w:t>19.06.2020</w:t>
            </w:r>
            <w:r w:rsidRPr="00762CC8">
              <w:rPr>
                <w:color w:val="000000" w:themeColor="text1"/>
              </w:rPr>
              <w:t xml:space="preserve">. </w:t>
            </w:r>
            <w:r w:rsidR="00B974A7">
              <w:rPr>
                <w:color w:val="000000" w:themeColor="text1"/>
              </w:rPr>
              <w:t xml:space="preserve">Na základe pripomienok k predbežnej informácii bola dňa 29.6.2020 </w:t>
            </w:r>
            <w:r w:rsidR="00B974A7" w:rsidRPr="00B974A7">
              <w:rPr>
                <w:color w:val="000000" w:themeColor="text1"/>
              </w:rPr>
              <w:t>Ministerstvo životného prostredia SR uskutočnilo konzultáciu k navrhovanej úprave týkajúcej sa zberu starých vozidiel a ich evidencie so Združením autorizovaných spracova</w:t>
            </w:r>
            <w:r w:rsidR="00B974A7">
              <w:rPr>
                <w:color w:val="000000" w:themeColor="text1"/>
              </w:rPr>
              <w:t xml:space="preserve">teľov starých vozidiel (ZAS SV). </w:t>
            </w:r>
            <w:r w:rsidR="00B974A7" w:rsidRPr="00B974A7">
              <w:rPr>
                <w:color w:val="000000" w:themeColor="text1"/>
              </w:rPr>
              <w:t>ZAS SV nemalo žiadne pripomienky.</w:t>
            </w:r>
          </w:p>
          <w:p w14:paraId="577F04C0" w14:textId="15A9B64E" w:rsidR="00531C29" w:rsidRPr="00762CC8" w:rsidRDefault="00531C29" w:rsidP="00531C29">
            <w:pPr>
              <w:jc w:val="both"/>
              <w:rPr>
                <w:color w:val="000000" w:themeColor="text1"/>
              </w:rPr>
            </w:pPr>
          </w:p>
        </w:tc>
      </w:tr>
      <w:tr w:rsidR="009F2DFA" w:rsidRPr="00F04CCD" w14:paraId="358F1801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1C8FEDC3" w14:textId="77777777" w:rsidR="009F2DFA" w:rsidRPr="00762CC8" w:rsidRDefault="002B1108" w:rsidP="007B71A4">
            <w:pPr>
              <w:rPr>
                <w:b/>
                <w:color w:val="000000" w:themeColor="text1"/>
                <w:sz w:val="24"/>
              </w:rPr>
            </w:pPr>
            <w:r w:rsidRPr="00762CC8">
              <w:rPr>
                <w:b/>
                <w:color w:val="000000" w:themeColor="text1"/>
                <w:sz w:val="24"/>
              </w:rPr>
              <w:t>3</w:t>
            </w:r>
            <w:r w:rsidR="009F2DFA" w:rsidRPr="00762CC8">
              <w:rPr>
                <w:b/>
                <w:color w:val="000000" w:themeColor="text1"/>
                <w:sz w:val="24"/>
              </w:rPr>
              <w:t>.3 Náklady regulácie</w:t>
            </w:r>
          </w:p>
          <w:p w14:paraId="58A10D7B" w14:textId="77777777" w:rsidR="009F2DFA" w:rsidRPr="00762CC8" w:rsidRDefault="009F2DFA" w:rsidP="007B71A4">
            <w:pPr>
              <w:rPr>
                <w:b/>
                <w:color w:val="000000" w:themeColor="text1"/>
              </w:rPr>
            </w:pPr>
            <w:r w:rsidRPr="00762CC8">
              <w:rPr>
                <w:color w:val="000000" w:themeColor="text1"/>
                <w:sz w:val="24"/>
              </w:rPr>
              <w:t xml:space="preserve">      - </w:t>
            </w:r>
            <w:r w:rsidRPr="00762CC8">
              <w:rPr>
                <w:b/>
                <w:color w:val="000000" w:themeColor="text1"/>
                <w:sz w:val="24"/>
              </w:rPr>
              <w:t>z toho MSP</w:t>
            </w:r>
          </w:p>
        </w:tc>
      </w:tr>
      <w:tr w:rsidR="009F2DFA" w:rsidRPr="00F04CCD" w14:paraId="0208F00D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4D989C8E" w14:textId="77777777" w:rsidR="009F2DFA" w:rsidRPr="00762CC8" w:rsidRDefault="002B1108" w:rsidP="007B71A4">
            <w:pPr>
              <w:rPr>
                <w:b/>
                <w:i/>
                <w:color w:val="000000" w:themeColor="text1"/>
              </w:rPr>
            </w:pPr>
            <w:r w:rsidRPr="00762CC8">
              <w:rPr>
                <w:b/>
                <w:i/>
                <w:color w:val="000000" w:themeColor="text1"/>
              </w:rPr>
              <w:t>3</w:t>
            </w:r>
            <w:r w:rsidR="009F2DFA" w:rsidRPr="00762CC8">
              <w:rPr>
                <w:b/>
                <w:i/>
                <w:color w:val="000000" w:themeColor="text1"/>
              </w:rPr>
              <w:t>.3.1 Priame finančné náklady</w:t>
            </w:r>
          </w:p>
          <w:p w14:paraId="72BAC448" w14:textId="77777777" w:rsidR="009F2DFA" w:rsidRPr="00762CC8" w:rsidRDefault="009F2DFA" w:rsidP="007B71A4">
            <w:pPr>
              <w:rPr>
                <w:i/>
                <w:color w:val="000000" w:themeColor="text1"/>
              </w:rPr>
            </w:pPr>
            <w:r w:rsidRPr="00762CC8">
              <w:rPr>
                <w:i/>
                <w:color w:val="000000" w:themeColor="text1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14:paraId="039F252E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49113FDC" w14:textId="79F0A192" w:rsidR="00531C29" w:rsidRPr="00B974A7" w:rsidRDefault="00531C29" w:rsidP="00636999">
            <w:pPr>
              <w:jc w:val="both"/>
              <w:rPr>
                <w:color w:val="000000" w:themeColor="text1"/>
              </w:rPr>
            </w:pPr>
          </w:p>
          <w:p w14:paraId="6A6852AE" w14:textId="70B30A76" w:rsidR="00427129" w:rsidRPr="00B974A7" w:rsidRDefault="00427129" w:rsidP="00636999">
            <w:pPr>
              <w:jc w:val="both"/>
            </w:pPr>
            <w:r w:rsidRPr="00B974A7">
              <w:t xml:space="preserve">V prípade vypustenia povinnosti mať udelený súhlas podľa § 97 ods. 1 písm. f) </w:t>
            </w:r>
            <w:r w:rsidR="00565946" w:rsidRPr="00B974A7">
              <w:t>bude predstavovať</w:t>
            </w:r>
            <w:r w:rsidRPr="00B974A7">
              <w:t xml:space="preserve"> zníženie priamych finančných nákladov na jednu fyzickú osobu – podnikateľa, resp. právnickú osobu 11 €, a to za úhradu správneho poplatku za vydanie rozhodnutia o udelenie príslušného súhlasu a v prípade zmeny takéhoto rozhodnutia bude predstavovať 4 €, a to tiež za úhradu správneho poplatku za vydanie zmeny rozhodnutia o udelenie súhlasu.</w:t>
            </w:r>
          </w:p>
          <w:p w14:paraId="596B5EAA" w14:textId="77777777" w:rsidR="00565946" w:rsidRPr="00B974A7" w:rsidRDefault="00565946" w:rsidP="00636999">
            <w:pPr>
              <w:jc w:val="both"/>
            </w:pPr>
          </w:p>
          <w:p w14:paraId="6A3CF9A5" w14:textId="57EA1D2D" w:rsidR="00565946" w:rsidRPr="00B974A7" w:rsidRDefault="00565946" w:rsidP="00636999">
            <w:pPr>
              <w:jc w:val="both"/>
            </w:pPr>
            <w:r w:rsidRPr="00B974A7">
              <w:t>V prípade vypustenia povinnosti mať udelený súhlas podľa § 97 ods. 1 písm. t) bude predstavovať zníženie priamych finančných nákladov na jednu fyzickú osobu – podnikateľa, resp. právnickú osobu 11 €, a to za úhradu správneho poplatku za vydanie rozhodnutia o udelenie príslušného súhlasu a v prípade zmeny takéhoto rozhodnutia bude predstavovať 4 €, a to tiež za úhradu správneho poplatku za vydanie zmeny rozhodnutia o udelenie súhlasu.</w:t>
            </w:r>
          </w:p>
          <w:p w14:paraId="275BB0EC" w14:textId="3C07B5DA" w:rsidR="00932603" w:rsidRPr="00B974A7" w:rsidRDefault="00932603" w:rsidP="00565946">
            <w:pPr>
              <w:jc w:val="both"/>
              <w:rPr>
                <w:color w:val="000000" w:themeColor="text1"/>
              </w:rPr>
            </w:pPr>
          </w:p>
        </w:tc>
      </w:tr>
      <w:tr w:rsidR="009F2DFA" w:rsidRPr="00F04CCD" w14:paraId="57D2D2FB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0B620837" w14:textId="77777777" w:rsidR="009F2DFA" w:rsidRPr="00762CC8" w:rsidRDefault="002B1108" w:rsidP="007B71A4">
            <w:pPr>
              <w:rPr>
                <w:b/>
                <w:i/>
                <w:color w:val="000000" w:themeColor="text1"/>
              </w:rPr>
            </w:pPr>
            <w:r w:rsidRPr="00762CC8">
              <w:rPr>
                <w:b/>
                <w:i/>
                <w:color w:val="000000" w:themeColor="text1"/>
              </w:rPr>
              <w:t>3</w:t>
            </w:r>
            <w:r w:rsidR="009F2DFA" w:rsidRPr="00762CC8">
              <w:rPr>
                <w:b/>
                <w:i/>
                <w:color w:val="000000" w:themeColor="text1"/>
              </w:rPr>
              <w:t>.3.2 Nepriame finančné náklady</w:t>
            </w:r>
          </w:p>
          <w:p w14:paraId="4AE1E9CA" w14:textId="77777777" w:rsidR="009F2DFA" w:rsidRPr="00762CC8" w:rsidRDefault="009F2DFA" w:rsidP="00B31A8E">
            <w:pPr>
              <w:rPr>
                <w:i/>
                <w:color w:val="000000" w:themeColor="text1"/>
              </w:rPr>
            </w:pPr>
            <w:r w:rsidRPr="00762CC8">
              <w:rPr>
                <w:i/>
                <w:color w:val="000000" w:themeColor="text1"/>
              </w:rPr>
              <w:t xml:space="preserve">Vyžaduje si predkladaný návrh dodatočné náklady na nákup tovarov alebo služieb? </w:t>
            </w:r>
            <w:r w:rsidR="00B31A8E" w:rsidRPr="00762CC8">
              <w:rPr>
                <w:i/>
                <w:color w:val="000000" w:themeColor="text1"/>
              </w:rPr>
              <w:t xml:space="preserve">Zvyšuje predkladaný návrh náklady súvisiace so zamestnávaním? </w:t>
            </w:r>
            <w:r w:rsidRPr="00762CC8">
              <w:rPr>
                <w:i/>
                <w:color w:val="000000" w:themeColor="text1"/>
              </w:rPr>
              <w:t>Ak áno, popíšte a vyčíslite ich. Uveďte tiež spôsob ich výpočtu.</w:t>
            </w:r>
          </w:p>
        </w:tc>
      </w:tr>
      <w:tr w:rsidR="009F2DFA" w:rsidRPr="00F04CCD" w14:paraId="1C245BDD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51D62890" w14:textId="395DE823" w:rsidR="00C31948" w:rsidRDefault="00C31948" w:rsidP="002C7148">
            <w:pPr>
              <w:jc w:val="both"/>
            </w:pPr>
            <w:r w:rsidRPr="00750BD2">
              <w:lastRenderedPageBreak/>
              <w:t>Predpokladáme negatívne vplyvy na tie dotknuté subjekty, ktoré do účinnosti navrhovaného ustanovenia nevykonávali triedený zber biologicky rozložiteľného odpadu, nakoľko dané subjekty budú musieť vykonávať triedený zber  biologicky rozložiteľného odpadu  a následne ho odovzdať zariadeniam na zhodnocovanie týchto odpadov. V súčasnej dobe nie je možné tieto náklady vyčísliť, nakoľko nie je možné určiť ako sa bude meniť výška poplatku za skládkovanie po roku 2023 a rovnako aj poplatok v zariadeniach na zhodnocovanie biologicky rozložiteľných odpadov.</w:t>
            </w:r>
          </w:p>
          <w:p w14:paraId="136B603E" w14:textId="3279E718" w:rsidR="008F17AF" w:rsidRPr="006E273E" w:rsidRDefault="007C4846" w:rsidP="002C7148">
            <w:pPr>
              <w:jc w:val="both"/>
              <w:rPr>
                <w:color w:val="FF0000"/>
              </w:rPr>
            </w:pPr>
            <w:r w:rsidRPr="009B256A">
              <w:t xml:space="preserve">Zvýšené náklady je možné očakávať pre výrobcov obalov </w:t>
            </w:r>
            <w:r w:rsidR="00FB2131" w:rsidRPr="009B256A">
              <w:t xml:space="preserve">a výrobcov neobalových výrobkov </w:t>
            </w:r>
            <w:r w:rsidRPr="009B256A">
              <w:t xml:space="preserve">v súvislosti s povinnosťou plniť vyššie ciele </w:t>
            </w:r>
            <w:r w:rsidR="00FB2131" w:rsidRPr="009B256A">
              <w:t xml:space="preserve">zberu </w:t>
            </w:r>
            <w:r w:rsidRPr="009B256A">
              <w:t>ustanovené v prílohe č. 3</w:t>
            </w:r>
            <w:r w:rsidR="00FB2131" w:rsidRPr="009B256A">
              <w:t>a</w:t>
            </w:r>
            <w:r w:rsidRPr="009B256A">
              <w:t xml:space="preserve"> pre odpady z obalov </w:t>
            </w:r>
            <w:r w:rsidR="00FB2131" w:rsidRPr="009B256A">
              <w:t xml:space="preserve">a odpady z neobalových výrobkov </w:t>
            </w:r>
            <w:r w:rsidRPr="009B256A">
              <w:t>postupne do roku 20</w:t>
            </w:r>
            <w:r w:rsidR="00FB2131" w:rsidRPr="009B256A">
              <w:t>25</w:t>
            </w:r>
            <w:r w:rsidRPr="009B256A">
              <w:t>. Tieto zvýšené náklady sa budú týkať približne 1</w:t>
            </w:r>
            <w:r w:rsidR="00FB2131" w:rsidRPr="009B256A">
              <w:t>6</w:t>
            </w:r>
            <w:r w:rsidRPr="009B256A">
              <w:t> 000 v súčasnosti registrovaných výrobcov obalov</w:t>
            </w:r>
            <w:r w:rsidR="00FB2131" w:rsidRPr="009B256A">
              <w:t xml:space="preserve"> a výrobcov neobalových výrobkov</w:t>
            </w:r>
            <w:r w:rsidRPr="009B256A">
              <w:t>.</w:t>
            </w:r>
            <w:r w:rsidR="00FB2131" w:rsidRPr="009B256A">
              <w:t xml:space="preserve"> Údaj 16 000 výrobcov nekorešponduje s počtami výrobcov registrovaných v jednotlivých registroch výrobcov obalov a výrobcov neobalových výrobkov. Keďže väčšina výrobcov neobalových výrobkov je aj výrobcom obalov, nie je v tomto prípade uvedená duplicita.</w:t>
            </w:r>
            <w:r w:rsidRPr="009B256A">
              <w:t xml:space="preserve"> </w:t>
            </w:r>
            <w:r w:rsidR="006E273E" w:rsidRPr="00BD6B6C">
              <w:t>Predkladateľ nedisponuje relevantnými údajmi od jednotlivých výrobcov, aké vyhradené výrobky uvádza konkrétny výrobca na trh Slovenskej republiky, preto nie je možné vyčísliť tieto náklady na jednotlivého výrobcu. Každý materiál v závislosti od zloženia vykazuje nižšiu alebo vyššiu nákladovosť na zabezpečenie zberu, triedenia a následného zhodnotenia. Z pohľadu zvýšených alebo znížených nákladov možno hovoriť o rôznych vplyvoch na určenie príspevkov jednotlivých výrobcov. Príspevok výrobcu závisí od materiálového zloženia výrobku, ktorý uvádza na trh a jeho spôsobu nakladania, keď sa stane odpadom. Zároveň príspevok závisí aj od nastavených zmluvných vzťahov výrobcu v rámci celého systému medzi hospodárskymi subjektami.</w:t>
            </w:r>
          </w:p>
          <w:p w14:paraId="775A3FF0" w14:textId="77777777" w:rsidR="00290139" w:rsidRDefault="00290139" w:rsidP="002C7148">
            <w:pPr>
              <w:jc w:val="both"/>
              <w:rPr>
                <w:color w:val="000000" w:themeColor="text1"/>
              </w:rPr>
            </w:pPr>
          </w:p>
          <w:p w14:paraId="5D890B17" w14:textId="5FEDFDD1" w:rsidR="00B974A7" w:rsidRPr="00B974A7" w:rsidRDefault="00B974A7" w:rsidP="00B974A7">
            <w:pPr>
              <w:jc w:val="both"/>
            </w:pPr>
            <w:bookmarkStart w:id="0" w:name="_GoBack"/>
            <w:bookmarkEnd w:id="0"/>
            <w:r w:rsidRPr="00B974A7">
              <w:t xml:space="preserve">Medzi nepriame finančné náklady boli zahrnuté náklady za pohonné hmoty potrebné na prepravu z miesta spracovateľa starých vozidiel a subjektu vykonávajúceho zber starých vozidiel na miesto výskytu orgánu policajného zboru. Náklady boli odhadnuté vo výške 10 eur na jednu jazdu tam a späť (tzn. 10 eur/mesiac). </w:t>
            </w:r>
          </w:p>
          <w:p w14:paraId="6D7B674A" w14:textId="78D55F2F" w:rsidR="00B974A7" w:rsidRPr="00B974A7" w:rsidRDefault="00B974A7" w:rsidP="00B974A7">
            <w:pPr>
              <w:jc w:val="both"/>
            </w:pPr>
            <w:r w:rsidRPr="00B974A7">
              <w:t xml:space="preserve">Náklady na 1 podnikateľa vykonávajúceho zber starých vozidiel (100 subjektov) súvisiacich s dopravou sa odhadujú na 120 eur/rok. Po novelizácii zákona im táto povinnosť zanikne, </w:t>
            </w:r>
            <w:r w:rsidR="00FE527E">
              <w:t>tzn. že náklady budú vo výške 0 </w:t>
            </w:r>
            <w:r w:rsidRPr="00B974A7">
              <w:t>eur/rok.</w:t>
            </w:r>
          </w:p>
          <w:p w14:paraId="32367E57" w14:textId="77777777" w:rsidR="00B974A7" w:rsidRPr="00B974A7" w:rsidRDefault="00B974A7" w:rsidP="00B974A7">
            <w:pPr>
              <w:jc w:val="both"/>
            </w:pPr>
            <w:r w:rsidRPr="00B974A7">
              <w:t>Náklady na 1 podnikateľa – spracovateľa starých vozidiel (48 subjektov) súvisiacich s dopravou sa odhadujú na 120 eur/rok. Po novelizácii zákona a zavedení odovzdávania osvedčení raz za 3 mesiace budú náklady na dopravu predstavovať približne 40 eur/rok.</w:t>
            </w:r>
          </w:p>
          <w:p w14:paraId="6F999E34" w14:textId="77777777" w:rsidR="00B974A7" w:rsidRPr="00B974A7" w:rsidRDefault="00B974A7" w:rsidP="00B974A7">
            <w:pPr>
              <w:jc w:val="both"/>
            </w:pPr>
          </w:p>
          <w:p w14:paraId="73571F7B" w14:textId="77777777" w:rsidR="00B974A7" w:rsidRPr="00B974A7" w:rsidRDefault="00B974A7" w:rsidP="00B974A7">
            <w:pPr>
              <w:jc w:val="both"/>
            </w:pPr>
            <w:r w:rsidRPr="00B974A7">
              <w:t>Náklady na dopravu na celé podnikateľské prostredie pred novelizáciou zákona – 17 760 eur (100 subjektov vykonávajúcich zber starých vozidiel + 48 spracovateľov starých vozidiel).</w:t>
            </w:r>
          </w:p>
          <w:p w14:paraId="69B8C784" w14:textId="705FB5C8" w:rsidR="00932603" w:rsidRPr="00B974A7" w:rsidRDefault="00B974A7" w:rsidP="00B974A7">
            <w:pPr>
              <w:jc w:val="both"/>
            </w:pPr>
            <w:r w:rsidRPr="00B974A7">
              <w:t>Náklady na dopravu na celé podnikateľské prostredie po novelizácii zákona – 1 920 eur (48 spracovateľov starých vozidiel).</w:t>
            </w:r>
          </w:p>
          <w:p w14:paraId="1A53CE77" w14:textId="69617463" w:rsidR="00531C29" w:rsidRPr="00762CC8" w:rsidRDefault="00531C29" w:rsidP="00531C29">
            <w:pPr>
              <w:jc w:val="both"/>
              <w:rPr>
                <w:color w:val="000000" w:themeColor="text1"/>
              </w:rPr>
            </w:pPr>
          </w:p>
        </w:tc>
      </w:tr>
      <w:tr w:rsidR="009F2DFA" w:rsidRPr="00F04CCD" w14:paraId="5ABB956E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9E4DC57" w14:textId="77777777" w:rsidR="009F2DFA" w:rsidRPr="005D3582" w:rsidRDefault="002B1108" w:rsidP="007B71A4">
            <w:pPr>
              <w:rPr>
                <w:b/>
                <w:i/>
              </w:rPr>
            </w:pPr>
            <w:r w:rsidRPr="005D3582">
              <w:rPr>
                <w:b/>
                <w:i/>
              </w:rPr>
              <w:t>3</w:t>
            </w:r>
            <w:r w:rsidR="009F2DFA" w:rsidRPr="005D3582">
              <w:rPr>
                <w:b/>
                <w:i/>
              </w:rPr>
              <w:t>.3.3 Administratívne náklady</w:t>
            </w:r>
          </w:p>
          <w:p w14:paraId="1BE5D225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14:paraId="3A4CBBD8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536F4D6A" w14:textId="49A034BE" w:rsidR="00263C3C" w:rsidRDefault="00263C3C" w:rsidP="002F52D8">
            <w:pPr>
              <w:jc w:val="both"/>
            </w:pPr>
          </w:p>
          <w:p w14:paraId="279358BC" w14:textId="201087E5" w:rsidR="00263C3C" w:rsidRPr="00263C3C" w:rsidRDefault="00263C3C" w:rsidP="00263C3C">
            <w:pPr>
              <w:jc w:val="both"/>
              <w:rPr>
                <w:noProof/>
              </w:rPr>
            </w:pPr>
            <w:r>
              <w:rPr>
                <w:noProof/>
              </w:rPr>
              <w:t>Navrhovaná zmena</w:t>
            </w:r>
            <w:r w:rsidRPr="00263C3C">
              <w:rPr>
                <w:noProof/>
              </w:rPr>
              <w:t xml:space="preserve"> bude mať za následok zníženie administratívnych nákladov podnikateľov zo súčasnej výšky nákladov na 1 podnikateľa pri odovzdávaní osvedčení o evidencii časť I. a časť. II starého vozidla orgánu policajného zboru zo 57,25 eur na 45,80 eur. </w:t>
            </w:r>
          </w:p>
          <w:p w14:paraId="5ABFE4BC" w14:textId="77777777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>Zároveň sa zníži aj celkový čas časovej náročnosti povinnosti spracovateľa starých vozidiel z 50 minút/mesiac na 120 minút/štvrťročne (z pôvodných 600 minút za rok na 480 minút za rok).</w:t>
            </w:r>
          </w:p>
          <w:p w14:paraId="0EB6E23B" w14:textId="77777777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>Ušetrené náklady na jedného podnikateľa predstavujú 11,45 eur.</w:t>
            </w:r>
          </w:p>
          <w:p w14:paraId="1911B46C" w14:textId="77777777" w:rsidR="00263C3C" w:rsidRPr="00263C3C" w:rsidRDefault="00263C3C" w:rsidP="00263C3C">
            <w:pPr>
              <w:jc w:val="both"/>
              <w:rPr>
                <w:noProof/>
              </w:rPr>
            </w:pPr>
          </w:p>
          <w:p w14:paraId="5743558B" w14:textId="77777777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 xml:space="preserve">Uvedená zmena bude mať za následok zníženie administratívnych nákladov podnikateľov zo súčasnej výšky nákladov na celé podnikateľské prostredie pri odovzdávaní osvedčení o evidencii časť I. a časť. II starého vozidla orgánu policajného zboru z 8473 eur na 2198,4 eur. </w:t>
            </w:r>
          </w:p>
          <w:p w14:paraId="4D35AC2F" w14:textId="252E1F5A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>Zároveň sa zníži aj celkový čas časovej náročnosti povinnosti pre 48 spra</w:t>
            </w:r>
            <w:r w:rsidR="00FE527E">
              <w:rPr>
                <w:noProof/>
              </w:rPr>
              <w:t>covateľov starých vozidiel z 50 </w:t>
            </w:r>
            <w:r w:rsidRPr="00263C3C">
              <w:rPr>
                <w:noProof/>
              </w:rPr>
              <w:t>minút/mesiac na 120 minút/štvrťročne (z pôvodných 28800 minút za rok na 23040 minút za rok).</w:t>
            </w:r>
          </w:p>
          <w:p w14:paraId="1F1B5620" w14:textId="77777777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 xml:space="preserve">Približne 100 subjektom vykonávajúcim zber starých vozidiel táto povinnosť zanikne. </w:t>
            </w:r>
          </w:p>
          <w:p w14:paraId="76C3D54D" w14:textId="77777777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>Ušetrené administratívne náklady na celé podnikateľské prostredie predstavujú 6274,6 eur.</w:t>
            </w:r>
          </w:p>
          <w:p w14:paraId="51DAD658" w14:textId="77777777" w:rsidR="00263C3C" w:rsidRPr="00263C3C" w:rsidRDefault="00263C3C" w:rsidP="00263C3C">
            <w:pPr>
              <w:jc w:val="both"/>
              <w:rPr>
                <w:noProof/>
              </w:rPr>
            </w:pPr>
          </w:p>
          <w:p w14:paraId="221436A4" w14:textId="535DD30C" w:rsidR="00263C3C" w:rsidRPr="00263C3C" w:rsidRDefault="00263C3C" w:rsidP="00263C3C">
            <w:pPr>
              <w:jc w:val="both"/>
              <w:rPr>
                <w:noProof/>
              </w:rPr>
            </w:pPr>
            <w:r w:rsidRPr="00263C3C">
              <w:rPr>
                <w:noProof/>
              </w:rPr>
              <w:t>Pri výpočte bola použitá kalkulačka nákladov regulácie Ministerstva hospodárstva Slovenskej republiky.</w:t>
            </w:r>
          </w:p>
          <w:p w14:paraId="1802B0FE" w14:textId="640648D6" w:rsidR="00531C29" w:rsidRPr="005D3582" w:rsidRDefault="00531C29" w:rsidP="007B71A4"/>
        </w:tc>
      </w:tr>
      <w:tr w:rsidR="009F2DFA" w:rsidRPr="00F04CCD" w14:paraId="2DFB51EF" w14:textId="77777777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14:paraId="2CCF1075" w14:textId="77777777" w:rsidR="009F2DFA" w:rsidRPr="005D3582" w:rsidRDefault="002B1108" w:rsidP="007B71A4">
            <w:pPr>
              <w:rPr>
                <w:i/>
              </w:rPr>
            </w:pPr>
            <w:r w:rsidRPr="005D3582">
              <w:rPr>
                <w:b/>
                <w:i/>
              </w:rPr>
              <w:lastRenderedPageBreak/>
              <w:t>3</w:t>
            </w:r>
            <w:r w:rsidR="009F2DFA" w:rsidRPr="005D3582">
              <w:rPr>
                <w:b/>
                <w:i/>
              </w:rPr>
              <w:t>.3.4 Súhrnná tabuľka nákladov regulácie</w:t>
            </w:r>
          </w:p>
          <w:p w14:paraId="1EB71AD1" w14:textId="77777777" w:rsidR="009F2DFA" w:rsidRPr="005D3582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4"/>
              <w:gridCol w:w="2942"/>
              <w:gridCol w:w="2950"/>
            </w:tblGrid>
            <w:tr w:rsidR="005D3582" w:rsidRPr="005D3582" w14:paraId="7EE0868B" w14:textId="77777777" w:rsidTr="007B71A4">
              <w:tc>
                <w:tcPr>
                  <w:tcW w:w="2993" w:type="dxa"/>
                </w:tcPr>
                <w:p w14:paraId="718C943F" w14:textId="77777777" w:rsidR="009F2DFA" w:rsidRPr="005D3582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14:paraId="39202A4D" w14:textId="77777777" w:rsidR="009F2DFA" w:rsidRPr="005D3582" w:rsidRDefault="009F2DFA" w:rsidP="007B71A4">
                  <w:pPr>
                    <w:jc w:val="center"/>
                    <w:rPr>
                      <w:i/>
                    </w:rPr>
                  </w:pPr>
                  <w:r w:rsidRPr="005D3582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14:paraId="220397BA" w14:textId="77777777" w:rsidR="009F2DFA" w:rsidRPr="005D3582" w:rsidRDefault="009F2DFA" w:rsidP="007B71A4">
                  <w:pPr>
                    <w:jc w:val="center"/>
                    <w:rPr>
                      <w:i/>
                    </w:rPr>
                  </w:pPr>
                  <w:r w:rsidRPr="005D3582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5D3582" w:rsidRPr="005D3582" w14:paraId="4F0E7E0C" w14:textId="77777777" w:rsidTr="007B71A4">
              <w:tc>
                <w:tcPr>
                  <w:tcW w:w="2993" w:type="dxa"/>
                </w:tcPr>
                <w:p w14:paraId="069689BF" w14:textId="77777777" w:rsidR="009F2DFA" w:rsidRPr="005D3582" w:rsidRDefault="009F2DFA" w:rsidP="007B71A4">
                  <w:pPr>
                    <w:rPr>
                      <w:i/>
                    </w:rPr>
                  </w:pPr>
                  <w:r w:rsidRPr="005D3582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14:paraId="582F129E" w14:textId="31E2BDA2" w:rsidR="009F2DFA" w:rsidRPr="005D3582" w:rsidRDefault="00263C3C" w:rsidP="00FC44E5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14:paraId="20EA1403" w14:textId="63CAC6B4" w:rsidR="009F2DFA" w:rsidRPr="005D3582" w:rsidRDefault="00263C3C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5D3582" w:rsidRPr="005D3582" w14:paraId="65F741E2" w14:textId="77777777" w:rsidTr="007B71A4">
              <w:tc>
                <w:tcPr>
                  <w:tcW w:w="2993" w:type="dxa"/>
                </w:tcPr>
                <w:p w14:paraId="7A066CB8" w14:textId="77777777" w:rsidR="009F2DFA" w:rsidRPr="005D3582" w:rsidRDefault="009F2DFA" w:rsidP="007B71A4">
                  <w:pPr>
                    <w:rPr>
                      <w:i/>
                    </w:rPr>
                  </w:pPr>
                  <w:r w:rsidRPr="005D3582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14:paraId="6385D14B" w14:textId="28098E15" w:rsidR="00263C3C" w:rsidRPr="00263C3C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63C3C">
                    <w:rPr>
                      <w:rFonts w:ascii="Times New Roman" w:hAnsi="Times New Roman" w:cs="Times New Roman"/>
                      <w:i/>
                      <w:sz w:val="20"/>
                    </w:rPr>
                    <w:t>80</w:t>
                  </w:r>
                  <w:r w:rsidR="00110DC9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+N/A</w:t>
                  </w:r>
                </w:p>
              </w:tc>
              <w:tc>
                <w:tcPr>
                  <w:tcW w:w="2994" w:type="dxa"/>
                </w:tcPr>
                <w:p w14:paraId="1FBB0D3B" w14:textId="7B204ACD" w:rsidR="009F2DFA" w:rsidRPr="00263C3C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63C3C">
                    <w:rPr>
                      <w:rFonts w:ascii="Times New Roman" w:hAnsi="Times New Roman" w:cs="Times New Roman"/>
                      <w:i/>
                      <w:sz w:val="20"/>
                    </w:rPr>
                    <w:t>15</w:t>
                  </w:r>
                  <w:r w:rsidR="00110DC9">
                    <w:rPr>
                      <w:rFonts w:ascii="Times New Roman" w:hAnsi="Times New Roman" w:cs="Times New Roman"/>
                      <w:i/>
                      <w:sz w:val="20"/>
                    </w:rPr>
                    <w:t> </w:t>
                  </w:r>
                  <w:r w:rsidRPr="00263C3C">
                    <w:rPr>
                      <w:rFonts w:ascii="Times New Roman" w:hAnsi="Times New Roman" w:cs="Times New Roman"/>
                      <w:i/>
                      <w:sz w:val="20"/>
                    </w:rPr>
                    <w:t>840</w:t>
                  </w:r>
                  <w:r w:rsidR="00110DC9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+N/A</w:t>
                  </w:r>
                </w:p>
              </w:tc>
            </w:tr>
            <w:tr w:rsidR="005D3582" w:rsidRPr="005D3582" w14:paraId="722EC7F4" w14:textId="77777777" w:rsidTr="007B71A4">
              <w:tc>
                <w:tcPr>
                  <w:tcW w:w="2993" w:type="dxa"/>
                </w:tcPr>
                <w:p w14:paraId="59A776CF" w14:textId="77777777" w:rsidR="009F2DFA" w:rsidRPr="005D3582" w:rsidRDefault="009F2DFA" w:rsidP="007B71A4">
                  <w:pPr>
                    <w:rPr>
                      <w:i/>
                    </w:rPr>
                  </w:pPr>
                  <w:r w:rsidRPr="005D3582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14:paraId="0885B8C5" w14:textId="25E08426" w:rsidR="009F2DFA" w:rsidRPr="00263C3C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63C3C">
                    <w:rPr>
                      <w:rFonts w:ascii="Times New Roman" w:hAnsi="Times New Roman" w:cs="Times New Roman"/>
                      <w:i/>
                      <w:sz w:val="20"/>
                    </w:rPr>
                    <w:t>11,45</w:t>
                  </w:r>
                  <w:r w:rsidR="00110DC9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+N/A</w:t>
                  </w:r>
                </w:p>
              </w:tc>
              <w:tc>
                <w:tcPr>
                  <w:tcW w:w="2994" w:type="dxa"/>
                </w:tcPr>
                <w:p w14:paraId="0D0E21AE" w14:textId="697E742E" w:rsidR="009F2DFA" w:rsidRPr="00263C3C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63C3C">
                    <w:rPr>
                      <w:rFonts w:ascii="Times New Roman" w:hAnsi="Times New Roman" w:cs="Times New Roman"/>
                      <w:i/>
                      <w:sz w:val="20"/>
                    </w:rPr>
                    <w:t>6274,6</w:t>
                  </w:r>
                  <w:r w:rsidR="00110DC9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+N/A</w:t>
                  </w:r>
                </w:p>
              </w:tc>
            </w:tr>
            <w:tr w:rsidR="005D3582" w:rsidRPr="005D3582" w14:paraId="5F543F4F" w14:textId="77777777" w:rsidTr="007B71A4">
              <w:tc>
                <w:tcPr>
                  <w:tcW w:w="2993" w:type="dxa"/>
                </w:tcPr>
                <w:p w14:paraId="07B9E13E" w14:textId="77777777" w:rsidR="009F2DFA" w:rsidRPr="005D3582" w:rsidRDefault="009F2DFA" w:rsidP="007B71A4">
                  <w:pPr>
                    <w:rPr>
                      <w:b/>
                      <w:i/>
                    </w:rPr>
                  </w:pPr>
                  <w:r w:rsidRPr="005D3582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14:paraId="0102B5E9" w14:textId="024AB303" w:rsidR="009F2DFA" w:rsidRPr="009262FB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262FB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91,45</w:t>
                  </w:r>
                  <w:r w:rsidR="00110D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</w:t>
                  </w:r>
                  <w:r w:rsidR="00110DC9" w:rsidRPr="00110D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+N/A</w:t>
                  </w:r>
                </w:p>
              </w:tc>
              <w:tc>
                <w:tcPr>
                  <w:tcW w:w="2994" w:type="dxa"/>
                </w:tcPr>
                <w:p w14:paraId="60094977" w14:textId="69D46423" w:rsidR="009F2DFA" w:rsidRPr="00263C3C" w:rsidRDefault="00263C3C" w:rsidP="00263C3C">
                  <w:pPr>
                    <w:pStyle w:val="Odsekzoznamu"/>
                    <w:numPr>
                      <w:ilvl w:val="0"/>
                      <w:numId w:val="14"/>
                    </w:num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63C3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22 114,6</w:t>
                  </w:r>
                  <w:r w:rsidR="00110D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</w:t>
                  </w:r>
                  <w:r w:rsidR="00110DC9" w:rsidRPr="00110D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+N/A</w:t>
                  </w:r>
                </w:p>
              </w:tc>
            </w:tr>
          </w:tbl>
          <w:p w14:paraId="3E0DA047" w14:textId="77777777" w:rsidR="00FC44E5" w:rsidRPr="005D3582" w:rsidRDefault="00FC44E5" w:rsidP="007B71A4"/>
          <w:p w14:paraId="05D9BC59" w14:textId="77777777" w:rsidR="00263C3C" w:rsidRDefault="00FC44E5" w:rsidP="00263C3C">
            <w:r w:rsidRPr="005D3582">
              <w:t>Výpočet:</w:t>
            </w:r>
          </w:p>
          <w:p w14:paraId="2120A1DF" w14:textId="185C1049" w:rsidR="00263C3C" w:rsidRDefault="00263C3C" w:rsidP="00263C3C">
            <w:r>
              <w:t>Na 1 podnikateľa</w:t>
            </w:r>
          </w:p>
          <w:p w14:paraId="7BEEB389" w14:textId="77777777" w:rsidR="00263C3C" w:rsidRDefault="00263C3C" w:rsidP="00263C3C">
            <w:r>
              <w:t xml:space="preserve">Priame finančné náklady:  </w:t>
            </w:r>
          </w:p>
          <w:p w14:paraId="0F6A9292" w14:textId="273317F1" w:rsidR="00263C3C" w:rsidRDefault="00263C3C" w:rsidP="00263C3C">
            <w:r>
              <w:t>Nepriame finančné náklady: 40 - 120 = -80    (zníženie nákladov na 1 podnikateľa o 80 €)</w:t>
            </w:r>
            <w:r w:rsidR="00110DC9">
              <w:t>.</w:t>
            </w:r>
            <w:r>
              <w:t xml:space="preserve"> </w:t>
            </w:r>
          </w:p>
          <w:p w14:paraId="0685B200" w14:textId="7D7E0218" w:rsidR="00263C3C" w:rsidRDefault="00263C3C" w:rsidP="00263C3C">
            <w:r>
              <w:t>Administratívne náklady: 45,8 – 57,25 = -11,45  (zníženie nákladov na 1 podnikateľa o 11,45 €)</w:t>
            </w:r>
            <w:r w:rsidR="00110DC9">
              <w:t>.</w:t>
            </w:r>
          </w:p>
          <w:p w14:paraId="520A5E00" w14:textId="24E3416E" w:rsidR="00263C3C" w:rsidRDefault="00263C3C" w:rsidP="00FE527E">
            <w:pPr>
              <w:jc w:val="both"/>
            </w:pPr>
            <w:r>
              <w:t>Celkové náklady regulácie: (zníženie -80 €) + (zníženie -11,45 €) = z</w:t>
            </w:r>
            <w:r w:rsidR="00FE527E">
              <w:t>níženie celkových nákladov na 1 </w:t>
            </w:r>
            <w:r>
              <w:t>podnikateľa o 91,45 €</w:t>
            </w:r>
            <w:r w:rsidR="00110DC9">
              <w:t>.</w:t>
            </w:r>
          </w:p>
          <w:p w14:paraId="72C50216" w14:textId="77777777" w:rsidR="00263C3C" w:rsidRDefault="00263C3C" w:rsidP="00263C3C"/>
          <w:p w14:paraId="0AEDE8E7" w14:textId="77777777" w:rsidR="00263C3C" w:rsidRDefault="00263C3C" w:rsidP="00263C3C">
            <w:r>
              <w:t>Na celé podnikateľské prostredie:</w:t>
            </w:r>
          </w:p>
          <w:p w14:paraId="640C9067" w14:textId="77777777" w:rsidR="00263C3C" w:rsidRDefault="00263C3C" w:rsidP="00263C3C">
            <w:r>
              <w:t xml:space="preserve">Priame finančné náklady:  </w:t>
            </w:r>
          </w:p>
          <w:p w14:paraId="510C98E2" w14:textId="01393258" w:rsidR="00263C3C" w:rsidRDefault="00263C3C" w:rsidP="00FE527E">
            <w:pPr>
              <w:jc w:val="both"/>
            </w:pPr>
            <w:r>
              <w:t>Nepriame finančné náklady: 1920 - 17760 = - 15840   (zníženie nákladov na cel</w:t>
            </w:r>
            <w:r w:rsidR="00FE527E">
              <w:t>é podnikateľské prostredie o 15 </w:t>
            </w:r>
            <w:r>
              <w:t>840 €)</w:t>
            </w:r>
            <w:r w:rsidR="00110DC9">
              <w:t>.</w:t>
            </w:r>
            <w:r>
              <w:t xml:space="preserve"> </w:t>
            </w:r>
          </w:p>
          <w:p w14:paraId="6B51EB4B" w14:textId="626D9B2D" w:rsidR="00263C3C" w:rsidRDefault="00263C3C" w:rsidP="00FE527E">
            <w:pPr>
              <w:jc w:val="both"/>
            </w:pPr>
            <w:r>
              <w:t>Administratívne náklady: 2198,4 - 8473 = -6274,6 (zníženie nákladov na celé po</w:t>
            </w:r>
            <w:r w:rsidR="00FE527E">
              <w:t>dnikateľské prostredie o 6274,6 </w:t>
            </w:r>
            <w:r>
              <w:t>€)</w:t>
            </w:r>
            <w:r w:rsidR="00110DC9">
              <w:t>.</w:t>
            </w:r>
          </w:p>
          <w:p w14:paraId="2BCA90D2" w14:textId="3B509202" w:rsidR="009F2DFA" w:rsidRDefault="00263C3C" w:rsidP="00FE527E">
            <w:pPr>
              <w:jc w:val="both"/>
            </w:pPr>
            <w:r>
              <w:t>Celkové náklady regulácie: (zníženie - 15840 €) + (zníženie - 6274,6 €) = zníženie nákladov na celé podnikateľské prostredie o 22 114,6 €</w:t>
            </w:r>
            <w:r w:rsidR="00110DC9">
              <w:t>.</w:t>
            </w:r>
          </w:p>
          <w:p w14:paraId="30A84B11" w14:textId="3D1B7A6C" w:rsidR="00110DC9" w:rsidRPr="00BD6B6C" w:rsidRDefault="00110DC9" w:rsidP="00263C3C">
            <w:r w:rsidRPr="00BD6B6C">
              <w:t>Ostatné náklady sú definované ako nekvantifikovateľné (N/A).</w:t>
            </w:r>
          </w:p>
          <w:p w14:paraId="623453BB" w14:textId="58F9063F" w:rsidR="006E273E" w:rsidRPr="00BD6B6C" w:rsidRDefault="006E273E" w:rsidP="00263C3C"/>
          <w:p w14:paraId="64718F34" w14:textId="6E107396" w:rsidR="006E273E" w:rsidRPr="00BD6B6C" w:rsidRDefault="006E273E" w:rsidP="00263C3C">
            <w:pPr>
              <w:rPr>
                <w:i/>
              </w:rPr>
            </w:pPr>
            <w:r w:rsidRPr="00BD6B6C">
              <w:rPr>
                <w:i/>
              </w:rPr>
              <w:t>V súvislosti so zabezpečením nakladania s vyhradeným prúdom odpadov z obalov a odpadov z neobalových výrobkov nepriame finančné náklady na jedného podnikateľa a celé podnikateľské prostredie sú vyjadrené v zmysle opisu uvádzaného v časti 3.3.2.</w:t>
            </w:r>
          </w:p>
          <w:p w14:paraId="4CD54D17" w14:textId="6EBE7B3C" w:rsidR="00330FE5" w:rsidRPr="005D3582" w:rsidRDefault="00330FE5" w:rsidP="00F72689">
            <w:pPr>
              <w:jc w:val="both"/>
            </w:pPr>
          </w:p>
        </w:tc>
      </w:tr>
      <w:tr w:rsidR="009F2DFA" w:rsidRPr="00F04CCD" w14:paraId="1B07E80D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1D830ADA" w14:textId="77777777" w:rsidR="009F2DFA" w:rsidRPr="005D3582" w:rsidRDefault="002B1108" w:rsidP="007B71A4">
            <w:pPr>
              <w:rPr>
                <w:b/>
                <w:sz w:val="24"/>
              </w:rPr>
            </w:pPr>
            <w:r w:rsidRPr="005D3582">
              <w:rPr>
                <w:b/>
                <w:sz w:val="24"/>
              </w:rPr>
              <w:t>3</w:t>
            </w:r>
            <w:r w:rsidR="009F2DFA" w:rsidRPr="005D3582">
              <w:rPr>
                <w:b/>
                <w:sz w:val="24"/>
              </w:rPr>
              <w:t>.4 Konkurencieschopnosť a správanie sa podnikov na trhu</w:t>
            </w:r>
          </w:p>
          <w:p w14:paraId="47441C8B" w14:textId="77777777" w:rsidR="009F2DFA" w:rsidRPr="005D3582" w:rsidRDefault="009F2DFA" w:rsidP="007B71A4">
            <w:r w:rsidRPr="005D3582">
              <w:rPr>
                <w:b/>
                <w:sz w:val="24"/>
              </w:rPr>
              <w:t xml:space="preserve">       </w:t>
            </w:r>
            <w:r w:rsidRPr="005D3582">
              <w:rPr>
                <w:sz w:val="24"/>
              </w:rPr>
              <w:t xml:space="preserve">- </w:t>
            </w:r>
            <w:r w:rsidRPr="005D3582">
              <w:rPr>
                <w:b/>
                <w:sz w:val="24"/>
              </w:rPr>
              <w:t>z toho MSP</w:t>
            </w:r>
          </w:p>
        </w:tc>
      </w:tr>
      <w:tr w:rsidR="009F2DFA" w:rsidRPr="00F04CCD" w14:paraId="25861281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195DEF40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5D3582">
              <w:rPr>
                <w:i/>
              </w:rPr>
              <w:t>mikro</w:t>
            </w:r>
            <w:proofErr w:type="spellEnd"/>
            <w:r w:rsidRPr="005D3582">
              <w:rPr>
                <w:i/>
              </w:rPr>
              <w:t>, malé a stredné podniky tzv. MSP)? Ak áno, popíšte.</w:t>
            </w:r>
          </w:p>
          <w:p w14:paraId="43B02A64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58570463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Ako ovplyvní cenu alebo dostupnosť základných zdrojov (suroviny, mechanizmy, pracovná sila, energie atď.)?</w:t>
            </w:r>
          </w:p>
          <w:p w14:paraId="1D501D70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Ovplyvňuje prístup k financiám? Ak áno, ako?</w:t>
            </w:r>
          </w:p>
        </w:tc>
      </w:tr>
      <w:tr w:rsidR="009F2DFA" w:rsidRPr="00F04CCD" w14:paraId="172A3D64" w14:textId="77777777" w:rsidTr="006E4CDF">
        <w:trPr>
          <w:trHeight w:val="448"/>
        </w:trPr>
        <w:tc>
          <w:tcPr>
            <w:tcW w:w="9212" w:type="dxa"/>
            <w:tcBorders>
              <w:bottom w:val="single" w:sz="4" w:space="0" w:color="auto"/>
            </w:tcBorders>
          </w:tcPr>
          <w:p w14:paraId="238096E9" w14:textId="3361974D" w:rsidR="009F2DFA" w:rsidRPr="005D3582" w:rsidRDefault="009F2DFA" w:rsidP="00FE527E">
            <w:pPr>
              <w:jc w:val="both"/>
              <w:rPr>
                <w:i/>
              </w:rPr>
            </w:pPr>
          </w:p>
        </w:tc>
      </w:tr>
      <w:tr w:rsidR="009F2DFA" w:rsidRPr="00F04CCD" w14:paraId="09E01A3D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4A81E983" w14:textId="77777777" w:rsidR="009F2DFA" w:rsidRPr="005D3582" w:rsidRDefault="002B1108" w:rsidP="007B71A4">
            <w:pPr>
              <w:rPr>
                <w:b/>
                <w:sz w:val="24"/>
              </w:rPr>
            </w:pPr>
            <w:r w:rsidRPr="005D3582">
              <w:rPr>
                <w:b/>
                <w:sz w:val="24"/>
              </w:rPr>
              <w:t>3</w:t>
            </w:r>
            <w:r w:rsidR="009F2DFA" w:rsidRPr="005D3582">
              <w:rPr>
                <w:b/>
                <w:sz w:val="24"/>
              </w:rPr>
              <w:t xml:space="preserve">.5 Inovácie </w:t>
            </w:r>
          </w:p>
          <w:p w14:paraId="74E82BAA" w14:textId="77777777" w:rsidR="009F2DFA" w:rsidRPr="005D3582" w:rsidRDefault="009F2DFA" w:rsidP="007B71A4">
            <w:pPr>
              <w:rPr>
                <w:b/>
              </w:rPr>
            </w:pPr>
            <w:r w:rsidRPr="005D3582">
              <w:rPr>
                <w:sz w:val="24"/>
              </w:rPr>
              <w:t xml:space="preserve">       - </w:t>
            </w:r>
            <w:r w:rsidRPr="005D3582">
              <w:rPr>
                <w:b/>
                <w:sz w:val="24"/>
              </w:rPr>
              <w:t>z toho MSP</w:t>
            </w:r>
          </w:p>
        </w:tc>
      </w:tr>
      <w:tr w:rsidR="009F2DFA" w:rsidRPr="00F04CCD" w14:paraId="69CA7B1D" w14:textId="77777777" w:rsidTr="007B71A4">
        <w:tc>
          <w:tcPr>
            <w:tcW w:w="9212" w:type="dxa"/>
          </w:tcPr>
          <w:p w14:paraId="755B44D6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Uveďte, ako podporuje navrhovaná zmena inovácie.</w:t>
            </w:r>
          </w:p>
          <w:p w14:paraId="496CCC2A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Zjednodušuje uvedenie alebo rozšírenie nových výrobných metód, technológií a výrobkov na trh?</w:t>
            </w:r>
          </w:p>
          <w:p w14:paraId="6DE13C00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 xml:space="preserve">Uveďte, ako vplýva navrhovaná zmena na </w:t>
            </w:r>
            <w:r w:rsidR="00904C9B" w:rsidRPr="005D3582">
              <w:rPr>
                <w:i/>
              </w:rPr>
              <w:t xml:space="preserve">jednotlivé </w:t>
            </w:r>
            <w:r w:rsidRPr="005D3582">
              <w:rPr>
                <w:i/>
              </w:rPr>
              <w:t>práva duševného vlastníctva (</w:t>
            </w:r>
            <w:r w:rsidR="00904C9B" w:rsidRPr="005D3582">
              <w:rPr>
                <w:i/>
              </w:rPr>
              <w:t xml:space="preserve">napr. </w:t>
            </w:r>
            <w:r w:rsidRPr="005D3582">
              <w:rPr>
                <w:i/>
              </w:rPr>
              <w:t xml:space="preserve">patenty, ochranné známky, </w:t>
            </w:r>
            <w:r w:rsidR="00904C9B" w:rsidRPr="005D3582">
              <w:rPr>
                <w:i/>
              </w:rPr>
              <w:t>autorské práva</w:t>
            </w:r>
            <w:r w:rsidRPr="005D3582">
              <w:rPr>
                <w:i/>
              </w:rPr>
              <w:t>, vlastníctvo know-how).</w:t>
            </w:r>
          </w:p>
          <w:p w14:paraId="74C7B68C" w14:textId="77777777" w:rsidR="009F2DFA" w:rsidRPr="005D3582" w:rsidRDefault="009F2DFA" w:rsidP="007B71A4">
            <w:pPr>
              <w:rPr>
                <w:i/>
              </w:rPr>
            </w:pPr>
            <w:r w:rsidRPr="005D3582">
              <w:rPr>
                <w:i/>
              </w:rPr>
              <w:t>Podporuje vyššiu efektivitu výroby/využívania zdrojov? Ak áno, ako?</w:t>
            </w:r>
          </w:p>
          <w:p w14:paraId="2CB2FE17" w14:textId="77777777" w:rsidR="00837639" w:rsidRPr="005D3582" w:rsidRDefault="00837639" w:rsidP="007B71A4">
            <w:r w:rsidRPr="005D3582">
              <w:rPr>
                <w:i/>
              </w:rPr>
              <w:t>Vytvorí zmena nové pracovné miesta pre zamestnancov výskumu a vývoja v SR?</w:t>
            </w:r>
          </w:p>
        </w:tc>
      </w:tr>
      <w:tr w:rsidR="009F2DFA" w:rsidRPr="00F04CCD" w14:paraId="5466D9CE" w14:textId="77777777" w:rsidTr="006E4CDF">
        <w:trPr>
          <w:trHeight w:val="553"/>
        </w:trPr>
        <w:tc>
          <w:tcPr>
            <w:tcW w:w="9212" w:type="dxa"/>
          </w:tcPr>
          <w:p w14:paraId="17E201AC" w14:textId="6074F156" w:rsidR="009F2DFA" w:rsidRPr="00531C29" w:rsidRDefault="009F2DFA" w:rsidP="00FE527E">
            <w:pPr>
              <w:jc w:val="both"/>
            </w:pPr>
          </w:p>
        </w:tc>
      </w:tr>
    </w:tbl>
    <w:p w14:paraId="08BEA821" w14:textId="77777777" w:rsidR="009F2DFA" w:rsidRPr="00F04CCD" w:rsidRDefault="009F2DFA" w:rsidP="009F2DFA"/>
    <w:p w14:paraId="1544A9DF" w14:textId="77777777" w:rsidR="009F2DFA" w:rsidRDefault="009F2DFA" w:rsidP="009F2DFA"/>
    <w:p w14:paraId="0635861D" w14:textId="77777777" w:rsidR="009F2DFA" w:rsidRDefault="009F2DFA" w:rsidP="009F2DFA"/>
    <w:p w14:paraId="4E66BF8E" w14:textId="77777777" w:rsidR="009F2DFA" w:rsidRDefault="009F2DFA" w:rsidP="009F2DFA"/>
    <w:p w14:paraId="56CF8D31" w14:textId="77777777" w:rsidR="009F2DFA" w:rsidRDefault="009F2DFA" w:rsidP="009F2DFA"/>
    <w:p w14:paraId="73686C23" w14:textId="77777777" w:rsidR="009F2DFA" w:rsidRDefault="009F2DFA" w:rsidP="009F2DFA"/>
    <w:p w14:paraId="080964AB" w14:textId="77777777" w:rsidR="009F2DFA" w:rsidRDefault="009F2DFA" w:rsidP="009F2DFA"/>
    <w:p w14:paraId="6B67A19A" w14:textId="77777777" w:rsidR="009F2DFA" w:rsidRDefault="009F2DFA" w:rsidP="009F2DFA"/>
    <w:p w14:paraId="01AF749B" w14:textId="77777777" w:rsidR="009F2DFA" w:rsidRDefault="009F2DFA" w:rsidP="009F2DFA">
      <w:pPr>
        <w:rPr>
          <w:b/>
          <w:sz w:val="24"/>
        </w:rPr>
      </w:pPr>
    </w:p>
    <w:sectPr w:rsidR="009F2D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789B" w14:textId="77777777" w:rsidR="00A3346A" w:rsidRDefault="00A3346A" w:rsidP="009F2DFA">
      <w:r>
        <w:separator/>
      </w:r>
    </w:p>
  </w:endnote>
  <w:endnote w:type="continuationSeparator" w:id="0">
    <w:p w14:paraId="52DE7AE0" w14:textId="77777777" w:rsidR="00A3346A" w:rsidRDefault="00A3346A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81234"/>
      <w:docPartObj>
        <w:docPartGallery w:val="Page Numbers (Bottom of Page)"/>
        <w:docPartUnique/>
      </w:docPartObj>
    </w:sdtPr>
    <w:sdtEndPr/>
    <w:sdtContent>
      <w:p w14:paraId="50965457" w14:textId="2796EB0F"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6C">
          <w:rPr>
            <w:noProof/>
          </w:rPr>
          <w:t>1</w:t>
        </w:r>
        <w:r>
          <w:fldChar w:fldCharType="end"/>
        </w:r>
      </w:p>
    </w:sdtContent>
  </w:sdt>
  <w:p w14:paraId="322E7276" w14:textId="77777777"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84AF" w14:textId="77777777" w:rsidR="00A3346A" w:rsidRDefault="00A3346A" w:rsidP="009F2DFA">
      <w:r>
        <w:separator/>
      </w:r>
    </w:p>
  </w:footnote>
  <w:footnote w:type="continuationSeparator" w:id="0">
    <w:p w14:paraId="11E9D7AF" w14:textId="77777777" w:rsidR="00A3346A" w:rsidRDefault="00A3346A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70B0" w14:textId="77777777"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14:paraId="6BABFADC" w14:textId="77777777"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D6780C"/>
    <w:multiLevelType w:val="hybridMultilevel"/>
    <w:tmpl w:val="B678CCA2"/>
    <w:lvl w:ilvl="0" w:tplc="ECB0AF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09D1"/>
    <w:multiLevelType w:val="hybridMultilevel"/>
    <w:tmpl w:val="53FA1804"/>
    <w:lvl w:ilvl="0" w:tplc="88B036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120E6"/>
    <w:rsid w:val="00075F17"/>
    <w:rsid w:val="0008688C"/>
    <w:rsid w:val="000C6D7C"/>
    <w:rsid w:val="000C73AF"/>
    <w:rsid w:val="000E72C7"/>
    <w:rsid w:val="00110DC9"/>
    <w:rsid w:val="001257BA"/>
    <w:rsid w:val="00134877"/>
    <w:rsid w:val="00136C1A"/>
    <w:rsid w:val="00151D06"/>
    <w:rsid w:val="00154881"/>
    <w:rsid w:val="0016176F"/>
    <w:rsid w:val="00166C80"/>
    <w:rsid w:val="001B7430"/>
    <w:rsid w:val="001C7438"/>
    <w:rsid w:val="001E036B"/>
    <w:rsid w:val="00244116"/>
    <w:rsid w:val="00245543"/>
    <w:rsid w:val="00263C3C"/>
    <w:rsid w:val="00276F12"/>
    <w:rsid w:val="00290139"/>
    <w:rsid w:val="002B103C"/>
    <w:rsid w:val="002B1108"/>
    <w:rsid w:val="002B5016"/>
    <w:rsid w:val="002C7148"/>
    <w:rsid w:val="002E3474"/>
    <w:rsid w:val="002F52D8"/>
    <w:rsid w:val="003110A7"/>
    <w:rsid w:val="003241F6"/>
    <w:rsid w:val="00330FE5"/>
    <w:rsid w:val="00331F49"/>
    <w:rsid w:val="003638BF"/>
    <w:rsid w:val="0037179B"/>
    <w:rsid w:val="00374CCD"/>
    <w:rsid w:val="003B0853"/>
    <w:rsid w:val="003B72E4"/>
    <w:rsid w:val="003E7206"/>
    <w:rsid w:val="0042401E"/>
    <w:rsid w:val="00427129"/>
    <w:rsid w:val="00440FBE"/>
    <w:rsid w:val="00442FED"/>
    <w:rsid w:val="00445F39"/>
    <w:rsid w:val="00456B3D"/>
    <w:rsid w:val="00461341"/>
    <w:rsid w:val="0047606E"/>
    <w:rsid w:val="004923D1"/>
    <w:rsid w:val="00496576"/>
    <w:rsid w:val="004A1C6B"/>
    <w:rsid w:val="004B14C5"/>
    <w:rsid w:val="004C07FF"/>
    <w:rsid w:val="004E6FBD"/>
    <w:rsid w:val="00510CB7"/>
    <w:rsid w:val="00512416"/>
    <w:rsid w:val="0052297F"/>
    <w:rsid w:val="00524C89"/>
    <w:rsid w:val="005253CF"/>
    <w:rsid w:val="00531C29"/>
    <w:rsid w:val="005527AF"/>
    <w:rsid w:val="00555AE2"/>
    <w:rsid w:val="00565946"/>
    <w:rsid w:val="00566B31"/>
    <w:rsid w:val="00587B83"/>
    <w:rsid w:val="00597CED"/>
    <w:rsid w:val="005C1DA3"/>
    <w:rsid w:val="005D3582"/>
    <w:rsid w:val="005E1E67"/>
    <w:rsid w:val="005E5999"/>
    <w:rsid w:val="005F5207"/>
    <w:rsid w:val="00636999"/>
    <w:rsid w:val="00662309"/>
    <w:rsid w:val="00671924"/>
    <w:rsid w:val="006812D4"/>
    <w:rsid w:val="006A45BD"/>
    <w:rsid w:val="006A5819"/>
    <w:rsid w:val="006B3A5D"/>
    <w:rsid w:val="006B644A"/>
    <w:rsid w:val="006C5EFA"/>
    <w:rsid w:val="006E273E"/>
    <w:rsid w:val="006E4CDF"/>
    <w:rsid w:val="00726ADC"/>
    <w:rsid w:val="00750BD2"/>
    <w:rsid w:val="00762CC8"/>
    <w:rsid w:val="00772158"/>
    <w:rsid w:val="00780BA6"/>
    <w:rsid w:val="007A7416"/>
    <w:rsid w:val="007C4846"/>
    <w:rsid w:val="007D2417"/>
    <w:rsid w:val="007F1DB8"/>
    <w:rsid w:val="00814DEA"/>
    <w:rsid w:val="008353D7"/>
    <w:rsid w:val="00837639"/>
    <w:rsid w:val="00840CF5"/>
    <w:rsid w:val="00852182"/>
    <w:rsid w:val="00855643"/>
    <w:rsid w:val="0087086B"/>
    <w:rsid w:val="008804EE"/>
    <w:rsid w:val="008855D6"/>
    <w:rsid w:val="008A1252"/>
    <w:rsid w:val="008B5A2C"/>
    <w:rsid w:val="008C0F6B"/>
    <w:rsid w:val="008E6666"/>
    <w:rsid w:val="008F17AF"/>
    <w:rsid w:val="008F2DF4"/>
    <w:rsid w:val="00904C9B"/>
    <w:rsid w:val="00923C61"/>
    <w:rsid w:val="009262FB"/>
    <w:rsid w:val="00932603"/>
    <w:rsid w:val="00951BDD"/>
    <w:rsid w:val="00957D18"/>
    <w:rsid w:val="009673B8"/>
    <w:rsid w:val="009971C2"/>
    <w:rsid w:val="009B256A"/>
    <w:rsid w:val="009B5989"/>
    <w:rsid w:val="009D3496"/>
    <w:rsid w:val="009D6102"/>
    <w:rsid w:val="009F2DFA"/>
    <w:rsid w:val="00A23A17"/>
    <w:rsid w:val="00A3346A"/>
    <w:rsid w:val="00A43C04"/>
    <w:rsid w:val="00A53D20"/>
    <w:rsid w:val="00A66710"/>
    <w:rsid w:val="00A83B95"/>
    <w:rsid w:val="00A858B8"/>
    <w:rsid w:val="00A90F14"/>
    <w:rsid w:val="00AC2438"/>
    <w:rsid w:val="00B04F99"/>
    <w:rsid w:val="00B11EEF"/>
    <w:rsid w:val="00B13279"/>
    <w:rsid w:val="00B26690"/>
    <w:rsid w:val="00B31A8E"/>
    <w:rsid w:val="00B32D33"/>
    <w:rsid w:val="00B35BDD"/>
    <w:rsid w:val="00B44858"/>
    <w:rsid w:val="00B47846"/>
    <w:rsid w:val="00B87111"/>
    <w:rsid w:val="00B974A7"/>
    <w:rsid w:val="00BA073A"/>
    <w:rsid w:val="00BA1CD4"/>
    <w:rsid w:val="00BD6B6C"/>
    <w:rsid w:val="00C013D7"/>
    <w:rsid w:val="00C02D8A"/>
    <w:rsid w:val="00C10038"/>
    <w:rsid w:val="00C234FF"/>
    <w:rsid w:val="00C318B0"/>
    <w:rsid w:val="00C31948"/>
    <w:rsid w:val="00C54726"/>
    <w:rsid w:val="00C71F9C"/>
    <w:rsid w:val="00C83004"/>
    <w:rsid w:val="00CB3623"/>
    <w:rsid w:val="00CB6A8A"/>
    <w:rsid w:val="00CD1F6C"/>
    <w:rsid w:val="00CE6A08"/>
    <w:rsid w:val="00D12164"/>
    <w:rsid w:val="00D24D89"/>
    <w:rsid w:val="00D40D47"/>
    <w:rsid w:val="00D72FFB"/>
    <w:rsid w:val="00D8471F"/>
    <w:rsid w:val="00D97CFC"/>
    <w:rsid w:val="00DB5D16"/>
    <w:rsid w:val="00DD6C1F"/>
    <w:rsid w:val="00DE1704"/>
    <w:rsid w:val="00DE2D2D"/>
    <w:rsid w:val="00DF15D8"/>
    <w:rsid w:val="00DF3A89"/>
    <w:rsid w:val="00E05C61"/>
    <w:rsid w:val="00E25634"/>
    <w:rsid w:val="00E50EEB"/>
    <w:rsid w:val="00E5531C"/>
    <w:rsid w:val="00E6277D"/>
    <w:rsid w:val="00E70434"/>
    <w:rsid w:val="00E7528D"/>
    <w:rsid w:val="00E81D26"/>
    <w:rsid w:val="00E8517D"/>
    <w:rsid w:val="00E86AD1"/>
    <w:rsid w:val="00EA4EAD"/>
    <w:rsid w:val="00EB6174"/>
    <w:rsid w:val="00F32AE2"/>
    <w:rsid w:val="00F41620"/>
    <w:rsid w:val="00F42DAD"/>
    <w:rsid w:val="00F43FD2"/>
    <w:rsid w:val="00F66737"/>
    <w:rsid w:val="00F66DC3"/>
    <w:rsid w:val="00F714F2"/>
    <w:rsid w:val="00F72689"/>
    <w:rsid w:val="00F76F78"/>
    <w:rsid w:val="00FB2131"/>
    <w:rsid w:val="00FB560D"/>
    <w:rsid w:val="00FB5C13"/>
    <w:rsid w:val="00FC21F3"/>
    <w:rsid w:val="00FC44E5"/>
    <w:rsid w:val="00FD11C1"/>
    <w:rsid w:val="00FD15BE"/>
    <w:rsid w:val="00FD338B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4C02"/>
  <w15:docId w15:val="{F0E4B477-8D2E-4913-A91B-D1740AA2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1C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1C2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1C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1C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1C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podnikateľské-prostredie"/>
    <f:field ref="objsubject" par="" edit="true" text=""/>
    <f:field ref="objcreatedby" par="" text="Švedlárová, Gabriela, Mgr."/>
    <f:field ref="objcreatedat" par="" text="10.12.2020 15:03:50"/>
    <f:field ref="objchangedby" par="" text="Administrator, System"/>
    <f:field ref="objmodifiedat" par="" text="10.12.2020 15:03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Švedlárová Gabriela</cp:lastModifiedBy>
  <cp:revision>6</cp:revision>
  <cp:lastPrinted>2019-03-21T09:57:00Z</cp:lastPrinted>
  <dcterms:created xsi:type="dcterms:W3CDTF">2021-02-10T10:24:00Z</dcterms:created>
  <dcterms:modified xsi:type="dcterms:W3CDTF">2021-03-15T16:02:00Z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COO.2145.1000.3.4152706</vt:lpwstr>
  </property>
  <property fmtid="{D5CDD505-2E9C-101B-9397-08002B2CF9AE}" pid="152" name="FSC#FSCFOLIO@1.1001:docpropproject">
    <vt:lpwstr/>
  </property>
</Properties>
</file>