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8FB" w:rsidRPr="000F18FB" w:rsidRDefault="000F18FB" w:rsidP="00B52D31">
      <w:pPr>
        <w:spacing w:after="0" w:line="240" w:lineRule="auto"/>
        <w:jc w:val="center"/>
        <w:rPr>
          <w:rFonts w:ascii="Times New Roman" w:eastAsia="Calibri" w:hAnsi="Times New Roman" w:cs="Times New Roman"/>
          <w:b/>
          <w:caps/>
          <w:sz w:val="24"/>
          <w:szCs w:val="24"/>
        </w:rPr>
      </w:pPr>
      <w:r w:rsidRPr="000F18FB">
        <w:rPr>
          <w:rFonts w:ascii="Times New Roman" w:eastAsia="Calibri" w:hAnsi="Times New Roman" w:cs="Times New Roman"/>
          <w:b/>
          <w:caps/>
          <w:sz w:val="24"/>
          <w:szCs w:val="24"/>
        </w:rPr>
        <w:t>Dôvodová správa</w:t>
      </w:r>
    </w:p>
    <w:p w:rsidR="000F18FB" w:rsidRPr="000F18FB" w:rsidRDefault="000F18FB" w:rsidP="00B52D31">
      <w:pPr>
        <w:spacing w:after="0" w:line="240" w:lineRule="auto"/>
        <w:jc w:val="both"/>
        <w:rPr>
          <w:rFonts w:ascii="Times New Roman" w:eastAsia="Calibri" w:hAnsi="Times New Roman" w:cs="Times New Roman"/>
          <w:b/>
          <w:sz w:val="24"/>
          <w:szCs w:val="24"/>
        </w:rPr>
      </w:pPr>
    </w:p>
    <w:p w:rsidR="000F18FB" w:rsidRPr="000F18FB" w:rsidRDefault="000F18FB" w:rsidP="00B52D31">
      <w:pPr>
        <w:spacing w:after="0" w:line="240" w:lineRule="auto"/>
        <w:jc w:val="both"/>
        <w:rPr>
          <w:rFonts w:ascii="Times New Roman" w:eastAsia="Calibri" w:hAnsi="Times New Roman" w:cs="Times New Roman"/>
          <w:b/>
          <w:sz w:val="24"/>
          <w:szCs w:val="24"/>
        </w:rPr>
      </w:pPr>
      <w:r w:rsidRPr="000F18FB">
        <w:rPr>
          <w:rFonts w:ascii="Times New Roman" w:eastAsia="Calibri" w:hAnsi="Times New Roman" w:cs="Times New Roman"/>
          <w:b/>
          <w:sz w:val="24"/>
          <w:szCs w:val="24"/>
        </w:rPr>
        <w:t>A. Všeobecná časť</w:t>
      </w:r>
    </w:p>
    <w:p w:rsidR="000F18FB" w:rsidRPr="000F18FB" w:rsidRDefault="000F18FB" w:rsidP="00B52D31">
      <w:pPr>
        <w:spacing w:before="120" w:after="0" w:line="240" w:lineRule="auto"/>
        <w:ind w:firstLine="709"/>
        <w:jc w:val="both"/>
        <w:rPr>
          <w:rFonts w:ascii="Times New Roman" w:eastAsia="Calibri" w:hAnsi="Times New Roman" w:cs="Times New Roman"/>
          <w:sz w:val="24"/>
          <w:szCs w:val="24"/>
        </w:rPr>
      </w:pPr>
      <w:r w:rsidRPr="000F18FB">
        <w:rPr>
          <w:rFonts w:ascii="Times New Roman" w:eastAsia="Calibri" w:hAnsi="Times New Roman" w:cs="Times New Roman"/>
          <w:sz w:val="24"/>
          <w:szCs w:val="24"/>
        </w:rPr>
        <w:t>Návrh zákona, ktorým sa mení a dopĺňa zákon č. 106/2018 Z. z. o prevádzke vozidiel v cestnej premávke a o zmene a doplnení niektorých zákonov v znení neskorších predpisov a ktorým sa menia a dopĺňajú niektoré zákony</w:t>
      </w:r>
      <w:r w:rsidRPr="000F18FB" w:rsidDel="007636A8">
        <w:rPr>
          <w:rFonts w:ascii="Times New Roman" w:eastAsia="Calibri" w:hAnsi="Times New Roman" w:cs="Times New Roman"/>
          <w:sz w:val="24"/>
          <w:szCs w:val="24"/>
        </w:rPr>
        <w:t xml:space="preserve"> </w:t>
      </w:r>
      <w:r w:rsidRPr="000F18FB">
        <w:rPr>
          <w:rFonts w:ascii="Times New Roman" w:eastAsia="Calibri" w:hAnsi="Times New Roman" w:cs="Times New Roman"/>
          <w:sz w:val="24"/>
          <w:szCs w:val="24"/>
        </w:rPr>
        <w:t xml:space="preserve">(ďalej len „návrh zákona“) </w:t>
      </w:r>
      <w:r w:rsidRPr="000F18FB">
        <w:rPr>
          <w:rFonts w:ascii="Times New Roman" w:eastAsia="Calibri" w:hAnsi="Times New Roman" w:cs="Times New Roman"/>
          <w:bCs/>
          <w:sz w:val="24"/>
          <w:szCs w:val="24"/>
        </w:rPr>
        <w:t>vypracovaný Ministerstvom dopravy a výstavby Slovenskej republiky</w:t>
      </w:r>
      <w:r w:rsidRPr="000F18FB">
        <w:rPr>
          <w:rFonts w:ascii="Times New Roman" w:eastAsia="Calibri" w:hAnsi="Times New Roman" w:cs="Times New Roman"/>
          <w:sz w:val="24"/>
          <w:szCs w:val="24"/>
        </w:rPr>
        <w:t xml:space="preserve"> (ďalej len „ministerstvo dopravy“) sa predkladá podľa bodu B.1. uznesenia vlády Slovenskej republiky č. 501 zo dňa 19. 8. 2020 a podľa bodu B.1. uznesenia vlády Slovenskej republiky č. 6 zo dňa 7. 1. 2021.</w:t>
      </w:r>
    </w:p>
    <w:p w:rsidR="000F18FB" w:rsidRPr="000F18FB" w:rsidRDefault="000F18FB" w:rsidP="00B52D31">
      <w:pPr>
        <w:spacing w:before="120" w:after="0" w:line="240" w:lineRule="auto"/>
        <w:ind w:firstLine="709"/>
        <w:jc w:val="both"/>
        <w:rPr>
          <w:rFonts w:ascii="Times New Roman" w:eastAsia="Calibri" w:hAnsi="Times New Roman" w:cs="Times New Roman"/>
          <w:sz w:val="24"/>
          <w:szCs w:val="24"/>
        </w:rPr>
      </w:pPr>
      <w:r w:rsidRPr="000F18FB">
        <w:rPr>
          <w:rFonts w:ascii="Times New Roman" w:eastAsia="Calibri" w:hAnsi="Times New Roman" w:cs="Times New Roman"/>
          <w:sz w:val="24"/>
          <w:szCs w:val="24"/>
        </w:rPr>
        <w:t>Dôvodom na vypracovanie návrhu zákona je implementácia dvoch európskych nariadení a to:</w:t>
      </w:r>
    </w:p>
    <w:p w:rsidR="000F18FB" w:rsidRPr="000F18FB" w:rsidRDefault="000F18FB" w:rsidP="00B52D31">
      <w:pPr>
        <w:numPr>
          <w:ilvl w:val="0"/>
          <w:numId w:val="14"/>
        </w:numPr>
        <w:spacing w:after="0" w:line="240" w:lineRule="auto"/>
        <w:ind w:left="426" w:hanging="426"/>
        <w:contextualSpacing/>
        <w:jc w:val="both"/>
        <w:rPr>
          <w:rFonts w:ascii="Times New Roman" w:eastAsia="Calibri" w:hAnsi="Times New Roman" w:cs="Times New Roman"/>
          <w:sz w:val="24"/>
          <w:szCs w:val="24"/>
        </w:rPr>
      </w:pPr>
      <w:r w:rsidRPr="000F18FB">
        <w:rPr>
          <w:rFonts w:ascii="Times New Roman" w:eastAsia="Calibri" w:hAnsi="Times New Roman" w:cs="Times New Roman"/>
          <w:sz w:val="24"/>
          <w:szCs w:val="24"/>
        </w:rPr>
        <w:t>nariadenia Európskeho parlamentu a Rady (EÚ) 2019/2144 z 27. novembra 2019 o požiadavkách na typové schvaľovanie motorových vozidiel a ich prípojných vozidiel a systémov, komponentov a samostatných technických jednotiek určených pre tieto vozidlá, pokiaľ ide o ich všeobecnú bezpečnosť a ochranu cestujúcich vo vozidle a zraniteľných účastníkov cestnej premávky, ktorým sa mení nariadenie Európskeho parlamentu a Rady (EÚ) 2018/858 a ktorým sa zrušujú nariadenia Európskeho parlamentu a Rady (ES) č. 78/2009, (ES) č. 79/2009 a (ES) č. 661/2009 a nariadenia Komisie (ES) č. 631/2009, (EÚ) č. 406/2010, (EÚ) č. 672/2010, (EÚ) č. 1003/2010, (EÚ) č. 1005/2010, (EÚ) č. 1008/2010, (EÚ) č. 1009/2010, (EÚ) č. 19/2011, (EÚ) č. 109/2011, (EÚ) č. 458/2011, (EÚ) č. 65/2012, (EÚ) č. 130/2012, (EÚ) č. 347/2012, (EÚ) č. 351/2012, (EÚ) č. 1230/2012 a (EÚ) 2015/166 (Ú.  v. EÚ L 325, 16.12.2019) (ďalej len „nariadenie (EÚ) 2019/2144“) a</w:t>
      </w:r>
    </w:p>
    <w:p w:rsidR="000F18FB" w:rsidRPr="000F18FB" w:rsidRDefault="000F18FB" w:rsidP="00B52D31">
      <w:pPr>
        <w:numPr>
          <w:ilvl w:val="0"/>
          <w:numId w:val="14"/>
        </w:numPr>
        <w:spacing w:after="0" w:line="240" w:lineRule="auto"/>
        <w:ind w:left="426" w:hanging="426"/>
        <w:contextualSpacing/>
        <w:jc w:val="both"/>
        <w:rPr>
          <w:rFonts w:ascii="Times New Roman" w:eastAsia="Calibri" w:hAnsi="Times New Roman" w:cs="Times New Roman"/>
          <w:sz w:val="24"/>
          <w:szCs w:val="24"/>
        </w:rPr>
      </w:pPr>
      <w:r w:rsidRPr="000F18FB">
        <w:rPr>
          <w:rFonts w:ascii="Times New Roman" w:eastAsia="Calibri" w:hAnsi="Times New Roman" w:cs="Times New Roman"/>
          <w:sz w:val="24"/>
          <w:szCs w:val="24"/>
        </w:rPr>
        <w:t>nariadenia Európskeho parlamentu a Rady (EÚ) 2020/740 z 25. mája 2020 o označovaní pneumatík vzhľadom na palivovú úspornosť a iné parametre, ktorým sa mení nariadenie (EÚ) 2017/1369 a zrušuje nariadenie (ES) č. 1222/2009 (Ú. v. EÚ L 177, 5. 6. 2020) (ďalej len „nariadenie (EÚ) 2020/740“).</w:t>
      </w:r>
    </w:p>
    <w:p w:rsidR="000F18FB" w:rsidRPr="000F18FB" w:rsidRDefault="000F18FB" w:rsidP="00B52D31">
      <w:pPr>
        <w:spacing w:before="120" w:after="0" w:line="240" w:lineRule="auto"/>
        <w:ind w:firstLine="709"/>
        <w:jc w:val="both"/>
        <w:rPr>
          <w:rFonts w:ascii="Times New Roman" w:eastAsia="Calibri" w:hAnsi="Times New Roman" w:cs="Times New Roman"/>
          <w:sz w:val="24"/>
          <w:szCs w:val="24"/>
        </w:rPr>
      </w:pPr>
      <w:r w:rsidRPr="000F18FB">
        <w:rPr>
          <w:rFonts w:ascii="Times New Roman" w:eastAsia="Calibri" w:hAnsi="Times New Roman" w:cs="Times New Roman"/>
          <w:sz w:val="24"/>
          <w:szCs w:val="24"/>
        </w:rPr>
        <w:t xml:space="preserve">Ďalším dôvodom sú úpravy a doplnenia vyplývajúce z aplikácie zákona č. 106/2018 Z. z. o prevádzke vozidiel v cestnej premávke a o zmene a doplnení niektorých zákonov v znení neskorších predpisov v praxi, najmä: </w:t>
      </w:r>
    </w:p>
    <w:p w:rsidR="000F18FB" w:rsidRPr="000F18FB" w:rsidRDefault="000F18FB" w:rsidP="00B52D31">
      <w:pPr>
        <w:numPr>
          <w:ilvl w:val="0"/>
          <w:numId w:val="13"/>
        </w:numPr>
        <w:spacing w:after="0" w:line="276" w:lineRule="auto"/>
        <w:jc w:val="both"/>
        <w:rPr>
          <w:rFonts w:ascii="Times New Roman" w:eastAsia="Calibri" w:hAnsi="Times New Roman" w:cs="Times New Roman"/>
          <w:sz w:val="24"/>
          <w:szCs w:val="24"/>
        </w:rPr>
      </w:pPr>
      <w:r w:rsidRPr="000F18FB">
        <w:rPr>
          <w:rFonts w:ascii="Times New Roman" w:eastAsia="Calibri" w:hAnsi="Times New Roman" w:cs="Times New Roman"/>
          <w:sz w:val="24"/>
          <w:szCs w:val="24"/>
        </w:rPr>
        <w:t xml:space="preserve">v rámci zníženia administratívnej záťaže opravovní vozidiel sa navrhuje zrušenie certifikácie opravovní a v súvislosti s tým sa vypúšťajú ustanovenia týkajúce sa certifikovaných miest opravy; pri ťažkých dopravných nehodách, ktoré mali vplyv na hlavné bezpečnostné prvky vozidla, ktorými sú zavesenie kolies, deformačné zóny, systémy </w:t>
      </w:r>
      <w:proofErr w:type="spellStart"/>
      <w:r w:rsidRPr="000F18FB">
        <w:rPr>
          <w:rFonts w:ascii="Times New Roman" w:eastAsia="Calibri" w:hAnsi="Times New Roman" w:cs="Times New Roman"/>
          <w:sz w:val="24"/>
          <w:szCs w:val="24"/>
        </w:rPr>
        <w:t>airbagov</w:t>
      </w:r>
      <w:proofErr w:type="spellEnd"/>
      <w:r w:rsidRPr="000F18FB">
        <w:rPr>
          <w:rFonts w:ascii="Times New Roman" w:eastAsia="Calibri" w:hAnsi="Times New Roman" w:cs="Times New Roman"/>
          <w:sz w:val="24"/>
          <w:szCs w:val="24"/>
        </w:rPr>
        <w:t>, riadenie alebo brzdy, bude postačovať, aby oprava vozidla bola vykoná na základe informácií od výrobcu s príslušným technologickým vybavením,</w:t>
      </w:r>
    </w:p>
    <w:p w:rsidR="000F18FB" w:rsidRPr="000F18FB" w:rsidRDefault="000F18FB" w:rsidP="00B52D31">
      <w:pPr>
        <w:numPr>
          <w:ilvl w:val="0"/>
          <w:numId w:val="13"/>
        </w:numPr>
        <w:spacing w:after="0" w:line="276" w:lineRule="auto"/>
        <w:jc w:val="both"/>
        <w:rPr>
          <w:rFonts w:ascii="Times New Roman" w:eastAsia="Calibri" w:hAnsi="Times New Roman" w:cs="Times New Roman"/>
          <w:sz w:val="24"/>
          <w:szCs w:val="24"/>
        </w:rPr>
      </w:pPr>
      <w:r w:rsidRPr="000F18FB">
        <w:rPr>
          <w:rFonts w:ascii="Times New Roman" w:eastAsia="Calibri" w:hAnsi="Times New Roman" w:cs="Times New Roman"/>
          <w:sz w:val="24"/>
          <w:szCs w:val="24"/>
        </w:rPr>
        <w:t>v súvislosti s činnosťou technickej služby technickej kontroly, technickej služby emisnej kontroly, technickej služby kontroly originality a technickej služby montáže plynových zariadení sa navrhuje predĺžiť platnosť poverenia s tým, že po ukončení činnosti technickej služby do začiatku fungovania novej technickej služby bude potrebné odovzdať typovému schvaľovaciemu orgánu informačný systém,</w:t>
      </w:r>
    </w:p>
    <w:p w:rsidR="000F18FB" w:rsidRPr="000F18FB" w:rsidRDefault="000F18FB" w:rsidP="00B52D31">
      <w:pPr>
        <w:numPr>
          <w:ilvl w:val="0"/>
          <w:numId w:val="13"/>
        </w:numPr>
        <w:spacing w:after="0" w:line="276" w:lineRule="auto"/>
        <w:jc w:val="both"/>
        <w:rPr>
          <w:rFonts w:ascii="Times New Roman" w:eastAsia="Calibri" w:hAnsi="Times New Roman" w:cs="Times New Roman"/>
          <w:sz w:val="24"/>
          <w:szCs w:val="24"/>
        </w:rPr>
      </w:pPr>
      <w:r w:rsidRPr="000F18FB">
        <w:rPr>
          <w:rFonts w:ascii="Times New Roman" w:eastAsia="Calibri" w:hAnsi="Times New Roman" w:cs="Times New Roman"/>
          <w:sz w:val="24"/>
          <w:szCs w:val="24"/>
        </w:rPr>
        <w:t>v súvislosti so zriaďovaním staníc technickej kontroly nad rámec existujúcej siete, sa navrhujú zaviesť viaceré obmedzenia pre tých držiteľov povolení, ktorí reálne dané pracoviská nestavajú a mnohokrát iba zámerne blokujú miesto v existujúcej sieti,</w:t>
      </w:r>
    </w:p>
    <w:p w:rsidR="000F18FB" w:rsidRPr="000F18FB" w:rsidRDefault="000F18FB" w:rsidP="00B52D31">
      <w:pPr>
        <w:numPr>
          <w:ilvl w:val="0"/>
          <w:numId w:val="13"/>
        </w:numPr>
        <w:spacing w:after="0" w:line="276" w:lineRule="auto"/>
        <w:jc w:val="both"/>
        <w:rPr>
          <w:rFonts w:ascii="Times New Roman" w:eastAsia="Calibri" w:hAnsi="Times New Roman" w:cs="Times New Roman"/>
          <w:sz w:val="24"/>
          <w:szCs w:val="24"/>
        </w:rPr>
      </w:pPr>
      <w:r w:rsidRPr="000F18FB">
        <w:rPr>
          <w:rFonts w:ascii="Times New Roman" w:eastAsia="Calibri" w:hAnsi="Times New Roman" w:cs="Times New Roman"/>
          <w:sz w:val="24"/>
          <w:szCs w:val="24"/>
        </w:rPr>
        <w:t>navrhuje sa upraviť niektoré parametre pre výpočet ďalšej kontrolnej linky v súvislosti so zriaďovaním staníc technickej kontroly nad rámec existujúcej siete, ktoré vychádzajú zo zaznamenaných údajov v informačných systémoch.</w:t>
      </w:r>
    </w:p>
    <w:p w:rsidR="000F18FB" w:rsidRPr="000F18FB" w:rsidRDefault="000F18FB" w:rsidP="00B52D31">
      <w:pPr>
        <w:spacing w:before="120" w:after="0" w:line="240" w:lineRule="auto"/>
        <w:ind w:firstLine="709"/>
        <w:jc w:val="both"/>
        <w:rPr>
          <w:rFonts w:ascii="Times New Roman" w:eastAsia="Calibri" w:hAnsi="Times New Roman" w:cs="Times New Roman"/>
          <w:sz w:val="24"/>
          <w:szCs w:val="24"/>
        </w:rPr>
      </w:pPr>
      <w:r w:rsidRPr="000F18FB">
        <w:rPr>
          <w:rFonts w:ascii="Times New Roman" w:eastAsia="Calibri" w:hAnsi="Times New Roman" w:cs="Times New Roman"/>
          <w:sz w:val="24"/>
          <w:szCs w:val="24"/>
        </w:rPr>
        <w:lastRenderedPageBreak/>
        <w:t xml:space="preserve">Súčasťou návrhu zákona sú aj sprievodné novely súvisiacich zákonov v čl. II až VI, a to zákona Národnej rady Slovenskej republiky č. 145/1995 Z. z. o správnych poplatkoch v znení neskorších predpisov, zákona č. 128/2002 Z. z. o štátnej kontrole vnútorného trhu vo veciach ochrany spotrebiteľa a o zmene a doplnení niektorých zákonov v znení neskorších predpisov, zákona č. 250/2007 Z. z. o ochrane spotrebiteľa a o zmene zákona Slovenskej národnej rady č. 372/1990 Zb. o priestupkoch v znení neskorších predpisov v znení neskorších predpisov, zákona č. </w:t>
      </w:r>
      <w:hyperlink r:id="rId7" w:tooltip="Odkaz na predpis alebo ustanovenie" w:history="1">
        <w:r w:rsidRPr="000F18FB">
          <w:rPr>
            <w:rFonts w:ascii="Times New Roman" w:eastAsia="Calibri" w:hAnsi="Times New Roman" w:cs="Times New Roman"/>
            <w:sz w:val="24"/>
            <w:szCs w:val="24"/>
          </w:rPr>
          <w:t>8/2009 Z. z.</w:t>
        </w:r>
      </w:hyperlink>
      <w:r w:rsidRPr="000F18FB">
        <w:rPr>
          <w:rFonts w:ascii="Times New Roman" w:eastAsia="Calibri" w:hAnsi="Times New Roman" w:cs="Times New Roman"/>
          <w:sz w:val="24"/>
          <w:szCs w:val="24"/>
        </w:rPr>
        <w:t xml:space="preserve"> o cestnej premávke a o zmene a doplnení niektorých zákonov v znení neskorších predpisov a zákona č. 387/2015 Z. z. o jednotnom informačnom systéme v cestnej doprave a o zmene a doplnení niektorých zákonov v znení neskorších predpisov.</w:t>
      </w:r>
    </w:p>
    <w:p w:rsidR="000F18FB" w:rsidRPr="000F18FB" w:rsidRDefault="000F18FB" w:rsidP="00B52D31">
      <w:pPr>
        <w:spacing w:before="120" w:after="0" w:line="240" w:lineRule="auto"/>
        <w:ind w:firstLine="709"/>
        <w:jc w:val="both"/>
        <w:rPr>
          <w:rFonts w:ascii="Times New Roman" w:eastAsia="Calibri" w:hAnsi="Times New Roman" w:cs="Times New Roman"/>
          <w:sz w:val="24"/>
          <w:szCs w:val="24"/>
        </w:rPr>
      </w:pPr>
      <w:r w:rsidRPr="000F18FB">
        <w:rPr>
          <w:rFonts w:ascii="Times New Roman" w:eastAsia="Calibri" w:hAnsi="Times New Roman" w:cs="Times New Roman"/>
          <w:sz w:val="24"/>
          <w:szCs w:val="24"/>
        </w:rPr>
        <w:t xml:space="preserve">Navrhuje sa, aby návrh zákona nadobudol účinnosť 1. novembra 2021 okrem ustanovení súvisiacich s implementáciou nariadenia (EÚ) 2019/2144, ktoré nadobúdajú účinnosť 6. júla 2022, a nových povinností pre technické služby, ktoré vzídu z výberového konania, ktoré nadobudnú účinnosť od 20. mája 2023, čím sa zároveň zabezpečí dostatočne dlhá </w:t>
      </w:r>
      <w:proofErr w:type="spellStart"/>
      <w:r w:rsidRPr="000F18FB">
        <w:rPr>
          <w:rFonts w:ascii="Times New Roman" w:eastAsia="Calibri" w:hAnsi="Times New Roman" w:cs="Times New Roman"/>
          <w:sz w:val="24"/>
          <w:szCs w:val="24"/>
        </w:rPr>
        <w:t>legisvakančná</w:t>
      </w:r>
      <w:proofErr w:type="spellEnd"/>
      <w:r w:rsidRPr="000F18FB">
        <w:rPr>
          <w:rFonts w:ascii="Times New Roman" w:eastAsia="Calibri" w:hAnsi="Times New Roman" w:cs="Times New Roman"/>
          <w:sz w:val="24"/>
          <w:szCs w:val="24"/>
        </w:rPr>
        <w:t xml:space="preserve"> doba na oboznámenie sa s navrhovaným zákonom.</w:t>
      </w:r>
    </w:p>
    <w:p w:rsidR="000F18FB" w:rsidRPr="000F18FB" w:rsidRDefault="000F18FB" w:rsidP="00B52D31">
      <w:pPr>
        <w:spacing w:before="120" w:after="0" w:line="240" w:lineRule="auto"/>
        <w:ind w:firstLine="709"/>
        <w:jc w:val="both"/>
        <w:rPr>
          <w:rFonts w:ascii="Times New Roman" w:eastAsia="Calibri" w:hAnsi="Times New Roman" w:cs="Times New Roman"/>
          <w:sz w:val="24"/>
          <w:szCs w:val="24"/>
        </w:rPr>
      </w:pPr>
      <w:r w:rsidRPr="000F18FB">
        <w:rPr>
          <w:rFonts w:ascii="Times New Roman" w:eastAsia="Calibri" w:hAnsi="Times New Roman" w:cs="Times New Roman"/>
          <w:sz w:val="24"/>
          <w:szCs w:val="24"/>
        </w:rPr>
        <w:t>Predložený návrh zákona bude mať pozitívny a negatívny vplyv na rozpočet verejnej správy, pozitívny vplyv na podnikateľské prostredie a pozitívny vplyv na informatizáciu spoločnosti. Návrh zákona nemá žiadne sociálne vplyvy, vplyvy na životné prostredie, vplyvy na služby verejnej správy pre občana a ani vplyvy na manželstvo, rodičovstvo a rodinu. Vyhodnotenie vybraných vplyvov je uvedené v doložke vybraných vplyvov.</w:t>
      </w:r>
    </w:p>
    <w:p w:rsidR="000F18FB" w:rsidRPr="000F18FB" w:rsidRDefault="000F18FB" w:rsidP="00B52D31">
      <w:pPr>
        <w:spacing w:before="120" w:after="0" w:line="240" w:lineRule="auto"/>
        <w:ind w:firstLine="709"/>
        <w:jc w:val="both"/>
        <w:rPr>
          <w:rFonts w:ascii="Times New Roman" w:eastAsia="Calibri" w:hAnsi="Times New Roman" w:cs="Times New Roman"/>
          <w:sz w:val="24"/>
        </w:rPr>
      </w:pPr>
      <w:r w:rsidRPr="000F18FB">
        <w:rPr>
          <w:rFonts w:ascii="Times New Roman" w:eastAsia="Calibri" w:hAnsi="Times New Roman" w:cs="Times New Roman"/>
          <w:sz w:val="24"/>
          <w:szCs w:val="24"/>
        </w:rPr>
        <w:t xml:space="preserve">Návrh zákona sa nepredkladá do </w:t>
      </w:r>
      <w:proofErr w:type="spellStart"/>
      <w:r w:rsidRPr="000F18FB">
        <w:rPr>
          <w:rFonts w:ascii="Times New Roman" w:eastAsia="Calibri" w:hAnsi="Times New Roman" w:cs="Times New Roman"/>
          <w:sz w:val="24"/>
          <w:szCs w:val="24"/>
        </w:rPr>
        <w:t>vnútrokomunitárneho</w:t>
      </w:r>
      <w:proofErr w:type="spellEnd"/>
      <w:r w:rsidRPr="000F18FB">
        <w:rPr>
          <w:rFonts w:ascii="Times New Roman" w:eastAsia="Calibri" w:hAnsi="Times New Roman" w:cs="Times New Roman"/>
          <w:sz w:val="24"/>
          <w:szCs w:val="24"/>
        </w:rPr>
        <w:t xml:space="preserve"> pripomienkového konania.</w:t>
      </w:r>
    </w:p>
    <w:p w:rsidR="000F18FB" w:rsidRPr="000F18FB" w:rsidRDefault="000F18FB" w:rsidP="00B52D31">
      <w:pPr>
        <w:spacing w:before="120" w:after="0" w:line="240" w:lineRule="auto"/>
        <w:ind w:firstLine="709"/>
        <w:jc w:val="both"/>
        <w:rPr>
          <w:rFonts w:ascii="Times New Roman" w:eastAsia="Calibri" w:hAnsi="Times New Roman" w:cs="Times New Roman"/>
          <w:sz w:val="24"/>
          <w:szCs w:val="24"/>
        </w:rPr>
      </w:pPr>
      <w:r w:rsidRPr="000F18FB">
        <w:rPr>
          <w:rFonts w:ascii="Times New Roman" w:eastAsia="Calibri" w:hAnsi="Times New Roman" w:cs="Times New Roman"/>
          <w:sz w:val="24"/>
          <w:szCs w:val="24"/>
        </w:rPr>
        <w:t>Návrh zákona je v súlade s Ústavou Slovenskej republiky, s ústavnými zákonmi a nálezmi Ústavného súdu Slovenskej republiky, so zákonmi a ostatnými všeobecne záväznými právnymi predpismi platnými v Slovenskej republike, s medzinárodnými zmluvami, ktorými je Slovenská republika viazaná, ako aj s právom Európskej únie.</w:t>
      </w:r>
    </w:p>
    <w:p w:rsidR="000F18FB" w:rsidRPr="000F18FB" w:rsidRDefault="000F18FB" w:rsidP="00B52D31">
      <w:pPr>
        <w:spacing w:after="0" w:line="240" w:lineRule="auto"/>
        <w:jc w:val="both"/>
        <w:rPr>
          <w:rFonts w:ascii="Times New Roman" w:eastAsia="Calibri" w:hAnsi="Times New Roman" w:cs="Times New Roman"/>
          <w:sz w:val="24"/>
          <w:szCs w:val="24"/>
        </w:rPr>
      </w:pPr>
    </w:p>
    <w:p w:rsidR="007A64EB" w:rsidRPr="00B52D31" w:rsidRDefault="007A64E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pPr>
    </w:p>
    <w:p w:rsidR="000F18FB" w:rsidRPr="000F18FB" w:rsidRDefault="000F18FB" w:rsidP="00B52D31">
      <w:pPr>
        <w:spacing w:after="0" w:line="240" w:lineRule="auto"/>
        <w:jc w:val="center"/>
        <w:rPr>
          <w:rFonts w:ascii="Times New Roman" w:eastAsia="Times New Roman" w:hAnsi="Times New Roman" w:cs="Times New Roman"/>
          <w:b/>
          <w:bCs/>
          <w:sz w:val="28"/>
          <w:szCs w:val="28"/>
          <w:lang w:eastAsia="sk-SK"/>
        </w:rPr>
      </w:pPr>
      <w:r w:rsidRPr="000F18FB">
        <w:rPr>
          <w:rFonts w:ascii="Times New Roman" w:eastAsia="Times New Roman" w:hAnsi="Times New Roman" w:cs="Times New Roman"/>
          <w:b/>
          <w:bCs/>
          <w:sz w:val="28"/>
          <w:szCs w:val="28"/>
          <w:lang w:eastAsia="sk-SK"/>
        </w:rPr>
        <w:lastRenderedPageBreak/>
        <w:t>Doložka vybraných vplyvov</w:t>
      </w:r>
    </w:p>
    <w:p w:rsidR="000F18FB" w:rsidRPr="000F18FB" w:rsidRDefault="000F18FB" w:rsidP="00B52D31">
      <w:pPr>
        <w:spacing w:after="200" w:line="276" w:lineRule="auto"/>
        <w:ind w:left="426"/>
        <w:contextualSpacing/>
        <w:jc w:val="both"/>
        <w:rPr>
          <w:rFonts w:ascii="Times New Roman" w:eastAsia="Times New Roman" w:hAnsi="Times New Roman" w:cs="Times New Roman"/>
          <w:b/>
        </w:rPr>
      </w:pP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0F18FB" w:rsidRPr="000F18FB" w:rsidTr="000F18FB">
        <w:tc>
          <w:tcPr>
            <w:tcW w:w="9180" w:type="dxa"/>
            <w:gridSpan w:val="10"/>
            <w:tcBorders>
              <w:bottom w:val="single" w:sz="4" w:space="0" w:color="FFFFFF"/>
            </w:tcBorders>
            <w:shd w:val="clear" w:color="auto" w:fill="E2E2E2"/>
          </w:tcPr>
          <w:p w:rsidR="000F18FB" w:rsidRPr="000F18FB" w:rsidRDefault="000F18FB" w:rsidP="00B52D31">
            <w:pPr>
              <w:numPr>
                <w:ilvl w:val="0"/>
                <w:numId w:val="16"/>
              </w:numPr>
              <w:ind w:left="426"/>
              <w:contextualSpacing/>
              <w:jc w:val="both"/>
              <w:rPr>
                <w:rFonts w:ascii="Times New Roman" w:hAnsi="Times New Roman"/>
                <w:b/>
              </w:rPr>
            </w:pPr>
            <w:r w:rsidRPr="000F18FB">
              <w:rPr>
                <w:rFonts w:ascii="Times New Roman" w:hAnsi="Times New Roman"/>
                <w:b/>
              </w:rPr>
              <w:t>Základné údaje</w:t>
            </w:r>
          </w:p>
        </w:tc>
      </w:tr>
      <w:tr w:rsidR="000F18FB" w:rsidRPr="000F18FB" w:rsidTr="000F18FB">
        <w:tc>
          <w:tcPr>
            <w:tcW w:w="9180" w:type="dxa"/>
            <w:gridSpan w:val="10"/>
            <w:tcBorders>
              <w:bottom w:val="single" w:sz="4" w:space="0" w:color="FFFFFF"/>
            </w:tcBorders>
            <w:shd w:val="clear" w:color="auto" w:fill="E2E2E2"/>
          </w:tcPr>
          <w:p w:rsidR="000F18FB" w:rsidRPr="000F18FB" w:rsidRDefault="000F18FB" w:rsidP="00B52D31">
            <w:pPr>
              <w:spacing w:line="276" w:lineRule="auto"/>
              <w:ind w:left="142"/>
              <w:contextualSpacing/>
              <w:jc w:val="both"/>
              <w:rPr>
                <w:rFonts w:ascii="Times New Roman" w:hAnsi="Times New Roman"/>
                <w:b/>
              </w:rPr>
            </w:pPr>
            <w:r w:rsidRPr="000F18FB">
              <w:rPr>
                <w:rFonts w:ascii="Times New Roman" w:hAnsi="Times New Roman"/>
                <w:b/>
              </w:rPr>
              <w:t>Názov materiálu</w:t>
            </w:r>
          </w:p>
        </w:tc>
      </w:tr>
      <w:tr w:rsidR="000F18FB" w:rsidRPr="000F18FB" w:rsidTr="000F18FB">
        <w:tc>
          <w:tcPr>
            <w:tcW w:w="9180" w:type="dxa"/>
            <w:gridSpan w:val="10"/>
            <w:tcBorders>
              <w:top w:val="single" w:sz="4" w:space="0" w:color="FFFFFF"/>
            </w:tcBorders>
          </w:tcPr>
          <w:p w:rsidR="000F18FB" w:rsidRPr="000F18FB" w:rsidRDefault="000F18FB" w:rsidP="00B52D31">
            <w:pPr>
              <w:jc w:val="both"/>
              <w:rPr>
                <w:rFonts w:ascii="Times New Roman" w:hAnsi="Times New Roman"/>
                <w:highlight w:val="cyan"/>
                <w:lang w:eastAsia="sk-SK"/>
              </w:rPr>
            </w:pPr>
            <w:r w:rsidRPr="000F18FB">
              <w:rPr>
                <w:rFonts w:ascii="Times New Roman" w:hAnsi="Times New Roman"/>
                <w:lang w:eastAsia="sk-SK"/>
              </w:rPr>
              <w:t>Návrh zákona, ktorým sa mení a dopĺňa zákon č. 106/2018 Z. z. o prevádzke vozidiel v cestnej premávke a o zmene a doplnení niektorých zákonov v znení neskorších predpisov a ktorým sa menia a dopĺňajú niektoré zákony (ďalej len „návrh zákona“).</w:t>
            </w:r>
          </w:p>
        </w:tc>
      </w:tr>
      <w:tr w:rsidR="000F18FB" w:rsidRPr="000F18FB" w:rsidTr="000F18FB">
        <w:trPr>
          <w:trHeight w:val="344"/>
        </w:trPr>
        <w:tc>
          <w:tcPr>
            <w:tcW w:w="9180" w:type="dxa"/>
            <w:gridSpan w:val="10"/>
            <w:tcBorders>
              <w:bottom w:val="single" w:sz="4" w:space="0" w:color="FFFFFF"/>
            </w:tcBorders>
            <w:shd w:val="clear" w:color="auto" w:fill="E2E2E2"/>
          </w:tcPr>
          <w:p w:rsidR="000F18FB" w:rsidRPr="000F18FB" w:rsidRDefault="000F18FB" w:rsidP="00B52D31">
            <w:pPr>
              <w:spacing w:line="276" w:lineRule="auto"/>
              <w:ind w:left="142"/>
              <w:contextualSpacing/>
              <w:jc w:val="both"/>
              <w:rPr>
                <w:rFonts w:ascii="Times New Roman" w:hAnsi="Times New Roman"/>
                <w:b/>
              </w:rPr>
            </w:pPr>
            <w:r w:rsidRPr="000F18FB">
              <w:rPr>
                <w:rFonts w:ascii="Times New Roman" w:hAnsi="Times New Roman"/>
                <w:b/>
              </w:rPr>
              <w:t>Predkladateľ (a spolupredkladateľ)</w:t>
            </w:r>
          </w:p>
        </w:tc>
      </w:tr>
      <w:tr w:rsidR="000F18FB" w:rsidRPr="000F18FB" w:rsidTr="000F18FB">
        <w:tc>
          <w:tcPr>
            <w:tcW w:w="9180" w:type="dxa"/>
            <w:gridSpan w:val="10"/>
            <w:tcBorders>
              <w:top w:val="single" w:sz="4" w:space="0" w:color="FFFFFF"/>
            </w:tcBorders>
            <w:shd w:val="clear" w:color="auto" w:fill="FFFFFF"/>
          </w:tcPr>
          <w:p w:rsidR="000F18FB" w:rsidRPr="000F18FB" w:rsidRDefault="000F18FB" w:rsidP="00B52D31">
            <w:pPr>
              <w:jc w:val="both"/>
              <w:rPr>
                <w:rFonts w:ascii="Times New Roman" w:hAnsi="Times New Roman"/>
                <w:lang w:eastAsia="sk-SK"/>
              </w:rPr>
            </w:pPr>
            <w:r w:rsidRPr="000F18FB">
              <w:rPr>
                <w:rFonts w:ascii="Times New Roman" w:hAnsi="Times New Roman"/>
                <w:lang w:eastAsia="sk-SK"/>
              </w:rPr>
              <w:t xml:space="preserve">Ministerstvo dopravy a výstavby Slovenskej republiky </w:t>
            </w:r>
          </w:p>
        </w:tc>
      </w:tr>
      <w:tr w:rsidR="000F18FB" w:rsidRPr="00B52D31" w:rsidTr="000F18FB">
        <w:tc>
          <w:tcPr>
            <w:tcW w:w="4212" w:type="dxa"/>
            <w:gridSpan w:val="2"/>
            <w:vMerge w:val="restart"/>
            <w:tcBorders>
              <w:bottom w:val="single" w:sz="4" w:space="0" w:color="FFFFFF"/>
            </w:tcBorders>
            <w:shd w:val="clear" w:color="auto" w:fill="E2E2E2"/>
            <w:vAlign w:val="center"/>
          </w:tcPr>
          <w:p w:rsidR="000F18FB" w:rsidRPr="000F18FB" w:rsidRDefault="000F18FB" w:rsidP="00B52D31">
            <w:pPr>
              <w:spacing w:after="200" w:line="276" w:lineRule="auto"/>
              <w:ind w:left="142"/>
              <w:contextualSpacing/>
              <w:jc w:val="both"/>
              <w:rPr>
                <w:rFonts w:ascii="Times New Roman" w:hAnsi="Times New Roman"/>
                <w:b/>
              </w:rPr>
            </w:pPr>
            <w:r w:rsidRPr="000F18FB">
              <w:rPr>
                <w:rFonts w:ascii="Times New Roman" w:hAnsi="Times New Roman"/>
                <w:b/>
              </w:rPr>
              <w:t>Charakter predkladaného materiálu</w:t>
            </w:r>
          </w:p>
        </w:tc>
        <w:tc>
          <w:tcPr>
            <w:tcW w:w="705" w:type="dxa"/>
            <w:gridSpan w:val="2"/>
            <w:tcBorders>
              <w:right w:val="nil"/>
            </w:tcBorders>
            <w:shd w:val="clear" w:color="auto" w:fill="FFFFFF"/>
          </w:tcPr>
          <w:p w:rsidR="000F18FB" w:rsidRPr="000F18FB" w:rsidRDefault="000F18FB" w:rsidP="00B52D31">
            <w:pPr>
              <w:jc w:val="both"/>
              <w:rPr>
                <w:rFonts w:ascii="Times New Roman" w:hAnsi="Times New Roman"/>
                <w:lang w:eastAsia="sk-SK"/>
              </w:rPr>
            </w:pPr>
            <w:r w:rsidRPr="000F18FB">
              <w:rPr>
                <w:rFonts w:ascii="Segoe UI Symbol" w:eastAsia="MS Mincho" w:hAnsi="Segoe UI Symbol" w:cs="Segoe UI Symbol"/>
                <w:lang w:eastAsia="sk-SK"/>
              </w:rPr>
              <w:t>☐</w:t>
            </w:r>
          </w:p>
        </w:tc>
        <w:tc>
          <w:tcPr>
            <w:tcW w:w="4263" w:type="dxa"/>
            <w:gridSpan w:val="6"/>
            <w:tcBorders>
              <w:left w:val="nil"/>
            </w:tcBorders>
            <w:shd w:val="clear" w:color="auto" w:fill="FFFFFF"/>
          </w:tcPr>
          <w:p w:rsidR="000F18FB" w:rsidRPr="000F18FB" w:rsidRDefault="000F18FB" w:rsidP="00B52D31">
            <w:pPr>
              <w:jc w:val="both"/>
              <w:rPr>
                <w:rFonts w:ascii="Times New Roman" w:hAnsi="Times New Roman"/>
                <w:lang w:eastAsia="sk-SK"/>
              </w:rPr>
            </w:pPr>
            <w:r w:rsidRPr="000F18FB">
              <w:rPr>
                <w:rFonts w:ascii="Times New Roman" w:hAnsi="Times New Roman"/>
                <w:lang w:eastAsia="sk-SK"/>
              </w:rPr>
              <w:t>Materiál nelegislatívnej povahy</w:t>
            </w:r>
          </w:p>
        </w:tc>
      </w:tr>
      <w:tr w:rsidR="000F18FB" w:rsidRPr="00B52D31" w:rsidTr="000F18FB">
        <w:tc>
          <w:tcPr>
            <w:tcW w:w="4212" w:type="dxa"/>
            <w:gridSpan w:val="2"/>
            <w:vMerge/>
            <w:tcBorders>
              <w:top w:val="nil"/>
              <w:bottom w:val="single" w:sz="4" w:space="0" w:color="FFFFFF"/>
            </w:tcBorders>
            <w:shd w:val="clear" w:color="auto" w:fill="E2E2E2"/>
          </w:tcPr>
          <w:p w:rsidR="000F18FB" w:rsidRPr="000F18FB" w:rsidRDefault="000F18FB" w:rsidP="00B52D31">
            <w:pPr>
              <w:jc w:val="both"/>
              <w:rPr>
                <w:rFonts w:ascii="Times New Roman" w:hAnsi="Times New Roman"/>
                <w:lang w:eastAsia="sk-SK"/>
              </w:rPr>
            </w:pPr>
          </w:p>
        </w:tc>
        <w:tc>
          <w:tcPr>
            <w:tcW w:w="705" w:type="dxa"/>
            <w:gridSpan w:val="2"/>
            <w:tcBorders>
              <w:right w:val="nil"/>
            </w:tcBorders>
            <w:shd w:val="clear" w:color="auto" w:fill="FFFFFF"/>
          </w:tcPr>
          <w:p w:rsidR="000F18FB" w:rsidRPr="000F18FB" w:rsidRDefault="000F18FB" w:rsidP="00B52D31">
            <w:pPr>
              <w:jc w:val="both"/>
              <w:rPr>
                <w:rFonts w:ascii="Times New Roman" w:hAnsi="Times New Roman"/>
                <w:lang w:eastAsia="sk-SK"/>
              </w:rPr>
            </w:pPr>
            <w:r w:rsidRPr="000F18FB">
              <w:rPr>
                <w:rFonts w:ascii="Segoe UI Symbol" w:eastAsia="MS Mincho" w:hAnsi="Segoe UI Symbol" w:cs="Segoe UI Symbol"/>
                <w:lang w:eastAsia="sk-SK"/>
              </w:rPr>
              <w:t>☒</w:t>
            </w:r>
          </w:p>
        </w:tc>
        <w:tc>
          <w:tcPr>
            <w:tcW w:w="4263" w:type="dxa"/>
            <w:gridSpan w:val="6"/>
            <w:tcBorders>
              <w:left w:val="nil"/>
            </w:tcBorders>
            <w:shd w:val="clear" w:color="auto" w:fill="FFFFFF"/>
          </w:tcPr>
          <w:p w:rsidR="000F18FB" w:rsidRPr="000F18FB" w:rsidRDefault="000F18FB" w:rsidP="00B52D31">
            <w:pPr>
              <w:ind w:left="175" w:hanging="175"/>
              <w:jc w:val="both"/>
              <w:rPr>
                <w:rFonts w:ascii="Times New Roman" w:hAnsi="Times New Roman"/>
                <w:lang w:eastAsia="sk-SK"/>
              </w:rPr>
            </w:pPr>
            <w:r w:rsidRPr="000F18FB">
              <w:rPr>
                <w:rFonts w:ascii="Times New Roman" w:hAnsi="Times New Roman"/>
                <w:lang w:eastAsia="sk-SK"/>
              </w:rPr>
              <w:t>Materiál legislatívnej povahy</w:t>
            </w:r>
          </w:p>
        </w:tc>
      </w:tr>
      <w:tr w:rsidR="000F18FB" w:rsidRPr="00B52D31" w:rsidTr="000F18FB">
        <w:tc>
          <w:tcPr>
            <w:tcW w:w="4212" w:type="dxa"/>
            <w:gridSpan w:val="2"/>
            <w:vMerge/>
            <w:tcBorders>
              <w:top w:val="nil"/>
            </w:tcBorders>
            <w:shd w:val="clear" w:color="auto" w:fill="E2E2E2"/>
          </w:tcPr>
          <w:p w:rsidR="000F18FB" w:rsidRPr="000F18FB" w:rsidRDefault="000F18FB" w:rsidP="00B52D31">
            <w:pPr>
              <w:jc w:val="both"/>
              <w:rPr>
                <w:rFonts w:ascii="Times New Roman" w:hAnsi="Times New Roman"/>
                <w:lang w:eastAsia="sk-SK"/>
              </w:rPr>
            </w:pPr>
          </w:p>
        </w:tc>
        <w:tc>
          <w:tcPr>
            <w:tcW w:w="705" w:type="dxa"/>
            <w:gridSpan w:val="2"/>
            <w:tcBorders>
              <w:right w:val="nil"/>
            </w:tcBorders>
            <w:shd w:val="clear" w:color="auto" w:fill="FFFFFF"/>
          </w:tcPr>
          <w:p w:rsidR="000F18FB" w:rsidRPr="000F18FB" w:rsidRDefault="000F18FB" w:rsidP="00B52D31">
            <w:pPr>
              <w:jc w:val="both"/>
              <w:rPr>
                <w:rFonts w:ascii="Times New Roman" w:hAnsi="Times New Roman"/>
                <w:lang w:eastAsia="sk-SK"/>
              </w:rPr>
            </w:pPr>
            <w:r w:rsidRPr="000F18FB">
              <w:rPr>
                <w:rFonts w:ascii="Segoe UI Symbol" w:eastAsia="MS Mincho" w:hAnsi="Segoe UI Symbol" w:cs="Segoe UI Symbol"/>
                <w:lang w:eastAsia="sk-SK"/>
              </w:rPr>
              <w:t>☒</w:t>
            </w:r>
          </w:p>
        </w:tc>
        <w:tc>
          <w:tcPr>
            <w:tcW w:w="4263" w:type="dxa"/>
            <w:gridSpan w:val="6"/>
            <w:tcBorders>
              <w:left w:val="nil"/>
            </w:tcBorders>
            <w:shd w:val="clear" w:color="auto" w:fill="FFFFFF"/>
          </w:tcPr>
          <w:p w:rsidR="000F18FB" w:rsidRPr="000F18FB" w:rsidRDefault="000F18FB" w:rsidP="00B52D31">
            <w:pPr>
              <w:jc w:val="both"/>
              <w:rPr>
                <w:rFonts w:ascii="Times New Roman" w:hAnsi="Times New Roman"/>
                <w:lang w:eastAsia="sk-SK"/>
              </w:rPr>
            </w:pPr>
            <w:r w:rsidRPr="000F18FB">
              <w:rPr>
                <w:rFonts w:ascii="Times New Roman" w:hAnsi="Times New Roman"/>
                <w:lang w:eastAsia="sk-SK"/>
              </w:rPr>
              <w:t>Transpozícia práva EÚ</w:t>
            </w:r>
          </w:p>
        </w:tc>
      </w:tr>
      <w:tr w:rsidR="000F18FB" w:rsidRPr="000F18FB" w:rsidTr="000F18FB">
        <w:tc>
          <w:tcPr>
            <w:tcW w:w="9180" w:type="dxa"/>
            <w:gridSpan w:val="10"/>
            <w:tcBorders>
              <w:bottom w:val="single" w:sz="4" w:space="0" w:color="FFFFFF"/>
            </w:tcBorders>
            <w:shd w:val="clear" w:color="auto" w:fill="FFFFFF"/>
          </w:tcPr>
          <w:p w:rsidR="000F18FB" w:rsidRPr="000F18FB" w:rsidRDefault="000F18FB" w:rsidP="00B52D31">
            <w:pPr>
              <w:jc w:val="both"/>
              <w:rPr>
                <w:rFonts w:ascii="Times New Roman" w:hAnsi="Times New Roman"/>
                <w:lang w:eastAsia="sk-SK"/>
              </w:rPr>
            </w:pPr>
            <w:r w:rsidRPr="000F18FB">
              <w:rPr>
                <w:rFonts w:ascii="Times New Roman" w:hAnsi="Times New Roman"/>
                <w:lang w:eastAsia="sk-SK"/>
              </w:rPr>
              <w:t>Pôvodným zákonom č. 106/2018 Z. z. o prevádzke vozidiel v cestnej premávke a o zmene a doplnení niektorých zákonov (ďalej len „zákon o prevádzke vozidiel“) sa vykonala transpozícia nasledovných smerníc:</w:t>
            </w:r>
          </w:p>
          <w:p w:rsidR="000F18FB" w:rsidRPr="000F18FB" w:rsidRDefault="000F18FB" w:rsidP="00B52D31">
            <w:pPr>
              <w:numPr>
                <w:ilvl w:val="0"/>
                <w:numId w:val="17"/>
              </w:numPr>
              <w:ind w:left="284" w:hanging="295"/>
              <w:contextualSpacing/>
              <w:jc w:val="both"/>
              <w:rPr>
                <w:rFonts w:ascii="Times New Roman" w:hAnsi="Times New Roman"/>
              </w:rPr>
            </w:pPr>
            <w:r w:rsidRPr="000F18FB">
              <w:rPr>
                <w:rFonts w:ascii="Times New Roman" w:hAnsi="Times New Roman"/>
              </w:rPr>
              <w:t xml:space="preserve">smernica Rady 89/459/EHS z 18. júla 1989 o aproximácii právnych predpisov členských štátov, ktoré sa týkajú hĺbky dezénu jazdnej plochy pneumatík určitých kategórií motorových vozidiel a ich prípojných </w:t>
            </w:r>
            <w:r w:rsidRPr="000F18FB">
              <w:rPr>
                <w:rFonts w:ascii="Times New Roman" w:hAnsi="Times New Roman"/>
                <w:sz w:val="24"/>
                <w:szCs w:val="24"/>
              </w:rPr>
              <w:t>vozidiel (</w:t>
            </w:r>
            <w:r w:rsidRPr="000F18FB">
              <w:rPr>
                <w:rFonts w:ascii="Times New Roman" w:hAnsi="Times New Roman"/>
                <w:iCs/>
                <w:color w:val="444444"/>
                <w:sz w:val="24"/>
                <w:szCs w:val="24"/>
              </w:rPr>
              <w:t>Ú. v. ES L 226, 3.8.1989; Mimoriadne vydanie Ú v EÚ, kap. 13/zv. 10</w:t>
            </w:r>
            <w:r w:rsidRPr="000F18FB">
              <w:rPr>
                <w:rFonts w:ascii="Times New Roman" w:hAnsi="Times New Roman"/>
                <w:sz w:val="24"/>
                <w:szCs w:val="24"/>
              </w:rPr>
              <w:t>),</w:t>
            </w:r>
          </w:p>
          <w:p w:rsidR="000F18FB" w:rsidRPr="000F18FB" w:rsidRDefault="000F18FB" w:rsidP="00B52D31">
            <w:pPr>
              <w:numPr>
                <w:ilvl w:val="0"/>
                <w:numId w:val="17"/>
              </w:numPr>
              <w:ind w:left="284" w:hanging="295"/>
              <w:contextualSpacing/>
              <w:jc w:val="both"/>
              <w:rPr>
                <w:rFonts w:ascii="Times New Roman" w:hAnsi="Times New Roman"/>
              </w:rPr>
            </w:pPr>
            <w:r w:rsidRPr="000F18FB">
              <w:rPr>
                <w:rFonts w:ascii="Times New Roman" w:hAnsi="Times New Roman"/>
              </w:rPr>
              <w:t xml:space="preserve">smernica Rady 96/53/ES z 25. júla 1996, ktorou sa v Spoločenstve stanovujú najväčšie prípustné rozmery niektorých vozidiel vo vnútroštátnej a medzinárodnej cestnej doprave a maximálna povolená hmotnosť v medzinárodnej cestnej </w:t>
            </w:r>
            <w:r w:rsidRPr="000F18FB">
              <w:rPr>
                <w:rFonts w:ascii="Times New Roman" w:hAnsi="Times New Roman"/>
                <w:sz w:val="24"/>
                <w:szCs w:val="24"/>
              </w:rPr>
              <w:t>doprave (</w:t>
            </w:r>
            <w:r w:rsidRPr="000F18FB">
              <w:rPr>
                <w:rFonts w:ascii="Times New Roman" w:hAnsi="Times New Roman"/>
                <w:iCs/>
                <w:color w:val="444444"/>
                <w:sz w:val="24"/>
                <w:szCs w:val="24"/>
              </w:rPr>
              <w:t>Ú. v. ES L 235, 17.9.1996; Mimoriadne vydanie Ú v EÚ, kap. 7/zv. 2</w:t>
            </w:r>
            <w:r w:rsidRPr="000F18FB">
              <w:rPr>
                <w:rFonts w:ascii="Times New Roman" w:hAnsi="Times New Roman"/>
                <w:sz w:val="24"/>
                <w:szCs w:val="24"/>
              </w:rPr>
              <w:t>)</w:t>
            </w:r>
            <w:r w:rsidRPr="000F18FB">
              <w:rPr>
                <w:rFonts w:ascii="Times New Roman" w:hAnsi="Times New Roman"/>
              </w:rPr>
              <w:t>v platnom znení,</w:t>
            </w:r>
          </w:p>
          <w:p w:rsidR="000F18FB" w:rsidRPr="000F18FB" w:rsidRDefault="000F18FB" w:rsidP="00B52D31">
            <w:pPr>
              <w:numPr>
                <w:ilvl w:val="0"/>
                <w:numId w:val="17"/>
              </w:numPr>
              <w:ind w:left="284" w:hanging="295"/>
              <w:contextualSpacing/>
              <w:jc w:val="both"/>
              <w:rPr>
                <w:rFonts w:ascii="Times New Roman" w:hAnsi="Times New Roman"/>
                <w:sz w:val="24"/>
                <w:szCs w:val="24"/>
              </w:rPr>
            </w:pPr>
            <w:r w:rsidRPr="000F18FB">
              <w:rPr>
                <w:rFonts w:ascii="Times New Roman" w:hAnsi="Times New Roman"/>
              </w:rPr>
              <w:t xml:space="preserve">smernica Rady 1999/37/ES z 29. apríla 1999 o registračných dokumentoch pre </w:t>
            </w:r>
            <w:r w:rsidRPr="000F18FB">
              <w:rPr>
                <w:rFonts w:ascii="Times New Roman" w:hAnsi="Times New Roman"/>
                <w:sz w:val="24"/>
                <w:szCs w:val="24"/>
              </w:rPr>
              <w:t>vozidlá (</w:t>
            </w:r>
            <w:r w:rsidRPr="000F18FB">
              <w:rPr>
                <w:rFonts w:ascii="Times New Roman" w:hAnsi="Times New Roman"/>
                <w:iCs/>
                <w:color w:val="444444"/>
                <w:sz w:val="24"/>
                <w:szCs w:val="24"/>
              </w:rPr>
              <w:t>Ú. v. ES L 138, 1.6.1999; Mimoriadne vydanie Ú v EÚ, kap. 7/zv. 4</w:t>
            </w:r>
            <w:r w:rsidRPr="000F18FB">
              <w:rPr>
                <w:rFonts w:ascii="Times New Roman" w:hAnsi="Times New Roman"/>
                <w:sz w:val="24"/>
                <w:szCs w:val="24"/>
              </w:rPr>
              <w:t>) v platnom znení,</w:t>
            </w:r>
          </w:p>
          <w:p w:rsidR="000F18FB" w:rsidRPr="000F18FB" w:rsidRDefault="000F18FB" w:rsidP="00B52D31">
            <w:pPr>
              <w:numPr>
                <w:ilvl w:val="0"/>
                <w:numId w:val="17"/>
              </w:numPr>
              <w:ind w:left="284" w:hanging="295"/>
              <w:contextualSpacing/>
              <w:jc w:val="both"/>
              <w:rPr>
                <w:rFonts w:ascii="Times New Roman" w:hAnsi="Times New Roman"/>
              </w:rPr>
            </w:pPr>
            <w:r w:rsidRPr="000F18FB">
              <w:rPr>
                <w:rFonts w:ascii="Times New Roman" w:hAnsi="Times New Roman"/>
              </w:rPr>
              <w:t xml:space="preserve">smernica Európskeho parlamentu a Rady 2014/45/EÚ z 3. apríla 2014 o pravidelnej kontrole technického stavu motorových vozidiel a ich prípojných vozidiel a o zrušení smernice 2009/40/ES </w:t>
            </w:r>
            <w:r w:rsidRPr="000F18FB">
              <w:rPr>
                <w:rFonts w:ascii="Times New Roman" w:hAnsi="Times New Roman"/>
                <w:iCs/>
                <w:color w:val="444444"/>
                <w:sz w:val="24"/>
                <w:szCs w:val="24"/>
              </w:rPr>
              <w:t>(Ú. v. EÚ L 127, 29.4.2014</w:t>
            </w:r>
            <w:r w:rsidRPr="000F18FB">
              <w:rPr>
                <w:rFonts w:ascii="Times New Roman" w:hAnsi="Times New Roman"/>
              </w:rPr>
              <w:t>),</w:t>
            </w:r>
          </w:p>
          <w:p w:rsidR="000F18FB" w:rsidRPr="000F18FB" w:rsidRDefault="000F18FB" w:rsidP="00B52D31">
            <w:pPr>
              <w:numPr>
                <w:ilvl w:val="0"/>
                <w:numId w:val="17"/>
              </w:numPr>
              <w:ind w:left="284" w:hanging="295"/>
              <w:contextualSpacing/>
              <w:jc w:val="both"/>
              <w:rPr>
                <w:rFonts w:ascii="Times New Roman" w:hAnsi="Times New Roman"/>
              </w:rPr>
            </w:pPr>
            <w:r w:rsidRPr="000F18FB">
              <w:rPr>
                <w:rFonts w:ascii="Times New Roman" w:hAnsi="Times New Roman"/>
              </w:rPr>
              <w:t xml:space="preserve">smernica Európskeho parlamentu a Rady 2014/47/EÚ z 3. apríla 2014 o cestnej technickej kontrole úžitkových vozidiel prevádzkovaných v Únii a o zrušení smernice 2000/30/ES </w:t>
            </w:r>
            <w:r w:rsidRPr="000F18FB">
              <w:rPr>
                <w:rFonts w:ascii="Times New Roman" w:hAnsi="Times New Roman"/>
                <w:iCs/>
                <w:color w:val="444444"/>
                <w:sz w:val="24"/>
                <w:szCs w:val="24"/>
              </w:rPr>
              <w:t>(Ú. v. EÚ L 127, 29.4.2014</w:t>
            </w:r>
            <w:r w:rsidRPr="000F18FB">
              <w:rPr>
                <w:rFonts w:ascii="Times New Roman" w:hAnsi="Times New Roman"/>
              </w:rPr>
              <w:t>) .</w:t>
            </w:r>
          </w:p>
          <w:p w:rsidR="000F18FB" w:rsidRPr="000F18FB" w:rsidRDefault="000F18FB" w:rsidP="00B52D31">
            <w:pPr>
              <w:jc w:val="both"/>
              <w:rPr>
                <w:rFonts w:ascii="Times New Roman" w:hAnsi="Times New Roman"/>
                <w:lang w:eastAsia="sk-SK"/>
              </w:rPr>
            </w:pPr>
            <w:r w:rsidRPr="000F18FB">
              <w:rPr>
                <w:rFonts w:ascii="Times New Roman" w:hAnsi="Times New Roman"/>
                <w:lang w:eastAsia="sk-SK"/>
              </w:rPr>
              <w:t>Týmto zákonom sa nevykonáva transpozícia žiadnej smernice a ani nedochádza k zmene ustanovení dotýkajúcich sa transpozície vyššie uvedených predpisov.</w:t>
            </w:r>
          </w:p>
        </w:tc>
      </w:tr>
      <w:tr w:rsidR="000F18FB" w:rsidRPr="000F18FB" w:rsidTr="000F18FB">
        <w:trPr>
          <w:trHeight w:val="258"/>
        </w:trPr>
        <w:tc>
          <w:tcPr>
            <w:tcW w:w="5634" w:type="dxa"/>
            <w:gridSpan w:val="5"/>
            <w:tcBorders>
              <w:top w:val="single" w:sz="4" w:space="0" w:color="000000"/>
              <w:bottom w:val="single" w:sz="4" w:space="0" w:color="FFFFFF"/>
            </w:tcBorders>
            <w:shd w:val="clear" w:color="auto" w:fill="E2E2E2"/>
          </w:tcPr>
          <w:p w:rsidR="000F18FB" w:rsidRPr="000F18FB" w:rsidRDefault="000F18FB" w:rsidP="00B52D31">
            <w:pPr>
              <w:ind w:left="142"/>
              <w:contextualSpacing/>
              <w:jc w:val="both"/>
              <w:rPr>
                <w:rFonts w:ascii="Times New Roman" w:hAnsi="Times New Roman"/>
                <w:b/>
              </w:rPr>
            </w:pPr>
            <w:r w:rsidRPr="000F18FB">
              <w:rPr>
                <w:rFonts w:ascii="Times New Roman" w:hAnsi="Times New Roman"/>
                <w:b/>
              </w:rPr>
              <w:t>Termín začiatku a ukončenia PPK</w:t>
            </w:r>
          </w:p>
        </w:tc>
        <w:tc>
          <w:tcPr>
            <w:tcW w:w="3546" w:type="dxa"/>
            <w:gridSpan w:val="5"/>
            <w:tcBorders>
              <w:top w:val="single" w:sz="4" w:space="0" w:color="000000"/>
            </w:tcBorders>
          </w:tcPr>
          <w:p w:rsidR="000F18FB" w:rsidRPr="000F18FB" w:rsidRDefault="000F18FB" w:rsidP="00B52D31">
            <w:pPr>
              <w:jc w:val="both"/>
              <w:rPr>
                <w:rFonts w:ascii="Times New Roman" w:hAnsi="Times New Roman"/>
                <w:i/>
                <w:lang w:eastAsia="sk-SK"/>
              </w:rPr>
            </w:pPr>
            <w:r w:rsidRPr="000F18FB">
              <w:rPr>
                <w:rFonts w:ascii="Times New Roman" w:hAnsi="Times New Roman"/>
                <w:i/>
                <w:lang w:eastAsia="sk-SK"/>
              </w:rPr>
              <w:t xml:space="preserve">od 15. marca 2021 </w:t>
            </w:r>
          </w:p>
          <w:p w:rsidR="000F18FB" w:rsidRPr="000F18FB" w:rsidRDefault="000F18FB" w:rsidP="00B52D31">
            <w:pPr>
              <w:jc w:val="both"/>
              <w:rPr>
                <w:rFonts w:ascii="Times New Roman" w:hAnsi="Times New Roman"/>
                <w:i/>
                <w:lang w:eastAsia="sk-SK"/>
              </w:rPr>
            </w:pPr>
            <w:r w:rsidRPr="000F18FB">
              <w:rPr>
                <w:rFonts w:ascii="Times New Roman" w:hAnsi="Times New Roman"/>
                <w:i/>
                <w:lang w:eastAsia="sk-SK"/>
              </w:rPr>
              <w:t>do 29. marca 2021</w:t>
            </w:r>
          </w:p>
        </w:tc>
      </w:tr>
      <w:tr w:rsidR="000F18FB" w:rsidRPr="000F18FB" w:rsidTr="000F18FB">
        <w:tc>
          <w:tcPr>
            <w:tcW w:w="5634" w:type="dxa"/>
            <w:gridSpan w:val="5"/>
            <w:tcBorders>
              <w:bottom w:val="single" w:sz="4" w:space="0" w:color="FFFFFF"/>
            </w:tcBorders>
            <w:shd w:val="clear" w:color="auto" w:fill="E2E2E2"/>
          </w:tcPr>
          <w:p w:rsidR="000F18FB" w:rsidRPr="000F18FB" w:rsidRDefault="000F18FB" w:rsidP="00B52D31">
            <w:pPr>
              <w:ind w:left="142"/>
              <w:contextualSpacing/>
              <w:jc w:val="both"/>
              <w:rPr>
                <w:rFonts w:ascii="Times New Roman" w:hAnsi="Times New Roman"/>
                <w:b/>
              </w:rPr>
            </w:pPr>
            <w:r w:rsidRPr="000F18FB">
              <w:rPr>
                <w:rFonts w:ascii="Times New Roman" w:hAnsi="Times New Roman"/>
                <w:b/>
              </w:rPr>
              <w:t>Predpokladaný termín predloženia na MPK*</w:t>
            </w:r>
          </w:p>
        </w:tc>
        <w:tc>
          <w:tcPr>
            <w:tcW w:w="3546" w:type="dxa"/>
            <w:gridSpan w:val="5"/>
          </w:tcPr>
          <w:p w:rsidR="000F18FB" w:rsidRPr="000F18FB" w:rsidRDefault="000F18FB" w:rsidP="00B52D31">
            <w:pPr>
              <w:jc w:val="both"/>
              <w:rPr>
                <w:rFonts w:ascii="Times New Roman" w:hAnsi="Times New Roman"/>
                <w:i/>
                <w:iCs/>
              </w:rPr>
            </w:pPr>
            <w:r w:rsidRPr="000F18FB">
              <w:rPr>
                <w:rFonts w:ascii="Times New Roman" w:hAnsi="Times New Roman"/>
                <w:i/>
                <w:iCs/>
              </w:rPr>
              <w:t>od 29. marca 2021</w:t>
            </w:r>
          </w:p>
          <w:p w:rsidR="000F18FB" w:rsidRPr="000F18FB" w:rsidRDefault="000F18FB" w:rsidP="00B52D31">
            <w:pPr>
              <w:jc w:val="both"/>
              <w:rPr>
                <w:rFonts w:ascii="Times New Roman" w:hAnsi="Times New Roman"/>
                <w:i/>
                <w:iCs/>
              </w:rPr>
            </w:pPr>
            <w:r w:rsidRPr="000F18FB">
              <w:rPr>
                <w:rFonts w:ascii="Times New Roman" w:hAnsi="Times New Roman"/>
                <w:i/>
                <w:iCs/>
              </w:rPr>
              <w:t>do 20. apríla 2021</w:t>
            </w:r>
          </w:p>
          <w:p w:rsidR="000F18FB" w:rsidRPr="000F18FB" w:rsidRDefault="000F18FB" w:rsidP="00B52D31">
            <w:pPr>
              <w:jc w:val="both"/>
              <w:rPr>
                <w:rFonts w:ascii="Times New Roman" w:hAnsi="Times New Roman"/>
                <w:i/>
                <w:lang w:eastAsia="sk-SK"/>
              </w:rPr>
            </w:pPr>
            <w:r w:rsidRPr="000F18FB">
              <w:rPr>
                <w:rFonts w:ascii="Times New Roman" w:hAnsi="Times New Roman"/>
                <w:i/>
                <w:iCs/>
              </w:rPr>
              <w:t>Slov-Lex: LP/2021/141</w:t>
            </w:r>
          </w:p>
        </w:tc>
      </w:tr>
      <w:tr w:rsidR="000F18FB" w:rsidRPr="000F18FB" w:rsidTr="000F18FB">
        <w:trPr>
          <w:trHeight w:val="541"/>
        </w:trPr>
        <w:tc>
          <w:tcPr>
            <w:tcW w:w="5634" w:type="dxa"/>
            <w:gridSpan w:val="5"/>
            <w:tcBorders>
              <w:bottom w:val="single" w:sz="4" w:space="0" w:color="FFFFFF"/>
            </w:tcBorders>
            <w:shd w:val="clear" w:color="auto" w:fill="E2E2E2"/>
          </w:tcPr>
          <w:p w:rsidR="000F18FB" w:rsidRPr="000F18FB" w:rsidRDefault="000F18FB" w:rsidP="00B52D31">
            <w:pPr>
              <w:ind w:left="142"/>
              <w:contextualSpacing/>
              <w:jc w:val="both"/>
              <w:rPr>
                <w:rFonts w:ascii="Times New Roman" w:hAnsi="Times New Roman"/>
                <w:b/>
              </w:rPr>
            </w:pPr>
            <w:r w:rsidRPr="000F18FB">
              <w:rPr>
                <w:rFonts w:ascii="Times New Roman" w:hAnsi="Times New Roman"/>
                <w:b/>
              </w:rPr>
              <w:t>Predpokladaný termín predloženia na Rokovanie vlády SR*</w:t>
            </w:r>
          </w:p>
        </w:tc>
        <w:tc>
          <w:tcPr>
            <w:tcW w:w="3546" w:type="dxa"/>
            <w:gridSpan w:val="5"/>
          </w:tcPr>
          <w:p w:rsidR="000F18FB" w:rsidRPr="000F18FB" w:rsidRDefault="000F18FB" w:rsidP="00B52D31">
            <w:pPr>
              <w:jc w:val="both"/>
              <w:rPr>
                <w:rFonts w:ascii="Times New Roman" w:hAnsi="Times New Roman"/>
                <w:i/>
                <w:lang w:eastAsia="sk-SK"/>
              </w:rPr>
            </w:pPr>
            <w:r w:rsidRPr="000F18FB">
              <w:rPr>
                <w:rFonts w:ascii="Times New Roman" w:hAnsi="Times New Roman"/>
                <w:i/>
                <w:iCs/>
              </w:rPr>
              <w:t>26. mája 2021</w:t>
            </w:r>
          </w:p>
        </w:tc>
      </w:tr>
      <w:tr w:rsidR="000F18FB" w:rsidRPr="000F18FB" w:rsidTr="000F18FB">
        <w:tc>
          <w:tcPr>
            <w:tcW w:w="9180" w:type="dxa"/>
            <w:gridSpan w:val="10"/>
            <w:tcBorders>
              <w:bottom w:val="single" w:sz="4" w:space="0" w:color="FFFFFF"/>
            </w:tcBorders>
            <w:shd w:val="clear" w:color="auto" w:fill="E2E2E2"/>
          </w:tcPr>
          <w:p w:rsidR="000F18FB" w:rsidRPr="000F18FB" w:rsidRDefault="000F18FB" w:rsidP="00B52D31">
            <w:pPr>
              <w:numPr>
                <w:ilvl w:val="0"/>
                <w:numId w:val="16"/>
              </w:numPr>
              <w:ind w:left="426"/>
              <w:contextualSpacing/>
              <w:jc w:val="both"/>
              <w:rPr>
                <w:rFonts w:ascii="Times New Roman" w:hAnsi="Times New Roman"/>
                <w:b/>
              </w:rPr>
            </w:pPr>
            <w:r w:rsidRPr="000F18FB">
              <w:rPr>
                <w:rFonts w:ascii="Times New Roman" w:hAnsi="Times New Roman"/>
                <w:b/>
              </w:rPr>
              <w:t>Definovanie problému</w:t>
            </w:r>
          </w:p>
        </w:tc>
      </w:tr>
      <w:tr w:rsidR="000F18FB" w:rsidRPr="000F18FB" w:rsidTr="000F18FB">
        <w:trPr>
          <w:trHeight w:val="718"/>
        </w:trPr>
        <w:tc>
          <w:tcPr>
            <w:tcW w:w="9180" w:type="dxa"/>
            <w:gridSpan w:val="10"/>
            <w:tcBorders>
              <w:top w:val="single" w:sz="4" w:space="0" w:color="FFFFFF"/>
            </w:tcBorders>
            <w:shd w:val="clear" w:color="auto" w:fill="FFFFFF"/>
          </w:tcPr>
          <w:p w:rsidR="000F18FB" w:rsidRPr="000F18FB" w:rsidRDefault="000F18FB" w:rsidP="00B52D31">
            <w:pPr>
              <w:jc w:val="both"/>
              <w:rPr>
                <w:rFonts w:ascii="Times New Roman" w:hAnsi="Times New Roman"/>
                <w:lang w:eastAsia="sk-SK"/>
              </w:rPr>
            </w:pPr>
            <w:r w:rsidRPr="000F18FB">
              <w:rPr>
                <w:rFonts w:ascii="Times New Roman" w:hAnsi="Times New Roman"/>
                <w:lang w:eastAsia="sk-SK"/>
              </w:rPr>
              <w:t>Dôvodom na vypracovanie návrhu zákona je implementácia dvoch európskych nariadení a to:</w:t>
            </w:r>
          </w:p>
          <w:p w:rsidR="000F18FB" w:rsidRPr="000F18FB" w:rsidRDefault="000F18FB" w:rsidP="00B52D31">
            <w:pPr>
              <w:numPr>
                <w:ilvl w:val="0"/>
                <w:numId w:val="19"/>
              </w:numPr>
              <w:ind w:left="284" w:hanging="284"/>
              <w:contextualSpacing/>
              <w:jc w:val="both"/>
              <w:rPr>
                <w:rFonts w:ascii="Times New Roman" w:hAnsi="Times New Roman"/>
              </w:rPr>
            </w:pPr>
            <w:r w:rsidRPr="000F18FB">
              <w:rPr>
                <w:rFonts w:ascii="Times New Roman" w:hAnsi="Times New Roman"/>
              </w:rPr>
              <w:t>nariadenia Európskeho parlamentu a Rady (EÚ) 2019/2144 z 27. novembra 2019 o požiadavkách na typové schvaľovanie motorových vozidiel a ich prípojných vozidiel a systémov, komponentov a samostatných technických jednotiek určených pre tieto vozidlá, pokiaľ ide o ich všeobecnú bezpečnosť a ochranu cestujúcich vo vozidle a zraniteľných účastníkov cestnej premávky, ktorým sa mení nariadenie Európskeho parlamentu a Rady (EÚ) 2018/858 a ktorým sa zrušujú nariadenia Európskeho parlamentu a Rady (ES) č. 78/2009, (ES) č. 79/2009 a (ES) č. 661/2009 a nariadenia Komisie (ES) č. 631/2009, (EÚ) č. 406/2010, (EÚ) č. 672/2010, (EÚ) č. 1003/2010, (EÚ) č. 1005/2010, (EÚ) č. 1008/2010, (EÚ) č. 1009/2010, (EÚ) č. 19/2011, (EÚ) č. 109/2011, (EÚ) č. 458/2011, (EÚ) č. 65/2012, (EÚ) č. 130/2012, (EÚ) č. 347/2012, (EÚ) č. 351/2012, (EÚ) č. 1230/2012 a (EÚ) 2015/166 (ďalej len „nariadenie (EÚ) 2019/2144“) a</w:t>
            </w:r>
          </w:p>
          <w:p w:rsidR="000F18FB" w:rsidRPr="000F18FB" w:rsidRDefault="000F18FB" w:rsidP="00B52D31">
            <w:pPr>
              <w:numPr>
                <w:ilvl w:val="0"/>
                <w:numId w:val="19"/>
              </w:numPr>
              <w:ind w:left="284" w:hanging="284"/>
              <w:contextualSpacing/>
              <w:jc w:val="both"/>
              <w:rPr>
                <w:rFonts w:ascii="Times New Roman" w:hAnsi="Times New Roman"/>
              </w:rPr>
            </w:pPr>
            <w:r w:rsidRPr="000F18FB">
              <w:rPr>
                <w:rFonts w:ascii="Times New Roman" w:hAnsi="Times New Roman"/>
              </w:rPr>
              <w:lastRenderedPageBreak/>
              <w:t>nariadenia Európskeho parlamentu a Rady (EÚ) 2020/740 z 25. mája 2020 o označovaní pneumatík vzhľadom na palivovú úspornosť a iné parametre, ktorým sa mení nariadenie (EÚ) 2017/1369 a zrušuje nariadenie (ES) č. 1222/2009 (ďalej len „nariadenie (EÚ) 2020/740“).</w:t>
            </w:r>
          </w:p>
          <w:p w:rsidR="000F18FB" w:rsidRPr="000F18FB" w:rsidRDefault="000F18FB" w:rsidP="00B52D31">
            <w:pPr>
              <w:jc w:val="both"/>
              <w:rPr>
                <w:rFonts w:ascii="Times New Roman" w:hAnsi="Times New Roman"/>
                <w:lang w:eastAsia="sk-SK"/>
              </w:rPr>
            </w:pPr>
            <w:r w:rsidRPr="000F18FB">
              <w:rPr>
                <w:rFonts w:ascii="Times New Roman" w:hAnsi="Times New Roman"/>
                <w:lang w:eastAsia="sk-SK"/>
              </w:rPr>
              <w:t xml:space="preserve">Ďalším dôvodom sú úpravy a doplnenia vyplývajúce z aplikácie zákona č. 106/2018 Z. z. o prevádzke vozidiel v cestnej premávke a o zmene a doplnení niektorých zákonov v znení neskorších predpisov v praxi, najmä: </w:t>
            </w:r>
          </w:p>
          <w:p w:rsidR="000F18FB" w:rsidRPr="000F18FB" w:rsidRDefault="000F18FB" w:rsidP="00B52D31">
            <w:pPr>
              <w:numPr>
                <w:ilvl w:val="0"/>
                <w:numId w:val="20"/>
              </w:numPr>
              <w:ind w:left="357" w:hanging="357"/>
              <w:jc w:val="both"/>
              <w:rPr>
                <w:rFonts w:ascii="Times New Roman" w:hAnsi="Times New Roman"/>
              </w:rPr>
            </w:pPr>
            <w:r w:rsidRPr="000F18FB">
              <w:rPr>
                <w:rFonts w:ascii="Times New Roman" w:hAnsi="Times New Roman"/>
              </w:rPr>
              <w:t xml:space="preserve">v rámci zníženia administratívnej záťaže opravovní vozidiel sa navrhuje zrušenie certifikácie opravovní a v súvislosti s tým sa vypúšťajú ustanovenia týkajúce sa certifikovaných miest opravy; pri ťažkých dopravných nehodách, ktoré mali vplyv na hlavné bezpečnostné prvky vozidla, ktorými sú zavesenie kolies, deformačné zóny, systémy </w:t>
            </w:r>
            <w:proofErr w:type="spellStart"/>
            <w:r w:rsidRPr="000F18FB">
              <w:rPr>
                <w:rFonts w:ascii="Times New Roman" w:hAnsi="Times New Roman"/>
              </w:rPr>
              <w:t>airbagov</w:t>
            </w:r>
            <w:proofErr w:type="spellEnd"/>
            <w:r w:rsidRPr="000F18FB">
              <w:rPr>
                <w:rFonts w:ascii="Times New Roman" w:hAnsi="Times New Roman"/>
              </w:rPr>
              <w:t>, riadenie alebo brzdy, bude postačovať, aby oprava vozidla bola vykoná na základe informácii od výrobcu s príslušným technologickým vybavením,</w:t>
            </w:r>
          </w:p>
          <w:p w:rsidR="000F18FB" w:rsidRPr="000F18FB" w:rsidRDefault="000F18FB" w:rsidP="00B52D31">
            <w:pPr>
              <w:numPr>
                <w:ilvl w:val="0"/>
                <w:numId w:val="20"/>
              </w:numPr>
              <w:ind w:left="357" w:hanging="357"/>
              <w:jc w:val="both"/>
              <w:rPr>
                <w:rFonts w:ascii="Times New Roman" w:hAnsi="Times New Roman"/>
              </w:rPr>
            </w:pPr>
            <w:r w:rsidRPr="000F18FB">
              <w:rPr>
                <w:rFonts w:ascii="Times New Roman" w:hAnsi="Times New Roman"/>
              </w:rPr>
              <w:t>v súvislosti s činnosťou technickej služby technickej kontroly, technickej služby emisnej kontroly, technickej služby kontroly originality a technickej služby montáže plynových zariadení sa navrhuje predĺžiť platnosť poverenia s tým, že po ukončení činnosti technickej služby do začiatku fungovania novej technickej služby bude potrebné odovzdať typovému schvaľovaciemu orgánu informačný systém,</w:t>
            </w:r>
          </w:p>
          <w:p w:rsidR="000F18FB" w:rsidRPr="000F18FB" w:rsidRDefault="000F18FB" w:rsidP="00B52D31">
            <w:pPr>
              <w:numPr>
                <w:ilvl w:val="0"/>
                <w:numId w:val="20"/>
              </w:numPr>
              <w:ind w:left="357" w:hanging="357"/>
              <w:jc w:val="both"/>
              <w:rPr>
                <w:rFonts w:ascii="Times New Roman" w:hAnsi="Times New Roman"/>
              </w:rPr>
            </w:pPr>
            <w:r w:rsidRPr="000F18FB">
              <w:rPr>
                <w:rFonts w:ascii="Times New Roman" w:hAnsi="Times New Roman"/>
              </w:rPr>
              <w:t>v súvislosti so zriaďovaním staníc technickej kontroly nad rámec existujúcej siete, pracovísk emisnej kontroly nad rámec existujúcej siete sa navrhujú zaviesť viaceré obmedzenia pre tých držiteľov povolení, ktorí reálne dané pracoviská nestavajú a mnohokrát iba zámerne blokujú miesto v existujúcej sieti,</w:t>
            </w:r>
          </w:p>
          <w:p w:rsidR="000F18FB" w:rsidRPr="000F18FB" w:rsidRDefault="000F18FB" w:rsidP="00B52D31">
            <w:pPr>
              <w:numPr>
                <w:ilvl w:val="0"/>
                <w:numId w:val="20"/>
              </w:numPr>
              <w:ind w:left="357" w:hanging="357"/>
              <w:jc w:val="both"/>
              <w:rPr>
                <w:rFonts w:ascii="Times New Roman" w:hAnsi="Times New Roman"/>
              </w:rPr>
            </w:pPr>
            <w:r w:rsidRPr="000F18FB">
              <w:rPr>
                <w:rFonts w:ascii="Times New Roman" w:hAnsi="Times New Roman"/>
              </w:rPr>
              <w:t>navrhuje sa upraviť niektoré parametre pre výpočet ďalšej kontrolnej linky v súvislosti so zriaďovaním staníc technickej kontroly nad rámec existujúcej siete, ktoré vychádzajú zo zaznamenaných údajov v informačných systémoch.</w:t>
            </w:r>
          </w:p>
        </w:tc>
      </w:tr>
      <w:tr w:rsidR="000F18FB" w:rsidRPr="000F18FB" w:rsidTr="007E5887">
        <w:tc>
          <w:tcPr>
            <w:tcW w:w="9180" w:type="dxa"/>
            <w:gridSpan w:val="10"/>
            <w:tcBorders>
              <w:bottom w:val="nil"/>
            </w:tcBorders>
            <w:shd w:val="clear" w:color="auto" w:fill="E2E2E2"/>
          </w:tcPr>
          <w:p w:rsidR="000F18FB" w:rsidRPr="000F18FB" w:rsidRDefault="000F18FB" w:rsidP="00B52D31">
            <w:pPr>
              <w:numPr>
                <w:ilvl w:val="0"/>
                <w:numId w:val="16"/>
              </w:numPr>
              <w:ind w:left="426"/>
              <w:contextualSpacing/>
              <w:jc w:val="both"/>
              <w:rPr>
                <w:rFonts w:ascii="Times New Roman" w:hAnsi="Times New Roman"/>
                <w:b/>
                <w:lang w:eastAsia="sk-SK"/>
              </w:rPr>
            </w:pPr>
            <w:r w:rsidRPr="000F18FB">
              <w:rPr>
                <w:rFonts w:ascii="Times New Roman" w:hAnsi="Times New Roman"/>
                <w:b/>
                <w:lang w:eastAsia="sk-SK"/>
              </w:rPr>
              <w:lastRenderedPageBreak/>
              <w:t>Ciele a výsledný stav</w:t>
            </w:r>
          </w:p>
        </w:tc>
      </w:tr>
      <w:tr w:rsidR="000F18FB" w:rsidRPr="000F18FB" w:rsidTr="000F18FB">
        <w:trPr>
          <w:trHeight w:val="278"/>
        </w:trPr>
        <w:tc>
          <w:tcPr>
            <w:tcW w:w="9180" w:type="dxa"/>
            <w:gridSpan w:val="10"/>
            <w:tcBorders>
              <w:top w:val="nil"/>
            </w:tcBorders>
            <w:shd w:val="clear" w:color="auto" w:fill="FFFFFF"/>
          </w:tcPr>
          <w:p w:rsidR="000F18FB" w:rsidRPr="000F18FB" w:rsidRDefault="000F18FB" w:rsidP="00B52D31">
            <w:pPr>
              <w:jc w:val="both"/>
              <w:rPr>
                <w:rFonts w:ascii="Times New Roman" w:hAnsi="Times New Roman"/>
                <w:lang w:eastAsia="sk-SK"/>
              </w:rPr>
            </w:pPr>
            <w:r w:rsidRPr="000F18FB">
              <w:rPr>
                <w:rFonts w:ascii="Times New Roman" w:hAnsi="Times New Roman"/>
                <w:lang w:eastAsia="sk-SK"/>
              </w:rPr>
              <w:t>Cieľom návrhu zákona je nevyhnutná novelizácia zákona o prevádzke vozidiel na základe definovania problému v bode 2.</w:t>
            </w:r>
          </w:p>
        </w:tc>
      </w:tr>
      <w:tr w:rsidR="000F18FB" w:rsidRPr="000F18FB" w:rsidTr="007E5887">
        <w:tc>
          <w:tcPr>
            <w:tcW w:w="9180" w:type="dxa"/>
            <w:gridSpan w:val="10"/>
            <w:tcBorders>
              <w:bottom w:val="nil"/>
            </w:tcBorders>
            <w:shd w:val="clear" w:color="auto" w:fill="E2E2E2"/>
          </w:tcPr>
          <w:p w:rsidR="000F18FB" w:rsidRPr="000F18FB" w:rsidRDefault="000F18FB" w:rsidP="00B52D31">
            <w:pPr>
              <w:numPr>
                <w:ilvl w:val="0"/>
                <w:numId w:val="16"/>
              </w:numPr>
              <w:ind w:left="426"/>
              <w:contextualSpacing/>
              <w:jc w:val="both"/>
              <w:rPr>
                <w:rFonts w:ascii="Times New Roman" w:hAnsi="Times New Roman"/>
                <w:b/>
              </w:rPr>
            </w:pPr>
            <w:r w:rsidRPr="000F18FB">
              <w:rPr>
                <w:rFonts w:ascii="Times New Roman" w:hAnsi="Times New Roman"/>
                <w:b/>
              </w:rPr>
              <w:t>Dotknuté subjekty</w:t>
            </w:r>
          </w:p>
        </w:tc>
      </w:tr>
      <w:tr w:rsidR="000F18FB" w:rsidRPr="000F18FB" w:rsidTr="000F18FB">
        <w:tc>
          <w:tcPr>
            <w:tcW w:w="9180" w:type="dxa"/>
            <w:gridSpan w:val="10"/>
            <w:tcBorders>
              <w:top w:val="nil"/>
            </w:tcBorders>
            <w:shd w:val="clear" w:color="auto" w:fill="FFFFFF"/>
          </w:tcPr>
          <w:p w:rsidR="000F18FB" w:rsidRPr="000F18FB" w:rsidRDefault="000F18FB" w:rsidP="00B52D31">
            <w:pPr>
              <w:jc w:val="both"/>
              <w:rPr>
                <w:rFonts w:ascii="Times New Roman" w:hAnsi="Times New Roman"/>
                <w:lang w:eastAsia="sk-SK"/>
              </w:rPr>
            </w:pPr>
            <w:r w:rsidRPr="000F18FB">
              <w:rPr>
                <w:rFonts w:ascii="Times New Roman" w:hAnsi="Times New Roman"/>
                <w:lang w:eastAsia="sk-SK"/>
              </w:rPr>
              <w:t>Zákon o prevádzke vozidiel sa dotýka:</w:t>
            </w:r>
          </w:p>
          <w:p w:rsidR="000F18FB" w:rsidRPr="000F18FB" w:rsidRDefault="000F18FB" w:rsidP="00B52D31">
            <w:pPr>
              <w:numPr>
                <w:ilvl w:val="0"/>
                <w:numId w:val="18"/>
              </w:numPr>
              <w:ind w:left="289" w:hanging="289"/>
              <w:jc w:val="both"/>
              <w:rPr>
                <w:rFonts w:ascii="Times New Roman" w:hAnsi="Times New Roman"/>
              </w:rPr>
            </w:pPr>
            <w:r w:rsidRPr="000F18FB">
              <w:rPr>
                <w:rFonts w:ascii="Times New Roman" w:hAnsi="Times New Roman"/>
              </w:rPr>
              <w:t>výrobcov a zástupcov výrobcu, ktorí vyrábajú typ vozidla alebo vykonávajú hromadné prestavby typu vozidla, vyrábajú typ systému, komponentu alebo samostatnej technickej jednotky,</w:t>
            </w:r>
          </w:p>
          <w:p w:rsidR="000F18FB" w:rsidRPr="000F18FB" w:rsidRDefault="000F18FB" w:rsidP="00B52D31">
            <w:pPr>
              <w:numPr>
                <w:ilvl w:val="0"/>
                <w:numId w:val="18"/>
              </w:numPr>
              <w:ind w:left="289" w:hanging="289"/>
              <w:jc w:val="both"/>
              <w:rPr>
                <w:rFonts w:ascii="Times New Roman" w:hAnsi="Times New Roman"/>
              </w:rPr>
            </w:pPr>
            <w:r w:rsidRPr="000F18FB">
              <w:rPr>
                <w:rFonts w:ascii="Times New Roman" w:hAnsi="Times New Roman"/>
              </w:rPr>
              <w:t>prevádzkovateľov vozidla,</w:t>
            </w:r>
          </w:p>
          <w:p w:rsidR="000F18FB" w:rsidRPr="000F18FB" w:rsidRDefault="000F18FB" w:rsidP="00B52D31">
            <w:pPr>
              <w:numPr>
                <w:ilvl w:val="0"/>
                <w:numId w:val="18"/>
              </w:numPr>
              <w:ind w:left="289" w:hanging="289"/>
              <w:jc w:val="both"/>
              <w:rPr>
                <w:rFonts w:ascii="Times New Roman" w:hAnsi="Times New Roman"/>
              </w:rPr>
            </w:pPr>
            <w:r w:rsidRPr="000F18FB">
              <w:rPr>
                <w:rFonts w:ascii="Times New Roman" w:hAnsi="Times New Roman"/>
              </w:rPr>
              <w:t>technických služieb overovania, technickej služby technickej kontroly, technickej služby emisnej kontroly, technickej služby kontroly originality, technickej služby montáže plynových zariadení,</w:t>
            </w:r>
          </w:p>
          <w:p w:rsidR="000F18FB" w:rsidRPr="000F18FB" w:rsidRDefault="000F18FB" w:rsidP="00B52D31">
            <w:pPr>
              <w:numPr>
                <w:ilvl w:val="0"/>
                <w:numId w:val="18"/>
              </w:numPr>
              <w:ind w:left="289" w:hanging="289"/>
              <w:jc w:val="both"/>
              <w:rPr>
                <w:rFonts w:ascii="Times New Roman" w:hAnsi="Times New Roman"/>
              </w:rPr>
            </w:pPr>
            <w:r w:rsidRPr="000F18FB">
              <w:rPr>
                <w:rFonts w:ascii="Times New Roman" w:hAnsi="Times New Roman"/>
              </w:rPr>
              <w:t xml:space="preserve">nakladajúcich organizácií, osôb </w:t>
            </w:r>
            <w:r w:rsidRPr="000F18FB">
              <w:rPr>
                <w:rFonts w:ascii="Times New Roman" w:hAnsi="Times New Roman"/>
                <w:lang w:eastAsia="sk-SK"/>
              </w:rPr>
              <w:t>zodpovedných za nakládku vozidiel v nakladacej organizácii, odosielateľov,</w:t>
            </w:r>
          </w:p>
          <w:p w:rsidR="000F18FB" w:rsidRPr="000F18FB" w:rsidRDefault="000F18FB" w:rsidP="00B52D31">
            <w:pPr>
              <w:numPr>
                <w:ilvl w:val="0"/>
                <w:numId w:val="18"/>
              </w:numPr>
              <w:ind w:left="289" w:hanging="289"/>
              <w:jc w:val="both"/>
              <w:rPr>
                <w:rFonts w:ascii="Times New Roman" w:hAnsi="Times New Roman"/>
              </w:rPr>
            </w:pPr>
            <w:r w:rsidRPr="000F18FB">
              <w:rPr>
                <w:rFonts w:ascii="Times New Roman" w:hAnsi="Times New Roman"/>
              </w:rPr>
              <w:t>oprávnených osôb technickej kontroly, emisnej kontroly, kontroly originality, montáže plynových zariadení a ich pracovníkov,</w:t>
            </w:r>
          </w:p>
          <w:p w:rsidR="000F18FB" w:rsidRPr="000F18FB" w:rsidRDefault="000F18FB" w:rsidP="00B52D31">
            <w:pPr>
              <w:numPr>
                <w:ilvl w:val="0"/>
                <w:numId w:val="18"/>
              </w:numPr>
              <w:ind w:left="289" w:hanging="289"/>
              <w:jc w:val="both"/>
              <w:rPr>
                <w:rFonts w:ascii="Times New Roman" w:hAnsi="Times New Roman"/>
              </w:rPr>
            </w:pPr>
            <w:r w:rsidRPr="000F18FB">
              <w:rPr>
                <w:rFonts w:ascii="Times New Roman" w:hAnsi="Times New Roman"/>
              </w:rPr>
              <w:t xml:space="preserve">osôb </w:t>
            </w:r>
            <w:proofErr w:type="spellStart"/>
            <w:r w:rsidRPr="000F18FB">
              <w:rPr>
                <w:rFonts w:ascii="Times New Roman" w:hAnsi="Times New Roman"/>
              </w:rPr>
              <w:t>prispievajúcich</w:t>
            </w:r>
            <w:proofErr w:type="spellEnd"/>
            <w:r w:rsidRPr="000F18FB">
              <w:rPr>
                <w:rFonts w:ascii="Times New Roman" w:hAnsi="Times New Roman"/>
              </w:rPr>
              <w:t xml:space="preserve"> do registra prevádzkových záznamov (osoby vykonávajúce diagnostiku, opravy alebo údržbu cestných motorových vozidiel alebo vykonávajúcich opravy karosérií, osoby vykonávajúce predaj ojazdených cestných motorových vozidiel, poisťovne, leasingové spoločnosti, znalci, osoby vykonávajúcich služby v oblasti organizovania a realizácie dražieb cestných motorových vozidiel, osoby vykonávajúce nastavovanie a kalibráciu tachografov, požičovne cestných motorových vozidiel, osoby prevádzkujúce webové sídlo s ponukami na predaj a kúpu cestných motorových vozidiel, osoby vykonávajúce nastavovanie alebo iné zásahy v rámci softvéru riadiacej jednotky motorového vozidla),</w:t>
            </w:r>
          </w:p>
          <w:p w:rsidR="000F18FB" w:rsidRPr="000F18FB" w:rsidRDefault="000F18FB" w:rsidP="00B52D31">
            <w:pPr>
              <w:numPr>
                <w:ilvl w:val="0"/>
                <w:numId w:val="18"/>
              </w:numPr>
              <w:ind w:left="289" w:hanging="289"/>
              <w:jc w:val="both"/>
              <w:rPr>
                <w:rFonts w:ascii="Times New Roman" w:hAnsi="Times New Roman"/>
              </w:rPr>
            </w:pPr>
            <w:r w:rsidRPr="000F18FB">
              <w:rPr>
                <w:rFonts w:ascii="Times New Roman" w:hAnsi="Times New Roman"/>
              </w:rPr>
              <w:t>orgánov štátnej správy: Ministerstvo dopravy a výstavby SR, Ministerstvo vnútra SR, okresné úrady, okresné úrady v sídle kraja, Slovenská obchodná inšpekcia, orgány Policajného zboru, inšpektoráty práce.</w:t>
            </w:r>
          </w:p>
        </w:tc>
      </w:tr>
      <w:tr w:rsidR="000F18FB" w:rsidRPr="000F18FB" w:rsidTr="007E5887">
        <w:tc>
          <w:tcPr>
            <w:tcW w:w="9180" w:type="dxa"/>
            <w:gridSpan w:val="10"/>
            <w:tcBorders>
              <w:bottom w:val="nil"/>
            </w:tcBorders>
            <w:shd w:val="clear" w:color="auto" w:fill="E2E2E2"/>
          </w:tcPr>
          <w:p w:rsidR="000F18FB" w:rsidRPr="000F18FB" w:rsidRDefault="000F18FB" w:rsidP="00B52D31">
            <w:pPr>
              <w:numPr>
                <w:ilvl w:val="0"/>
                <w:numId w:val="16"/>
              </w:numPr>
              <w:ind w:left="426"/>
              <w:contextualSpacing/>
              <w:jc w:val="both"/>
              <w:rPr>
                <w:rFonts w:ascii="Times New Roman" w:hAnsi="Times New Roman"/>
                <w:b/>
              </w:rPr>
            </w:pPr>
            <w:r w:rsidRPr="000F18FB">
              <w:rPr>
                <w:rFonts w:ascii="Times New Roman" w:hAnsi="Times New Roman"/>
                <w:b/>
              </w:rPr>
              <w:t>Alternatívne riešenia</w:t>
            </w:r>
          </w:p>
        </w:tc>
      </w:tr>
      <w:tr w:rsidR="000F18FB" w:rsidRPr="000F18FB" w:rsidTr="000F18FB">
        <w:trPr>
          <w:trHeight w:val="284"/>
        </w:trPr>
        <w:tc>
          <w:tcPr>
            <w:tcW w:w="9180" w:type="dxa"/>
            <w:gridSpan w:val="10"/>
            <w:tcBorders>
              <w:top w:val="nil"/>
            </w:tcBorders>
            <w:shd w:val="clear" w:color="auto" w:fill="FFFFFF"/>
          </w:tcPr>
          <w:p w:rsidR="000F18FB" w:rsidRPr="000F18FB" w:rsidRDefault="000F18FB" w:rsidP="00B52D31">
            <w:pPr>
              <w:jc w:val="both"/>
              <w:rPr>
                <w:rFonts w:ascii="Times New Roman" w:hAnsi="Times New Roman"/>
                <w:i/>
                <w:lang w:eastAsia="sk-SK"/>
              </w:rPr>
            </w:pPr>
            <w:r w:rsidRPr="000F18FB">
              <w:rPr>
                <w:rFonts w:ascii="Times New Roman" w:hAnsi="Times New Roman"/>
                <w:i/>
                <w:lang w:eastAsia="sk-SK"/>
              </w:rPr>
              <w:t>Aké alternatívne riešenia boli posudzované?</w:t>
            </w:r>
          </w:p>
          <w:p w:rsidR="000F18FB" w:rsidRPr="000F18FB" w:rsidRDefault="000F18FB" w:rsidP="00B52D31">
            <w:pPr>
              <w:jc w:val="both"/>
              <w:rPr>
                <w:rFonts w:ascii="Times New Roman" w:hAnsi="Times New Roman"/>
                <w:i/>
                <w:lang w:eastAsia="sk-SK"/>
              </w:rPr>
            </w:pPr>
            <w:r w:rsidRPr="000F18FB">
              <w:rPr>
                <w:rFonts w:ascii="Times New Roman" w:hAnsi="Times New Roman"/>
                <w:i/>
                <w:lang w:eastAsia="sk-SK"/>
              </w:rPr>
              <w:t>Uveďte, aké alternatívne spôsoby na odstránenie definovaného problému boli identifikované a posudzované.</w:t>
            </w:r>
          </w:p>
          <w:p w:rsidR="000F18FB" w:rsidRPr="000F18FB" w:rsidRDefault="000F18FB" w:rsidP="00B52D31">
            <w:pPr>
              <w:jc w:val="both"/>
              <w:rPr>
                <w:rFonts w:ascii="Times New Roman" w:hAnsi="Times New Roman"/>
                <w:lang w:eastAsia="sk-SK"/>
              </w:rPr>
            </w:pPr>
            <w:r w:rsidRPr="000F18FB">
              <w:rPr>
                <w:rFonts w:ascii="Times New Roman" w:hAnsi="Times New Roman"/>
                <w:lang w:eastAsia="sk-SK"/>
              </w:rPr>
              <w:lastRenderedPageBreak/>
              <w:t>Alternatívne riešenia posudzované neboli, pretože ide o implementáciu nariadení Európskej únie do právneho poriadku Slovenskej republiky a riešenie problematiky podmienok prevádzky vozidiel v cestnej premávke s prihliadnutím na poznatky a skúsenosti nadobudnuté v procese aplikácie v súčasnosti platného zákona o prevádzke vozidiel.</w:t>
            </w:r>
          </w:p>
        </w:tc>
      </w:tr>
      <w:tr w:rsidR="000F18FB" w:rsidRPr="000F18FB" w:rsidTr="000F18FB">
        <w:tc>
          <w:tcPr>
            <w:tcW w:w="9180" w:type="dxa"/>
            <w:gridSpan w:val="10"/>
            <w:tcBorders>
              <w:bottom w:val="single" w:sz="4" w:space="0" w:color="FFFFFF"/>
            </w:tcBorders>
            <w:shd w:val="clear" w:color="auto" w:fill="E2E2E2"/>
          </w:tcPr>
          <w:p w:rsidR="000F18FB" w:rsidRPr="000F18FB" w:rsidRDefault="000F18FB" w:rsidP="00B52D31">
            <w:pPr>
              <w:numPr>
                <w:ilvl w:val="0"/>
                <w:numId w:val="16"/>
              </w:numPr>
              <w:ind w:left="426"/>
              <w:contextualSpacing/>
              <w:jc w:val="both"/>
              <w:rPr>
                <w:rFonts w:ascii="Times New Roman" w:hAnsi="Times New Roman"/>
                <w:b/>
              </w:rPr>
            </w:pPr>
            <w:r w:rsidRPr="000F18FB">
              <w:rPr>
                <w:rFonts w:ascii="Times New Roman" w:hAnsi="Times New Roman"/>
                <w:b/>
              </w:rPr>
              <w:lastRenderedPageBreak/>
              <w:t>Vykonávacie predpisy</w:t>
            </w:r>
          </w:p>
        </w:tc>
      </w:tr>
      <w:tr w:rsidR="000F18FB" w:rsidRPr="00B52D31" w:rsidTr="000F18FB">
        <w:tc>
          <w:tcPr>
            <w:tcW w:w="6203" w:type="dxa"/>
            <w:gridSpan w:val="6"/>
            <w:tcBorders>
              <w:top w:val="single" w:sz="4" w:space="0" w:color="FFFFFF"/>
              <w:bottom w:val="nil"/>
              <w:right w:val="nil"/>
            </w:tcBorders>
            <w:shd w:val="clear" w:color="auto" w:fill="FFFFFF"/>
          </w:tcPr>
          <w:p w:rsidR="000F18FB" w:rsidRPr="000F18FB" w:rsidRDefault="000F18FB" w:rsidP="00B52D31">
            <w:pPr>
              <w:jc w:val="both"/>
              <w:rPr>
                <w:rFonts w:ascii="Times New Roman" w:hAnsi="Times New Roman"/>
                <w:i/>
                <w:lang w:eastAsia="sk-SK"/>
              </w:rPr>
            </w:pPr>
            <w:r w:rsidRPr="000F18FB">
              <w:rPr>
                <w:rFonts w:ascii="Times New Roman" w:hAnsi="Times New Roman"/>
                <w:i/>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0F18FB" w:rsidRPr="000F18FB" w:rsidRDefault="000F18FB" w:rsidP="00B52D31">
            <w:pPr>
              <w:jc w:val="both"/>
              <w:rPr>
                <w:rFonts w:ascii="Times New Roman" w:hAnsi="Times New Roman"/>
                <w:lang w:eastAsia="sk-SK"/>
              </w:rPr>
            </w:pPr>
            <w:r w:rsidRPr="000F18FB">
              <w:rPr>
                <w:rFonts w:ascii="Segoe UI Symbol" w:eastAsia="MS Mincho" w:hAnsi="Segoe UI Symbol" w:cs="Segoe UI Symbol"/>
                <w:lang w:eastAsia="sk-SK"/>
              </w:rPr>
              <w:t>☐</w:t>
            </w:r>
            <w:r w:rsidRPr="000F18FB">
              <w:rPr>
                <w:rFonts w:ascii="Times New Roman" w:hAnsi="Times New Roman"/>
                <w:lang w:eastAsia="sk-SK"/>
              </w:rPr>
              <w:t xml:space="preserve">  Áno</w:t>
            </w:r>
          </w:p>
        </w:tc>
        <w:tc>
          <w:tcPr>
            <w:tcW w:w="1560" w:type="dxa"/>
            <w:gridSpan w:val="2"/>
            <w:tcBorders>
              <w:top w:val="single" w:sz="4" w:space="0" w:color="FFFFFF"/>
              <w:left w:val="nil"/>
              <w:bottom w:val="nil"/>
            </w:tcBorders>
            <w:shd w:val="clear" w:color="auto" w:fill="FFFFFF"/>
          </w:tcPr>
          <w:p w:rsidR="000F18FB" w:rsidRPr="000F18FB" w:rsidRDefault="000F18FB" w:rsidP="00B52D31">
            <w:pPr>
              <w:jc w:val="both"/>
              <w:rPr>
                <w:rFonts w:ascii="Times New Roman" w:hAnsi="Times New Roman"/>
                <w:lang w:eastAsia="sk-SK"/>
              </w:rPr>
            </w:pPr>
            <w:r w:rsidRPr="000F18FB">
              <w:rPr>
                <w:rFonts w:ascii="Segoe UI Symbol" w:eastAsia="MS Mincho" w:hAnsi="Segoe UI Symbol" w:cs="Segoe UI Symbol"/>
                <w:lang w:eastAsia="sk-SK"/>
              </w:rPr>
              <w:t>☒</w:t>
            </w:r>
            <w:r w:rsidRPr="000F18FB">
              <w:rPr>
                <w:rFonts w:ascii="Times New Roman" w:hAnsi="Times New Roman"/>
                <w:lang w:eastAsia="sk-SK"/>
              </w:rPr>
              <w:t xml:space="preserve">  Nie</w:t>
            </w:r>
          </w:p>
        </w:tc>
      </w:tr>
      <w:tr w:rsidR="000F18FB" w:rsidRPr="000F18FB" w:rsidTr="000F18FB">
        <w:trPr>
          <w:trHeight w:val="846"/>
        </w:trPr>
        <w:tc>
          <w:tcPr>
            <w:tcW w:w="9180" w:type="dxa"/>
            <w:gridSpan w:val="10"/>
            <w:tcBorders>
              <w:top w:val="nil"/>
            </w:tcBorders>
            <w:shd w:val="clear" w:color="auto" w:fill="FFFFFF"/>
          </w:tcPr>
          <w:p w:rsidR="000F18FB" w:rsidRPr="000F18FB" w:rsidRDefault="000F18FB" w:rsidP="00B52D31">
            <w:pPr>
              <w:jc w:val="both"/>
              <w:rPr>
                <w:rFonts w:ascii="Times New Roman" w:hAnsi="Times New Roman"/>
                <w:i/>
                <w:lang w:eastAsia="sk-SK"/>
              </w:rPr>
            </w:pPr>
            <w:r w:rsidRPr="000F18FB">
              <w:rPr>
                <w:rFonts w:ascii="Times New Roman" w:hAnsi="Times New Roman"/>
                <w:i/>
                <w:lang w:eastAsia="sk-SK"/>
              </w:rPr>
              <w:t>Ak áno, uveďte ktoré oblasti budú nimi upravené, resp. ktorých vykonávacích predpisov sa zmena dotkne:</w:t>
            </w:r>
          </w:p>
          <w:p w:rsidR="000F18FB" w:rsidRPr="000F18FB" w:rsidRDefault="000F18FB" w:rsidP="00B52D31">
            <w:pPr>
              <w:jc w:val="both"/>
              <w:rPr>
                <w:rFonts w:ascii="Times New Roman" w:hAnsi="Times New Roman"/>
                <w:sz w:val="20"/>
                <w:szCs w:val="20"/>
                <w:lang w:eastAsia="sk-SK"/>
              </w:rPr>
            </w:pPr>
            <w:r w:rsidRPr="000F18FB">
              <w:rPr>
                <w:rFonts w:ascii="Times New Roman" w:hAnsi="Times New Roman"/>
                <w:lang w:eastAsia="sk-SK"/>
              </w:rPr>
              <w:t>Návrh zákona nevyvolá prijatie vykonávacích právnych predpisov.</w:t>
            </w:r>
          </w:p>
        </w:tc>
      </w:tr>
      <w:tr w:rsidR="000F18FB" w:rsidRPr="000F18FB" w:rsidTr="000F18FB">
        <w:tc>
          <w:tcPr>
            <w:tcW w:w="9180" w:type="dxa"/>
            <w:gridSpan w:val="10"/>
            <w:tcBorders>
              <w:bottom w:val="single" w:sz="4" w:space="0" w:color="FFFFFF"/>
            </w:tcBorders>
            <w:shd w:val="clear" w:color="auto" w:fill="E2E2E2"/>
          </w:tcPr>
          <w:p w:rsidR="000F18FB" w:rsidRPr="000F18FB" w:rsidRDefault="000F18FB" w:rsidP="00B52D31">
            <w:pPr>
              <w:numPr>
                <w:ilvl w:val="0"/>
                <w:numId w:val="16"/>
              </w:numPr>
              <w:ind w:left="426"/>
              <w:contextualSpacing/>
              <w:jc w:val="both"/>
              <w:rPr>
                <w:rFonts w:ascii="Times New Roman" w:hAnsi="Times New Roman"/>
                <w:b/>
              </w:rPr>
            </w:pPr>
            <w:r w:rsidRPr="000F18FB">
              <w:rPr>
                <w:rFonts w:ascii="Times New Roman" w:hAnsi="Times New Roman"/>
                <w:b/>
              </w:rPr>
              <w:t xml:space="preserve">Transpozícia práva EÚ </w:t>
            </w:r>
          </w:p>
        </w:tc>
      </w:tr>
      <w:tr w:rsidR="000F18FB" w:rsidRPr="000F18FB" w:rsidTr="000F18FB">
        <w:trPr>
          <w:trHeight w:val="157"/>
        </w:trPr>
        <w:tc>
          <w:tcPr>
            <w:tcW w:w="9180" w:type="dxa"/>
            <w:gridSpan w:val="10"/>
            <w:tcBorders>
              <w:top w:val="nil"/>
              <w:left w:val="single" w:sz="4" w:space="0" w:color="000000"/>
              <w:bottom w:val="nil"/>
            </w:tcBorders>
            <w:shd w:val="clear" w:color="auto" w:fill="FFFFFF"/>
          </w:tcPr>
          <w:p w:rsidR="000F18FB" w:rsidRPr="000F18FB" w:rsidRDefault="000F18FB" w:rsidP="00B52D31">
            <w:pPr>
              <w:jc w:val="both"/>
              <w:rPr>
                <w:rFonts w:ascii="Times New Roman" w:hAnsi="Times New Roman"/>
                <w:i/>
                <w:lang w:eastAsia="sk-SK"/>
              </w:rPr>
            </w:pPr>
            <w:r w:rsidRPr="000F18FB">
              <w:rPr>
                <w:rFonts w:ascii="Times New Roman" w:hAnsi="Times New Roman"/>
                <w:i/>
                <w:lang w:eastAsia="sk-SK"/>
              </w:rPr>
              <w:t>Uveďte, v ktorých ustanoveniach ide národná právna úprava nad rámec minimálnych požiadaviek EÚ spolu s odôvodnením.</w:t>
            </w:r>
          </w:p>
          <w:p w:rsidR="000F18FB" w:rsidRPr="000F18FB" w:rsidRDefault="000F18FB" w:rsidP="00B52D31">
            <w:pPr>
              <w:jc w:val="both"/>
              <w:rPr>
                <w:rFonts w:ascii="Times New Roman" w:hAnsi="Times New Roman"/>
                <w:lang w:eastAsia="sk-SK"/>
              </w:rPr>
            </w:pPr>
            <w:r w:rsidRPr="000F18FB">
              <w:rPr>
                <w:rFonts w:ascii="Times New Roman" w:hAnsi="Times New Roman"/>
                <w:lang w:eastAsia="sk-SK"/>
              </w:rPr>
              <w:t>Navrhovaná právna úprava v súvislosti s transpozíciou smerníc Európskej únie nejde nad rámec minimálnych požiadaviek Európskej únie.</w:t>
            </w:r>
          </w:p>
        </w:tc>
      </w:tr>
      <w:tr w:rsidR="000F18FB" w:rsidRPr="000F18FB" w:rsidTr="000F18FB">
        <w:tc>
          <w:tcPr>
            <w:tcW w:w="9180" w:type="dxa"/>
            <w:gridSpan w:val="10"/>
            <w:tcBorders>
              <w:bottom w:val="single" w:sz="4" w:space="0" w:color="FFFFFF"/>
            </w:tcBorders>
            <w:shd w:val="clear" w:color="auto" w:fill="E2E2E2"/>
          </w:tcPr>
          <w:p w:rsidR="000F18FB" w:rsidRPr="000F18FB" w:rsidRDefault="000F18FB" w:rsidP="00B52D31">
            <w:pPr>
              <w:numPr>
                <w:ilvl w:val="0"/>
                <w:numId w:val="16"/>
              </w:numPr>
              <w:ind w:left="426"/>
              <w:contextualSpacing/>
              <w:jc w:val="both"/>
              <w:rPr>
                <w:rFonts w:ascii="Times New Roman" w:hAnsi="Times New Roman"/>
                <w:b/>
              </w:rPr>
            </w:pPr>
            <w:r w:rsidRPr="000F18FB">
              <w:rPr>
                <w:rFonts w:ascii="Times New Roman" w:hAnsi="Times New Roman"/>
                <w:b/>
              </w:rPr>
              <w:t>Preskúmanie účelnosti**</w:t>
            </w:r>
          </w:p>
        </w:tc>
      </w:tr>
      <w:tr w:rsidR="000F18FB" w:rsidRPr="000F18FB" w:rsidTr="000F18FB">
        <w:tc>
          <w:tcPr>
            <w:tcW w:w="9180" w:type="dxa"/>
            <w:gridSpan w:val="10"/>
            <w:tcBorders>
              <w:top w:val="single" w:sz="4" w:space="0" w:color="FFFFFF"/>
            </w:tcBorders>
            <w:shd w:val="clear" w:color="auto" w:fill="FFFFFF"/>
          </w:tcPr>
          <w:p w:rsidR="000F18FB" w:rsidRPr="000F18FB" w:rsidRDefault="000F18FB" w:rsidP="00B52D31">
            <w:pPr>
              <w:jc w:val="both"/>
              <w:rPr>
                <w:rFonts w:ascii="Times New Roman" w:hAnsi="Times New Roman"/>
                <w:i/>
                <w:lang w:eastAsia="sk-SK"/>
              </w:rPr>
            </w:pPr>
            <w:r w:rsidRPr="000F18FB">
              <w:rPr>
                <w:rFonts w:ascii="Times New Roman" w:hAnsi="Times New Roman"/>
                <w:i/>
                <w:lang w:eastAsia="sk-SK"/>
              </w:rPr>
              <w:t>Uveďte termín, kedy by malo dôjsť k preskúmaniu účinnosti a účelnosti navrhovaného predpisu.</w:t>
            </w:r>
          </w:p>
          <w:p w:rsidR="000F18FB" w:rsidRPr="000F18FB" w:rsidRDefault="000F18FB" w:rsidP="00B52D31">
            <w:pPr>
              <w:jc w:val="both"/>
              <w:rPr>
                <w:rFonts w:ascii="Times New Roman" w:hAnsi="Times New Roman"/>
                <w:i/>
                <w:lang w:eastAsia="sk-SK"/>
              </w:rPr>
            </w:pPr>
            <w:r w:rsidRPr="000F18FB">
              <w:rPr>
                <w:rFonts w:ascii="Times New Roman" w:hAnsi="Times New Roman"/>
                <w:i/>
                <w:lang w:eastAsia="sk-SK"/>
              </w:rPr>
              <w:t>Uveďte kritériá, na základe ktorých bude preskúmanie vykonané.</w:t>
            </w:r>
          </w:p>
          <w:p w:rsidR="000F18FB" w:rsidRPr="000F18FB" w:rsidRDefault="000F18FB" w:rsidP="00B52D31">
            <w:pPr>
              <w:jc w:val="both"/>
              <w:rPr>
                <w:rFonts w:ascii="Times New Roman" w:hAnsi="Times New Roman"/>
                <w:lang w:eastAsia="sk-SK"/>
              </w:rPr>
            </w:pPr>
            <w:r w:rsidRPr="000F18FB">
              <w:rPr>
                <w:rFonts w:ascii="Times New Roman" w:hAnsi="Times New Roman"/>
                <w:lang w:eastAsia="sk-SK"/>
              </w:rPr>
              <w:t>Nepredpokladá sa preskúmanie účinnosti a účelnosti návrhu zákona.</w:t>
            </w:r>
          </w:p>
        </w:tc>
      </w:tr>
      <w:tr w:rsidR="000F18FB" w:rsidRPr="000F18FB" w:rsidTr="000F18FB">
        <w:trPr>
          <w:trHeight w:val="715"/>
        </w:trPr>
        <w:tc>
          <w:tcPr>
            <w:tcW w:w="9180" w:type="dxa"/>
            <w:gridSpan w:val="10"/>
            <w:tcBorders>
              <w:left w:val="nil"/>
              <w:bottom w:val="nil"/>
              <w:right w:val="nil"/>
            </w:tcBorders>
            <w:shd w:val="clear" w:color="auto" w:fill="FFFFFF"/>
          </w:tcPr>
          <w:p w:rsidR="000F18FB" w:rsidRPr="000F18FB" w:rsidRDefault="000F18FB" w:rsidP="00B52D31">
            <w:pPr>
              <w:ind w:left="142" w:hanging="142"/>
              <w:jc w:val="both"/>
              <w:rPr>
                <w:rFonts w:ascii="Times New Roman" w:hAnsi="Times New Roman"/>
                <w:lang w:eastAsia="sk-SK"/>
              </w:rPr>
            </w:pPr>
            <w:r w:rsidRPr="000F18FB">
              <w:rPr>
                <w:rFonts w:ascii="Times New Roman" w:hAnsi="Times New Roman"/>
                <w:lang w:eastAsia="sk-SK"/>
              </w:rPr>
              <w:t xml:space="preserve">* vyplniť iba v prípade, ak materiál nie je zahrnutý do Plánu práce vlády Slovenskej republiky alebo Plánu legislatívnych úloh vlády Slovenskej republiky. </w:t>
            </w:r>
          </w:p>
          <w:p w:rsidR="000F18FB" w:rsidRPr="000F18FB" w:rsidRDefault="000F18FB" w:rsidP="00B52D31">
            <w:pPr>
              <w:jc w:val="both"/>
              <w:rPr>
                <w:rFonts w:ascii="Times New Roman" w:hAnsi="Times New Roman"/>
                <w:lang w:eastAsia="sk-SK"/>
              </w:rPr>
            </w:pPr>
            <w:r w:rsidRPr="000F18FB">
              <w:rPr>
                <w:rFonts w:ascii="Times New Roman" w:hAnsi="Times New Roman"/>
                <w:lang w:eastAsia="sk-SK"/>
              </w:rPr>
              <w:t>** nepovinné</w:t>
            </w:r>
          </w:p>
        </w:tc>
      </w:tr>
      <w:tr w:rsidR="000F18FB" w:rsidRPr="000F18FB" w:rsidTr="000F18FB">
        <w:trPr>
          <w:trHeight w:val="577"/>
        </w:trPr>
        <w:tc>
          <w:tcPr>
            <w:tcW w:w="9180" w:type="dxa"/>
            <w:gridSpan w:val="10"/>
            <w:tcBorders>
              <w:bottom w:val="single" w:sz="4" w:space="0" w:color="FFFFFF"/>
            </w:tcBorders>
            <w:shd w:val="clear" w:color="auto" w:fill="E2E2E2"/>
            <w:vAlign w:val="center"/>
          </w:tcPr>
          <w:p w:rsidR="000F18FB" w:rsidRPr="000F18FB" w:rsidRDefault="000F18FB" w:rsidP="00B52D31">
            <w:pPr>
              <w:numPr>
                <w:ilvl w:val="0"/>
                <w:numId w:val="16"/>
              </w:numPr>
              <w:ind w:left="426"/>
              <w:contextualSpacing/>
              <w:jc w:val="both"/>
              <w:rPr>
                <w:rFonts w:ascii="Times New Roman" w:hAnsi="Times New Roman"/>
                <w:b/>
              </w:rPr>
            </w:pPr>
            <w:r w:rsidRPr="000F18FB">
              <w:rPr>
                <w:rFonts w:ascii="Times New Roman" w:hAnsi="Times New Roman"/>
                <w:b/>
              </w:rPr>
              <w:t>Vplyvy navrhovaného materiálu</w:t>
            </w:r>
          </w:p>
        </w:tc>
      </w:tr>
      <w:tr w:rsidR="000F18FB" w:rsidRPr="000F18FB" w:rsidTr="007E5887">
        <w:tc>
          <w:tcPr>
            <w:tcW w:w="3812" w:type="dxa"/>
            <w:tcBorders>
              <w:bottom w:val="nil"/>
            </w:tcBorders>
            <w:shd w:val="clear" w:color="auto" w:fill="E2E2E2"/>
          </w:tcPr>
          <w:p w:rsidR="000F18FB" w:rsidRPr="000F18FB" w:rsidRDefault="000F18FB" w:rsidP="00B52D31">
            <w:pPr>
              <w:jc w:val="both"/>
              <w:rPr>
                <w:rFonts w:ascii="Times New Roman" w:hAnsi="Times New Roman"/>
                <w:b/>
                <w:lang w:eastAsia="sk-SK"/>
              </w:rPr>
            </w:pPr>
            <w:r w:rsidRPr="000F18FB">
              <w:rPr>
                <w:rFonts w:ascii="Times New Roman" w:hAnsi="Times New Roman"/>
                <w:b/>
                <w:lang w:eastAsia="sk-SK"/>
              </w:rPr>
              <w:t>Vplyvy na rozpočet verejnej správy</w:t>
            </w:r>
          </w:p>
        </w:tc>
        <w:tc>
          <w:tcPr>
            <w:tcW w:w="541" w:type="dxa"/>
            <w:gridSpan w:val="2"/>
            <w:tcBorders>
              <w:right w:val="nil"/>
            </w:tcBorders>
          </w:tcPr>
          <w:p w:rsidR="000F18FB" w:rsidRPr="000F18FB" w:rsidRDefault="000F18FB" w:rsidP="00B52D31">
            <w:pPr>
              <w:jc w:val="both"/>
              <w:rPr>
                <w:rFonts w:ascii="Times New Roman" w:hAnsi="Times New Roman"/>
                <w:lang w:eastAsia="sk-SK"/>
              </w:rPr>
            </w:pPr>
            <w:r w:rsidRPr="000F18FB">
              <w:rPr>
                <w:rFonts w:ascii="Segoe UI Symbol" w:eastAsia="MS Mincho" w:hAnsi="Segoe UI Symbol" w:cs="Segoe UI Symbol"/>
                <w:lang w:eastAsia="sk-SK"/>
              </w:rPr>
              <w:t>☒</w:t>
            </w:r>
          </w:p>
        </w:tc>
        <w:tc>
          <w:tcPr>
            <w:tcW w:w="1281" w:type="dxa"/>
            <w:gridSpan w:val="2"/>
            <w:tcBorders>
              <w:left w:val="nil"/>
              <w:right w:val="nil"/>
            </w:tcBorders>
          </w:tcPr>
          <w:p w:rsidR="000F18FB" w:rsidRPr="000F18FB" w:rsidRDefault="000F18FB" w:rsidP="00B52D31">
            <w:pPr>
              <w:jc w:val="both"/>
              <w:rPr>
                <w:rFonts w:ascii="Times New Roman" w:hAnsi="Times New Roman"/>
                <w:lang w:eastAsia="sk-SK"/>
              </w:rPr>
            </w:pPr>
            <w:r w:rsidRPr="000F18FB">
              <w:rPr>
                <w:rFonts w:ascii="Times New Roman" w:hAnsi="Times New Roman"/>
                <w:lang w:eastAsia="sk-SK"/>
              </w:rPr>
              <w:t>Pozitívne</w:t>
            </w:r>
          </w:p>
        </w:tc>
        <w:tc>
          <w:tcPr>
            <w:tcW w:w="569" w:type="dxa"/>
            <w:tcBorders>
              <w:left w:val="nil"/>
              <w:right w:val="nil"/>
            </w:tcBorders>
          </w:tcPr>
          <w:p w:rsidR="000F18FB" w:rsidRPr="000F18FB" w:rsidRDefault="000F18FB" w:rsidP="00B52D31">
            <w:pPr>
              <w:jc w:val="both"/>
              <w:rPr>
                <w:rFonts w:ascii="Times New Roman" w:hAnsi="Times New Roman"/>
                <w:lang w:eastAsia="sk-SK"/>
              </w:rPr>
            </w:pPr>
            <w:r w:rsidRPr="000F18FB">
              <w:rPr>
                <w:rFonts w:ascii="Segoe UI Symbol" w:eastAsia="MS Mincho" w:hAnsi="Segoe UI Symbol" w:cs="Segoe UI Symbol"/>
                <w:lang w:eastAsia="sk-SK"/>
              </w:rPr>
              <w:t>☐</w:t>
            </w:r>
          </w:p>
        </w:tc>
        <w:tc>
          <w:tcPr>
            <w:tcW w:w="1133" w:type="dxa"/>
            <w:tcBorders>
              <w:left w:val="nil"/>
              <w:right w:val="nil"/>
            </w:tcBorders>
          </w:tcPr>
          <w:p w:rsidR="000F18FB" w:rsidRPr="000F18FB" w:rsidRDefault="000F18FB" w:rsidP="00B52D31">
            <w:pPr>
              <w:jc w:val="both"/>
              <w:rPr>
                <w:rFonts w:ascii="Times New Roman" w:hAnsi="Times New Roman"/>
                <w:lang w:eastAsia="sk-SK"/>
              </w:rPr>
            </w:pPr>
            <w:r w:rsidRPr="000F18FB">
              <w:rPr>
                <w:rFonts w:ascii="Times New Roman" w:hAnsi="Times New Roman"/>
                <w:lang w:eastAsia="sk-SK"/>
              </w:rPr>
              <w:t>Žiadne</w:t>
            </w:r>
          </w:p>
        </w:tc>
        <w:tc>
          <w:tcPr>
            <w:tcW w:w="547" w:type="dxa"/>
            <w:gridSpan w:val="2"/>
            <w:tcBorders>
              <w:left w:val="nil"/>
              <w:right w:val="nil"/>
            </w:tcBorders>
          </w:tcPr>
          <w:p w:rsidR="000F18FB" w:rsidRPr="000F18FB" w:rsidRDefault="000F18FB" w:rsidP="00B52D31">
            <w:pPr>
              <w:ind w:left="-107" w:right="-108"/>
              <w:jc w:val="both"/>
              <w:rPr>
                <w:rFonts w:ascii="Times New Roman" w:hAnsi="Times New Roman"/>
                <w:lang w:eastAsia="sk-SK"/>
              </w:rPr>
            </w:pPr>
            <w:r w:rsidRPr="000F18FB">
              <w:rPr>
                <w:rFonts w:ascii="Segoe UI Symbol" w:eastAsia="MS Mincho" w:hAnsi="Segoe UI Symbol" w:cs="Segoe UI Symbol"/>
                <w:lang w:eastAsia="sk-SK"/>
              </w:rPr>
              <w:t>☒</w:t>
            </w:r>
          </w:p>
        </w:tc>
        <w:tc>
          <w:tcPr>
            <w:tcW w:w="1297" w:type="dxa"/>
            <w:tcBorders>
              <w:left w:val="nil"/>
            </w:tcBorders>
          </w:tcPr>
          <w:p w:rsidR="000F18FB" w:rsidRPr="000F18FB" w:rsidRDefault="000F18FB" w:rsidP="00B52D31">
            <w:pPr>
              <w:ind w:left="34"/>
              <w:jc w:val="both"/>
              <w:rPr>
                <w:rFonts w:ascii="Times New Roman" w:hAnsi="Times New Roman"/>
                <w:lang w:eastAsia="sk-SK"/>
              </w:rPr>
            </w:pPr>
            <w:r w:rsidRPr="000F18FB">
              <w:rPr>
                <w:rFonts w:ascii="Times New Roman" w:hAnsi="Times New Roman"/>
                <w:lang w:eastAsia="sk-SK"/>
              </w:rPr>
              <w:t>Negatívne</w:t>
            </w:r>
          </w:p>
        </w:tc>
      </w:tr>
      <w:tr w:rsidR="000F18FB" w:rsidRPr="00B52D31" w:rsidTr="000F18FB">
        <w:tc>
          <w:tcPr>
            <w:tcW w:w="3812" w:type="dxa"/>
            <w:tcBorders>
              <w:top w:val="nil"/>
              <w:bottom w:val="single" w:sz="4" w:space="0" w:color="000000"/>
            </w:tcBorders>
            <w:shd w:val="clear" w:color="auto" w:fill="E2E2E2"/>
          </w:tcPr>
          <w:p w:rsidR="000F18FB" w:rsidRPr="000F18FB" w:rsidRDefault="000F18FB" w:rsidP="00B52D31">
            <w:pPr>
              <w:jc w:val="both"/>
              <w:rPr>
                <w:rFonts w:ascii="Times New Roman" w:hAnsi="Times New Roman"/>
                <w:lang w:eastAsia="sk-SK"/>
              </w:rPr>
            </w:pPr>
            <w:r w:rsidRPr="000F18FB">
              <w:rPr>
                <w:rFonts w:ascii="Times New Roman" w:hAnsi="Times New Roman"/>
                <w:lang w:eastAsia="sk-SK"/>
              </w:rPr>
              <w:t xml:space="preserve">    z toho rozpočtovo zabezpečené vplyvy</w:t>
            </w:r>
          </w:p>
        </w:tc>
        <w:tc>
          <w:tcPr>
            <w:tcW w:w="541" w:type="dxa"/>
            <w:gridSpan w:val="2"/>
            <w:tcBorders>
              <w:right w:val="nil"/>
            </w:tcBorders>
          </w:tcPr>
          <w:p w:rsidR="000F18FB" w:rsidRPr="000F18FB" w:rsidRDefault="000F18FB" w:rsidP="00B52D31">
            <w:pPr>
              <w:jc w:val="both"/>
              <w:rPr>
                <w:rFonts w:ascii="Times New Roman" w:hAnsi="Times New Roman"/>
                <w:lang w:eastAsia="sk-SK"/>
              </w:rPr>
            </w:pPr>
            <w:r w:rsidRPr="000F18FB">
              <w:rPr>
                <w:rFonts w:ascii="Segoe UI Symbol" w:eastAsia="MS Mincho" w:hAnsi="Segoe UI Symbol" w:cs="Segoe UI Symbol"/>
                <w:lang w:eastAsia="sk-SK"/>
              </w:rPr>
              <w:t>☐</w:t>
            </w:r>
          </w:p>
        </w:tc>
        <w:tc>
          <w:tcPr>
            <w:tcW w:w="1281" w:type="dxa"/>
            <w:gridSpan w:val="2"/>
            <w:tcBorders>
              <w:left w:val="nil"/>
              <w:right w:val="nil"/>
            </w:tcBorders>
          </w:tcPr>
          <w:p w:rsidR="000F18FB" w:rsidRPr="000F18FB" w:rsidRDefault="000F18FB" w:rsidP="00B52D31">
            <w:pPr>
              <w:jc w:val="both"/>
              <w:rPr>
                <w:rFonts w:ascii="Times New Roman" w:hAnsi="Times New Roman"/>
                <w:lang w:eastAsia="sk-SK"/>
              </w:rPr>
            </w:pPr>
            <w:r w:rsidRPr="000F18FB">
              <w:rPr>
                <w:rFonts w:ascii="Times New Roman" w:hAnsi="Times New Roman"/>
                <w:lang w:eastAsia="sk-SK"/>
              </w:rPr>
              <w:t>Áno</w:t>
            </w:r>
          </w:p>
        </w:tc>
        <w:tc>
          <w:tcPr>
            <w:tcW w:w="569" w:type="dxa"/>
            <w:tcBorders>
              <w:left w:val="nil"/>
              <w:right w:val="nil"/>
            </w:tcBorders>
          </w:tcPr>
          <w:p w:rsidR="000F18FB" w:rsidRPr="000F18FB" w:rsidRDefault="000F18FB" w:rsidP="00B52D31">
            <w:pPr>
              <w:jc w:val="both"/>
              <w:rPr>
                <w:rFonts w:ascii="Times New Roman" w:hAnsi="Times New Roman"/>
                <w:lang w:eastAsia="sk-SK"/>
              </w:rPr>
            </w:pPr>
            <w:r w:rsidRPr="000F18FB">
              <w:rPr>
                <w:rFonts w:ascii="Segoe UI Symbol" w:eastAsia="MS Mincho" w:hAnsi="Segoe UI Symbol" w:cs="Segoe UI Symbol"/>
                <w:lang w:eastAsia="sk-SK"/>
              </w:rPr>
              <w:t>☐</w:t>
            </w:r>
          </w:p>
        </w:tc>
        <w:tc>
          <w:tcPr>
            <w:tcW w:w="1133" w:type="dxa"/>
            <w:tcBorders>
              <w:left w:val="nil"/>
              <w:right w:val="nil"/>
            </w:tcBorders>
          </w:tcPr>
          <w:p w:rsidR="000F18FB" w:rsidRPr="000F18FB" w:rsidRDefault="000F18FB" w:rsidP="00B52D31">
            <w:pPr>
              <w:jc w:val="both"/>
              <w:rPr>
                <w:rFonts w:ascii="Times New Roman" w:hAnsi="Times New Roman"/>
                <w:lang w:eastAsia="sk-SK"/>
              </w:rPr>
            </w:pPr>
            <w:r w:rsidRPr="000F18FB">
              <w:rPr>
                <w:rFonts w:ascii="Times New Roman" w:hAnsi="Times New Roman"/>
                <w:lang w:eastAsia="sk-SK"/>
              </w:rPr>
              <w:t>Nie</w:t>
            </w:r>
          </w:p>
        </w:tc>
        <w:tc>
          <w:tcPr>
            <w:tcW w:w="547" w:type="dxa"/>
            <w:gridSpan w:val="2"/>
            <w:tcBorders>
              <w:left w:val="nil"/>
              <w:right w:val="nil"/>
            </w:tcBorders>
          </w:tcPr>
          <w:p w:rsidR="000F18FB" w:rsidRPr="000F18FB" w:rsidRDefault="000F18FB" w:rsidP="00B52D31">
            <w:pPr>
              <w:ind w:left="-107" w:right="-108"/>
              <w:jc w:val="both"/>
              <w:rPr>
                <w:rFonts w:ascii="Times New Roman" w:hAnsi="Times New Roman"/>
                <w:lang w:eastAsia="sk-SK"/>
              </w:rPr>
            </w:pPr>
            <w:r w:rsidRPr="000F18FB">
              <w:rPr>
                <w:rFonts w:ascii="Segoe UI Symbol" w:eastAsia="MS Mincho" w:hAnsi="Segoe UI Symbol" w:cs="Segoe UI Symbol"/>
                <w:lang w:eastAsia="sk-SK"/>
              </w:rPr>
              <w:t>☐</w:t>
            </w:r>
          </w:p>
        </w:tc>
        <w:tc>
          <w:tcPr>
            <w:tcW w:w="1297" w:type="dxa"/>
            <w:tcBorders>
              <w:left w:val="nil"/>
            </w:tcBorders>
          </w:tcPr>
          <w:p w:rsidR="000F18FB" w:rsidRPr="000F18FB" w:rsidRDefault="000F18FB" w:rsidP="00B52D31">
            <w:pPr>
              <w:ind w:left="34"/>
              <w:jc w:val="both"/>
              <w:rPr>
                <w:rFonts w:ascii="Times New Roman" w:hAnsi="Times New Roman"/>
                <w:lang w:eastAsia="sk-SK"/>
              </w:rPr>
            </w:pPr>
            <w:r w:rsidRPr="000F18FB">
              <w:rPr>
                <w:rFonts w:ascii="Times New Roman" w:hAnsi="Times New Roman"/>
                <w:lang w:eastAsia="sk-SK"/>
              </w:rPr>
              <w:t>Čiastočne</w:t>
            </w:r>
          </w:p>
        </w:tc>
      </w:tr>
      <w:tr w:rsidR="000F18FB" w:rsidRPr="00B52D31" w:rsidTr="000F18FB">
        <w:tc>
          <w:tcPr>
            <w:tcW w:w="3812" w:type="dxa"/>
            <w:tcBorders>
              <w:top w:val="single" w:sz="4" w:space="0" w:color="000000"/>
              <w:bottom w:val="nil"/>
            </w:tcBorders>
            <w:shd w:val="clear" w:color="auto" w:fill="E2E2E2"/>
          </w:tcPr>
          <w:p w:rsidR="000F18FB" w:rsidRPr="000F18FB" w:rsidRDefault="000F18FB" w:rsidP="00B52D31">
            <w:pPr>
              <w:jc w:val="both"/>
              <w:rPr>
                <w:rFonts w:ascii="Times New Roman" w:hAnsi="Times New Roman"/>
                <w:b/>
                <w:lang w:eastAsia="sk-SK"/>
              </w:rPr>
            </w:pPr>
            <w:r w:rsidRPr="000F18FB">
              <w:rPr>
                <w:rFonts w:ascii="Times New Roman" w:hAnsi="Times New Roman"/>
                <w:b/>
                <w:lang w:eastAsia="sk-SK"/>
              </w:rPr>
              <w:t>Vplyvy na podnikateľské prostredie</w:t>
            </w:r>
          </w:p>
        </w:tc>
        <w:tc>
          <w:tcPr>
            <w:tcW w:w="541" w:type="dxa"/>
            <w:gridSpan w:val="2"/>
            <w:tcBorders>
              <w:right w:val="nil"/>
            </w:tcBorders>
          </w:tcPr>
          <w:p w:rsidR="000F18FB" w:rsidRPr="000F18FB" w:rsidRDefault="000F18FB" w:rsidP="00B52D31">
            <w:pPr>
              <w:jc w:val="both"/>
              <w:rPr>
                <w:rFonts w:ascii="Times New Roman" w:hAnsi="Times New Roman"/>
                <w:lang w:eastAsia="sk-SK"/>
              </w:rPr>
            </w:pPr>
            <w:r w:rsidRPr="000F18FB">
              <w:rPr>
                <w:rFonts w:ascii="Segoe UI Symbol" w:eastAsia="MS Mincho" w:hAnsi="Segoe UI Symbol" w:cs="Segoe UI Symbol"/>
                <w:lang w:eastAsia="sk-SK"/>
              </w:rPr>
              <w:t>☒</w:t>
            </w:r>
          </w:p>
        </w:tc>
        <w:tc>
          <w:tcPr>
            <w:tcW w:w="1281" w:type="dxa"/>
            <w:gridSpan w:val="2"/>
            <w:tcBorders>
              <w:left w:val="nil"/>
              <w:right w:val="nil"/>
            </w:tcBorders>
          </w:tcPr>
          <w:p w:rsidR="000F18FB" w:rsidRPr="000F18FB" w:rsidRDefault="000F18FB" w:rsidP="00B52D31">
            <w:pPr>
              <w:ind w:right="-108"/>
              <w:jc w:val="both"/>
              <w:rPr>
                <w:rFonts w:ascii="Times New Roman" w:hAnsi="Times New Roman"/>
                <w:lang w:eastAsia="sk-SK"/>
              </w:rPr>
            </w:pPr>
            <w:r w:rsidRPr="000F18FB">
              <w:rPr>
                <w:rFonts w:ascii="Times New Roman" w:hAnsi="Times New Roman"/>
                <w:lang w:eastAsia="sk-SK"/>
              </w:rPr>
              <w:t>Pozitívne</w:t>
            </w:r>
          </w:p>
        </w:tc>
        <w:tc>
          <w:tcPr>
            <w:tcW w:w="569" w:type="dxa"/>
            <w:tcBorders>
              <w:left w:val="nil"/>
              <w:right w:val="nil"/>
            </w:tcBorders>
          </w:tcPr>
          <w:p w:rsidR="000F18FB" w:rsidRPr="000F18FB" w:rsidRDefault="000F18FB" w:rsidP="00B52D31">
            <w:pPr>
              <w:jc w:val="both"/>
              <w:rPr>
                <w:rFonts w:ascii="Times New Roman" w:hAnsi="Times New Roman"/>
                <w:lang w:eastAsia="sk-SK"/>
              </w:rPr>
            </w:pPr>
            <w:r w:rsidRPr="000F18FB">
              <w:rPr>
                <w:rFonts w:ascii="Segoe UI Symbol" w:eastAsia="MS Mincho" w:hAnsi="Segoe UI Symbol" w:cs="Segoe UI Symbol"/>
                <w:lang w:eastAsia="sk-SK"/>
              </w:rPr>
              <w:t>☐</w:t>
            </w:r>
          </w:p>
        </w:tc>
        <w:tc>
          <w:tcPr>
            <w:tcW w:w="1133" w:type="dxa"/>
            <w:tcBorders>
              <w:left w:val="nil"/>
              <w:right w:val="nil"/>
            </w:tcBorders>
          </w:tcPr>
          <w:p w:rsidR="000F18FB" w:rsidRPr="000F18FB" w:rsidRDefault="000F18FB" w:rsidP="00B52D31">
            <w:pPr>
              <w:jc w:val="both"/>
              <w:rPr>
                <w:rFonts w:ascii="Times New Roman" w:hAnsi="Times New Roman"/>
                <w:lang w:eastAsia="sk-SK"/>
              </w:rPr>
            </w:pPr>
            <w:r w:rsidRPr="000F18FB">
              <w:rPr>
                <w:rFonts w:ascii="Times New Roman" w:hAnsi="Times New Roman"/>
                <w:lang w:eastAsia="sk-SK"/>
              </w:rPr>
              <w:t>Žiadne</w:t>
            </w:r>
          </w:p>
        </w:tc>
        <w:tc>
          <w:tcPr>
            <w:tcW w:w="547" w:type="dxa"/>
            <w:gridSpan w:val="2"/>
            <w:tcBorders>
              <w:left w:val="nil"/>
              <w:right w:val="nil"/>
            </w:tcBorders>
          </w:tcPr>
          <w:p w:rsidR="000F18FB" w:rsidRPr="000F18FB" w:rsidRDefault="000F18FB" w:rsidP="00B52D31">
            <w:pPr>
              <w:jc w:val="both"/>
              <w:rPr>
                <w:rFonts w:ascii="Times New Roman" w:hAnsi="Times New Roman"/>
                <w:lang w:eastAsia="sk-SK"/>
              </w:rPr>
            </w:pPr>
            <w:r w:rsidRPr="000F18FB">
              <w:rPr>
                <w:rFonts w:ascii="Segoe UI Symbol" w:eastAsia="MS Mincho" w:hAnsi="Segoe UI Symbol" w:cs="Segoe UI Symbol"/>
                <w:lang w:eastAsia="sk-SK"/>
              </w:rPr>
              <w:t>☒</w:t>
            </w:r>
          </w:p>
        </w:tc>
        <w:tc>
          <w:tcPr>
            <w:tcW w:w="1297" w:type="dxa"/>
            <w:tcBorders>
              <w:left w:val="nil"/>
            </w:tcBorders>
          </w:tcPr>
          <w:p w:rsidR="000F18FB" w:rsidRPr="000F18FB" w:rsidRDefault="000F18FB" w:rsidP="00B52D31">
            <w:pPr>
              <w:ind w:left="54"/>
              <w:jc w:val="both"/>
              <w:rPr>
                <w:rFonts w:ascii="Times New Roman" w:hAnsi="Times New Roman"/>
                <w:lang w:eastAsia="sk-SK"/>
              </w:rPr>
            </w:pPr>
            <w:r w:rsidRPr="000F18FB">
              <w:rPr>
                <w:rFonts w:ascii="Times New Roman" w:hAnsi="Times New Roman"/>
                <w:lang w:eastAsia="sk-SK"/>
              </w:rPr>
              <w:t>Negatívne</w:t>
            </w:r>
          </w:p>
        </w:tc>
      </w:tr>
      <w:tr w:rsidR="000F18FB" w:rsidRPr="00B52D31" w:rsidTr="000F18FB">
        <w:tc>
          <w:tcPr>
            <w:tcW w:w="3812" w:type="dxa"/>
            <w:tcBorders>
              <w:top w:val="nil"/>
              <w:left w:val="single" w:sz="4" w:space="0" w:color="000000"/>
              <w:bottom w:val="single" w:sz="4" w:space="0" w:color="000000"/>
              <w:right w:val="single" w:sz="4" w:space="0" w:color="000000"/>
            </w:tcBorders>
            <w:shd w:val="clear" w:color="auto" w:fill="E2E2E2"/>
          </w:tcPr>
          <w:p w:rsidR="000F18FB" w:rsidRPr="000F18FB" w:rsidRDefault="000F18FB" w:rsidP="00B52D31">
            <w:pPr>
              <w:jc w:val="both"/>
              <w:rPr>
                <w:rFonts w:ascii="Times New Roman" w:hAnsi="Times New Roman"/>
                <w:lang w:eastAsia="sk-SK"/>
              </w:rPr>
            </w:pPr>
            <w:r w:rsidRPr="000F18FB">
              <w:rPr>
                <w:rFonts w:ascii="Times New Roman" w:hAnsi="Times New Roman"/>
                <w:lang w:eastAsia="sk-SK"/>
              </w:rPr>
              <w:t xml:space="preserve">    z toho vplyvy na MSP</w:t>
            </w:r>
          </w:p>
        </w:tc>
        <w:tc>
          <w:tcPr>
            <w:tcW w:w="541" w:type="dxa"/>
            <w:gridSpan w:val="2"/>
            <w:tcBorders>
              <w:left w:val="single" w:sz="4" w:space="0" w:color="000000"/>
              <w:right w:val="nil"/>
            </w:tcBorders>
          </w:tcPr>
          <w:p w:rsidR="000F18FB" w:rsidRPr="000F18FB" w:rsidRDefault="000F18FB" w:rsidP="00B52D31">
            <w:pPr>
              <w:jc w:val="both"/>
              <w:rPr>
                <w:rFonts w:ascii="Times New Roman" w:hAnsi="Times New Roman"/>
                <w:lang w:eastAsia="sk-SK"/>
              </w:rPr>
            </w:pPr>
            <w:r w:rsidRPr="000F18FB">
              <w:rPr>
                <w:rFonts w:ascii="Segoe UI Symbol" w:eastAsia="MS Mincho" w:hAnsi="Segoe UI Symbol" w:cs="Segoe UI Symbol"/>
                <w:lang w:eastAsia="sk-SK"/>
              </w:rPr>
              <w:t>☒</w:t>
            </w:r>
          </w:p>
        </w:tc>
        <w:tc>
          <w:tcPr>
            <w:tcW w:w="1281" w:type="dxa"/>
            <w:gridSpan w:val="2"/>
            <w:tcBorders>
              <w:left w:val="nil"/>
              <w:right w:val="nil"/>
            </w:tcBorders>
          </w:tcPr>
          <w:p w:rsidR="000F18FB" w:rsidRPr="000F18FB" w:rsidRDefault="000F18FB" w:rsidP="00B52D31">
            <w:pPr>
              <w:ind w:right="-108"/>
              <w:jc w:val="both"/>
              <w:rPr>
                <w:rFonts w:ascii="Times New Roman" w:hAnsi="Times New Roman"/>
                <w:lang w:eastAsia="sk-SK"/>
              </w:rPr>
            </w:pPr>
            <w:r w:rsidRPr="000F18FB">
              <w:rPr>
                <w:rFonts w:ascii="Times New Roman" w:hAnsi="Times New Roman"/>
                <w:lang w:eastAsia="sk-SK"/>
              </w:rPr>
              <w:t>Pozitívne</w:t>
            </w:r>
          </w:p>
        </w:tc>
        <w:tc>
          <w:tcPr>
            <w:tcW w:w="569" w:type="dxa"/>
            <w:tcBorders>
              <w:left w:val="nil"/>
              <w:right w:val="nil"/>
            </w:tcBorders>
          </w:tcPr>
          <w:p w:rsidR="000F18FB" w:rsidRPr="000F18FB" w:rsidRDefault="000F18FB" w:rsidP="00B52D31">
            <w:pPr>
              <w:jc w:val="both"/>
              <w:rPr>
                <w:rFonts w:ascii="Times New Roman" w:hAnsi="Times New Roman"/>
                <w:lang w:eastAsia="sk-SK"/>
              </w:rPr>
            </w:pPr>
            <w:r w:rsidRPr="000F18FB">
              <w:rPr>
                <w:rFonts w:ascii="Segoe UI Symbol" w:eastAsia="MS Mincho" w:hAnsi="Segoe UI Symbol" w:cs="Segoe UI Symbol"/>
                <w:lang w:eastAsia="sk-SK"/>
              </w:rPr>
              <w:t>☐</w:t>
            </w:r>
          </w:p>
        </w:tc>
        <w:tc>
          <w:tcPr>
            <w:tcW w:w="1133" w:type="dxa"/>
            <w:tcBorders>
              <w:left w:val="nil"/>
              <w:right w:val="nil"/>
            </w:tcBorders>
          </w:tcPr>
          <w:p w:rsidR="000F18FB" w:rsidRPr="000F18FB" w:rsidRDefault="000F18FB" w:rsidP="00B52D31">
            <w:pPr>
              <w:jc w:val="both"/>
              <w:rPr>
                <w:rFonts w:ascii="Times New Roman" w:hAnsi="Times New Roman"/>
                <w:lang w:eastAsia="sk-SK"/>
              </w:rPr>
            </w:pPr>
            <w:r w:rsidRPr="000F18FB">
              <w:rPr>
                <w:rFonts w:ascii="Times New Roman" w:hAnsi="Times New Roman"/>
                <w:lang w:eastAsia="sk-SK"/>
              </w:rPr>
              <w:t>Žiadne</w:t>
            </w:r>
          </w:p>
        </w:tc>
        <w:tc>
          <w:tcPr>
            <w:tcW w:w="547" w:type="dxa"/>
            <w:gridSpan w:val="2"/>
            <w:tcBorders>
              <w:left w:val="nil"/>
              <w:right w:val="nil"/>
            </w:tcBorders>
          </w:tcPr>
          <w:p w:rsidR="000F18FB" w:rsidRPr="000F18FB" w:rsidRDefault="000F18FB" w:rsidP="00B52D31">
            <w:pPr>
              <w:jc w:val="both"/>
              <w:rPr>
                <w:rFonts w:ascii="Times New Roman" w:hAnsi="Times New Roman"/>
                <w:lang w:eastAsia="sk-SK"/>
              </w:rPr>
            </w:pPr>
            <w:r w:rsidRPr="000F18FB">
              <w:rPr>
                <w:rFonts w:ascii="Segoe UI Symbol" w:eastAsia="MS Mincho" w:hAnsi="Segoe UI Symbol" w:cs="Segoe UI Symbol"/>
                <w:lang w:eastAsia="sk-SK"/>
              </w:rPr>
              <w:t>☒</w:t>
            </w:r>
          </w:p>
        </w:tc>
        <w:tc>
          <w:tcPr>
            <w:tcW w:w="1297" w:type="dxa"/>
            <w:tcBorders>
              <w:left w:val="nil"/>
            </w:tcBorders>
          </w:tcPr>
          <w:p w:rsidR="000F18FB" w:rsidRPr="000F18FB" w:rsidRDefault="000F18FB" w:rsidP="00B52D31">
            <w:pPr>
              <w:ind w:left="54"/>
              <w:jc w:val="both"/>
              <w:rPr>
                <w:rFonts w:ascii="Times New Roman" w:hAnsi="Times New Roman"/>
                <w:lang w:eastAsia="sk-SK"/>
              </w:rPr>
            </w:pPr>
            <w:r w:rsidRPr="000F18FB">
              <w:rPr>
                <w:rFonts w:ascii="Times New Roman" w:hAnsi="Times New Roman"/>
                <w:lang w:eastAsia="sk-SK"/>
              </w:rPr>
              <w:t>Negatívne</w:t>
            </w:r>
          </w:p>
        </w:tc>
      </w:tr>
      <w:tr w:rsidR="000F18FB" w:rsidRPr="00B52D31" w:rsidTr="000F18FB">
        <w:tc>
          <w:tcPr>
            <w:tcW w:w="3812" w:type="dxa"/>
            <w:tcBorders>
              <w:top w:val="single" w:sz="4" w:space="0" w:color="000000"/>
            </w:tcBorders>
            <w:shd w:val="clear" w:color="auto" w:fill="E2E2E2"/>
          </w:tcPr>
          <w:p w:rsidR="000F18FB" w:rsidRPr="000F18FB" w:rsidRDefault="000F18FB" w:rsidP="00B52D31">
            <w:pPr>
              <w:jc w:val="both"/>
              <w:rPr>
                <w:rFonts w:ascii="Times New Roman" w:hAnsi="Times New Roman"/>
                <w:b/>
                <w:lang w:eastAsia="sk-SK"/>
              </w:rPr>
            </w:pPr>
            <w:r w:rsidRPr="000F18FB">
              <w:rPr>
                <w:rFonts w:ascii="Times New Roman" w:hAnsi="Times New Roman"/>
                <w:b/>
                <w:lang w:eastAsia="sk-SK"/>
              </w:rPr>
              <w:t>Sociálne vplyvy</w:t>
            </w:r>
          </w:p>
        </w:tc>
        <w:tc>
          <w:tcPr>
            <w:tcW w:w="541" w:type="dxa"/>
            <w:gridSpan w:val="2"/>
            <w:tcBorders>
              <w:right w:val="nil"/>
            </w:tcBorders>
          </w:tcPr>
          <w:p w:rsidR="000F18FB" w:rsidRPr="000F18FB" w:rsidRDefault="000F18FB" w:rsidP="00B52D31">
            <w:pPr>
              <w:jc w:val="both"/>
              <w:rPr>
                <w:rFonts w:ascii="Times New Roman" w:hAnsi="Times New Roman"/>
                <w:lang w:eastAsia="sk-SK"/>
              </w:rPr>
            </w:pPr>
            <w:r w:rsidRPr="000F18FB">
              <w:rPr>
                <w:rFonts w:ascii="Segoe UI Symbol" w:eastAsia="MS Mincho" w:hAnsi="Segoe UI Symbol" w:cs="Segoe UI Symbol"/>
                <w:lang w:eastAsia="sk-SK"/>
              </w:rPr>
              <w:t>☐</w:t>
            </w:r>
          </w:p>
        </w:tc>
        <w:tc>
          <w:tcPr>
            <w:tcW w:w="1281" w:type="dxa"/>
            <w:gridSpan w:val="2"/>
            <w:tcBorders>
              <w:left w:val="nil"/>
              <w:right w:val="nil"/>
            </w:tcBorders>
          </w:tcPr>
          <w:p w:rsidR="000F18FB" w:rsidRPr="000F18FB" w:rsidRDefault="000F18FB" w:rsidP="00B52D31">
            <w:pPr>
              <w:ind w:right="-108"/>
              <w:jc w:val="both"/>
              <w:rPr>
                <w:rFonts w:ascii="Times New Roman" w:hAnsi="Times New Roman"/>
                <w:lang w:eastAsia="sk-SK"/>
              </w:rPr>
            </w:pPr>
            <w:r w:rsidRPr="000F18FB">
              <w:rPr>
                <w:rFonts w:ascii="Times New Roman" w:hAnsi="Times New Roman"/>
                <w:lang w:eastAsia="sk-SK"/>
              </w:rPr>
              <w:t>Pozitívne</w:t>
            </w:r>
          </w:p>
        </w:tc>
        <w:tc>
          <w:tcPr>
            <w:tcW w:w="569" w:type="dxa"/>
            <w:tcBorders>
              <w:left w:val="nil"/>
              <w:right w:val="nil"/>
            </w:tcBorders>
          </w:tcPr>
          <w:p w:rsidR="000F18FB" w:rsidRPr="000F18FB" w:rsidRDefault="000F18FB" w:rsidP="00B52D31">
            <w:pPr>
              <w:jc w:val="both"/>
              <w:rPr>
                <w:rFonts w:ascii="Times New Roman" w:hAnsi="Times New Roman"/>
                <w:lang w:eastAsia="sk-SK"/>
              </w:rPr>
            </w:pPr>
            <w:r w:rsidRPr="000F18FB">
              <w:rPr>
                <w:rFonts w:ascii="Segoe UI Symbol" w:eastAsia="MS Mincho" w:hAnsi="Segoe UI Symbol" w:cs="Segoe UI Symbol"/>
                <w:lang w:eastAsia="sk-SK"/>
              </w:rPr>
              <w:t>☒</w:t>
            </w:r>
          </w:p>
        </w:tc>
        <w:tc>
          <w:tcPr>
            <w:tcW w:w="1133" w:type="dxa"/>
            <w:tcBorders>
              <w:left w:val="nil"/>
              <w:right w:val="nil"/>
            </w:tcBorders>
          </w:tcPr>
          <w:p w:rsidR="000F18FB" w:rsidRPr="000F18FB" w:rsidRDefault="000F18FB" w:rsidP="00B52D31">
            <w:pPr>
              <w:jc w:val="both"/>
              <w:rPr>
                <w:rFonts w:ascii="Times New Roman" w:hAnsi="Times New Roman"/>
                <w:lang w:eastAsia="sk-SK"/>
              </w:rPr>
            </w:pPr>
            <w:r w:rsidRPr="000F18FB">
              <w:rPr>
                <w:rFonts w:ascii="Times New Roman" w:hAnsi="Times New Roman"/>
                <w:lang w:eastAsia="sk-SK"/>
              </w:rPr>
              <w:t>Žiadne</w:t>
            </w:r>
          </w:p>
        </w:tc>
        <w:tc>
          <w:tcPr>
            <w:tcW w:w="547" w:type="dxa"/>
            <w:gridSpan w:val="2"/>
            <w:tcBorders>
              <w:left w:val="nil"/>
              <w:right w:val="nil"/>
            </w:tcBorders>
          </w:tcPr>
          <w:p w:rsidR="000F18FB" w:rsidRPr="000F18FB" w:rsidRDefault="000F18FB" w:rsidP="00B52D31">
            <w:pPr>
              <w:jc w:val="both"/>
              <w:rPr>
                <w:rFonts w:ascii="Times New Roman" w:hAnsi="Times New Roman"/>
                <w:lang w:eastAsia="sk-SK"/>
              </w:rPr>
            </w:pPr>
            <w:r w:rsidRPr="000F18FB">
              <w:rPr>
                <w:rFonts w:ascii="Segoe UI Symbol" w:eastAsia="MS Mincho" w:hAnsi="Segoe UI Symbol" w:cs="Segoe UI Symbol"/>
                <w:lang w:eastAsia="sk-SK"/>
              </w:rPr>
              <w:t>☐</w:t>
            </w:r>
          </w:p>
        </w:tc>
        <w:tc>
          <w:tcPr>
            <w:tcW w:w="1297" w:type="dxa"/>
            <w:tcBorders>
              <w:left w:val="nil"/>
            </w:tcBorders>
          </w:tcPr>
          <w:p w:rsidR="000F18FB" w:rsidRPr="000F18FB" w:rsidRDefault="000F18FB" w:rsidP="00B52D31">
            <w:pPr>
              <w:ind w:left="54"/>
              <w:jc w:val="both"/>
              <w:rPr>
                <w:rFonts w:ascii="Times New Roman" w:hAnsi="Times New Roman"/>
                <w:lang w:eastAsia="sk-SK"/>
              </w:rPr>
            </w:pPr>
            <w:r w:rsidRPr="000F18FB">
              <w:rPr>
                <w:rFonts w:ascii="Times New Roman" w:hAnsi="Times New Roman"/>
                <w:lang w:eastAsia="sk-SK"/>
              </w:rPr>
              <w:t>Negatívne</w:t>
            </w:r>
          </w:p>
        </w:tc>
      </w:tr>
      <w:tr w:rsidR="000F18FB" w:rsidRPr="000F18FB" w:rsidTr="007E5887">
        <w:tc>
          <w:tcPr>
            <w:tcW w:w="3812" w:type="dxa"/>
            <w:shd w:val="clear" w:color="auto" w:fill="E2E2E2"/>
          </w:tcPr>
          <w:p w:rsidR="000F18FB" w:rsidRPr="000F18FB" w:rsidRDefault="000F18FB" w:rsidP="00B52D31">
            <w:pPr>
              <w:jc w:val="both"/>
              <w:rPr>
                <w:rFonts w:ascii="Times New Roman" w:hAnsi="Times New Roman"/>
                <w:b/>
                <w:lang w:eastAsia="sk-SK"/>
              </w:rPr>
            </w:pPr>
            <w:r w:rsidRPr="000F18FB">
              <w:rPr>
                <w:rFonts w:ascii="Times New Roman" w:hAnsi="Times New Roman"/>
                <w:b/>
                <w:lang w:eastAsia="sk-SK"/>
              </w:rPr>
              <w:t>Vplyvy na životné prostredie</w:t>
            </w:r>
          </w:p>
        </w:tc>
        <w:tc>
          <w:tcPr>
            <w:tcW w:w="541" w:type="dxa"/>
            <w:gridSpan w:val="2"/>
            <w:tcBorders>
              <w:right w:val="nil"/>
            </w:tcBorders>
          </w:tcPr>
          <w:p w:rsidR="000F18FB" w:rsidRPr="000F18FB" w:rsidRDefault="000F18FB" w:rsidP="00B52D31">
            <w:pPr>
              <w:jc w:val="both"/>
              <w:rPr>
                <w:rFonts w:ascii="Times New Roman" w:hAnsi="Times New Roman"/>
                <w:lang w:eastAsia="sk-SK"/>
              </w:rPr>
            </w:pPr>
            <w:r w:rsidRPr="000F18FB">
              <w:rPr>
                <w:rFonts w:ascii="Segoe UI Symbol" w:eastAsia="MS Mincho" w:hAnsi="Segoe UI Symbol" w:cs="Segoe UI Symbol"/>
                <w:lang w:eastAsia="sk-SK"/>
              </w:rPr>
              <w:t>☐</w:t>
            </w:r>
          </w:p>
        </w:tc>
        <w:tc>
          <w:tcPr>
            <w:tcW w:w="1281" w:type="dxa"/>
            <w:gridSpan w:val="2"/>
            <w:tcBorders>
              <w:left w:val="nil"/>
              <w:right w:val="nil"/>
            </w:tcBorders>
          </w:tcPr>
          <w:p w:rsidR="000F18FB" w:rsidRPr="000F18FB" w:rsidRDefault="000F18FB" w:rsidP="00B52D31">
            <w:pPr>
              <w:ind w:right="-108"/>
              <w:jc w:val="both"/>
              <w:rPr>
                <w:rFonts w:ascii="Times New Roman" w:hAnsi="Times New Roman"/>
                <w:lang w:eastAsia="sk-SK"/>
              </w:rPr>
            </w:pPr>
            <w:r w:rsidRPr="000F18FB">
              <w:rPr>
                <w:rFonts w:ascii="Times New Roman" w:hAnsi="Times New Roman"/>
                <w:lang w:eastAsia="sk-SK"/>
              </w:rPr>
              <w:t>Pozitívne</w:t>
            </w:r>
          </w:p>
        </w:tc>
        <w:tc>
          <w:tcPr>
            <w:tcW w:w="569" w:type="dxa"/>
            <w:tcBorders>
              <w:left w:val="nil"/>
              <w:right w:val="nil"/>
            </w:tcBorders>
          </w:tcPr>
          <w:p w:rsidR="000F18FB" w:rsidRPr="000F18FB" w:rsidRDefault="000F18FB" w:rsidP="00B52D31">
            <w:pPr>
              <w:jc w:val="both"/>
              <w:rPr>
                <w:rFonts w:ascii="Times New Roman" w:hAnsi="Times New Roman"/>
                <w:lang w:eastAsia="sk-SK"/>
              </w:rPr>
            </w:pPr>
            <w:r w:rsidRPr="000F18FB">
              <w:rPr>
                <w:rFonts w:ascii="Segoe UI Symbol" w:eastAsia="MS Mincho" w:hAnsi="Segoe UI Symbol" w:cs="Segoe UI Symbol"/>
                <w:lang w:eastAsia="sk-SK"/>
              </w:rPr>
              <w:t>☒</w:t>
            </w:r>
          </w:p>
        </w:tc>
        <w:tc>
          <w:tcPr>
            <w:tcW w:w="1133" w:type="dxa"/>
            <w:tcBorders>
              <w:left w:val="nil"/>
              <w:right w:val="nil"/>
            </w:tcBorders>
          </w:tcPr>
          <w:p w:rsidR="000F18FB" w:rsidRPr="000F18FB" w:rsidRDefault="000F18FB" w:rsidP="00B52D31">
            <w:pPr>
              <w:jc w:val="both"/>
              <w:rPr>
                <w:rFonts w:ascii="Times New Roman" w:hAnsi="Times New Roman"/>
                <w:lang w:eastAsia="sk-SK"/>
              </w:rPr>
            </w:pPr>
            <w:r w:rsidRPr="000F18FB">
              <w:rPr>
                <w:rFonts w:ascii="Times New Roman" w:hAnsi="Times New Roman"/>
                <w:lang w:eastAsia="sk-SK"/>
              </w:rPr>
              <w:t>Žiadne</w:t>
            </w:r>
          </w:p>
        </w:tc>
        <w:tc>
          <w:tcPr>
            <w:tcW w:w="547" w:type="dxa"/>
            <w:gridSpan w:val="2"/>
            <w:tcBorders>
              <w:left w:val="nil"/>
              <w:right w:val="nil"/>
            </w:tcBorders>
          </w:tcPr>
          <w:p w:rsidR="000F18FB" w:rsidRPr="000F18FB" w:rsidRDefault="000F18FB" w:rsidP="00B52D31">
            <w:pPr>
              <w:jc w:val="both"/>
              <w:rPr>
                <w:rFonts w:ascii="Times New Roman" w:hAnsi="Times New Roman"/>
                <w:lang w:eastAsia="sk-SK"/>
              </w:rPr>
            </w:pPr>
            <w:r w:rsidRPr="000F18FB">
              <w:rPr>
                <w:rFonts w:ascii="Segoe UI Symbol" w:eastAsia="MS Mincho" w:hAnsi="Segoe UI Symbol" w:cs="Segoe UI Symbol"/>
                <w:lang w:eastAsia="sk-SK"/>
              </w:rPr>
              <w:t>☐</w:t>
            </w:r>
          </w:p>
        </w:tc>
        <w:tc>
          <w:tcPr>
            <w:tcW w:w="1297" w:type="dxa"/>
            <w:tcBorders>
              <w:left w:val="nil"/>
            </w:tcBorders>
          </w:tcPr>
          <w:p w:rsidR="000F18FB" w:rsidRPr="000F18FB" w:rsidRDefault="000F18FB" w:rsidP="00B52D31">
            <w:pPr>
              <w:ind w:left="54"/>
              <w:jc w:val="both"/>
              <w:rPr>
                <w:rFonts w:ascii="Times New Roman" w:hAnsi="Times New Roman"/>
                <w:lang w:eastAsia="sk-SK"/>
              </w:rPr>
            </w:pPr>
            <w:r w:rsidRPr="000F18FB">
              <w:rPr>
                <w:rFonts w:ascii="Times New Roman" w:hAnsi="Times New Roman"/>
                <w:lang w:eastAsia="sk-SK"/>
              </w:rPr>
              <w:t>Negatívne</w:t>
            </w:r>
          </w:p>
        </w:tc>
      </w:tr>
      <w:tr w:rsidR="000F18FB" w:rsidRPr="000F18FB" w:rsidTr="007E5887">
        <w:tc>
          <w:tcPr>
            <w:tcW w:w="3812" w:type="dxa"/>
            <w:shd w:val="clear" w:color="auto" w:fill="E2E2E2"/>
          </w:tcPr>
          <w:p w:rsidR="000F18FB" w:rsidRPr="000F18FB" w:rsidRDefault="000F18FB" w:rsidP="00B52D31">
            <w:pPr>
              <w:jc w:val="both"/>
              <w:rPr>
                <w:rFonts w:ascii="Times New Roman" w:hAnsi="Times New Roman"/>
                <w:b/>
                <w:lang w:eastAsia="sk-SK"/>
              </w:rPr>
            </w:pPr>
            <w:r w:rsidRPr="000F18FB">
              <w:rPr>
                <w:rFonts w:ascii="Times New Roman" w:hAnsi="Times New Roman"/>
                <w:b/>
                <w:lang w:eastAsia="sk-SK"/>
              </w:rPr>
              <w:t>Vplyvy na informatizáciu</w:t>
            </w:r>
          </w:p>
        </w:tc>
        <w:tc>
          <w:tcPr>
            <w:tcW w:w="541" w:type="dxa"/>
            <w:gridSpan w:val="2"/>
            <w:tcBorders>
              <w:right w:val="nil"/>
            </w:tcBorders>
          </w:tcPr>
          <w:p w:rsidR="000F18FB" w:rsidRPr="000F18FB" w:rsidRDefault="000F18FB" w:rsidP="00B52D31">
            <w:pPr>
              <w:jc w:val="both"/>
              <w:rPr>
                <w:rFonts w:ascii="Times New Roman" w:hAnsi="Times New Roman"/>
                <w:lang w:eastAsia="sk-SK"/>
              </w:rPr>
            </w:pPr>
            <w:r w:rsidRPr="000F18FB">
              <w:rPr>
                <w:rFonts w:ascii="Segoe UI Symbol" w:eastAsia="MS Mincho" w:hAnsi="Segoe UI Symbol" w:cs="Segoe UI Symbol"/>
                <w:lang w:eastAsia="sk-SK"/>
              </w:rPr>
              <w:t>☒</w:t>
            </w:r>
          </w:p>
        </w:tc>
        <w:tc>
          <w:tcPr>
            <w:tcW w:w="1281" w:type="dxa"/>
            <w:gridSpan w:val="2"/>
            <w:tcBorders>
              <w:left w:val="nil"/>
              <w:right w:val="nil"/>
            </w:tcBorders>
          </w:tcPr>
          <w:p w:rsidR="000F18FB" w:rsidRPr="000F18FB" w:rsidRDefault="000F18FB" w:rsidP="00B52D31">
            <w:pPr>
              <w:ind w:right="-108"/>
              <w:jc w:val="both"/>
              <w:rPr>
                <w:rFonts w:ascii="Times New Roman" w:hAnsi="Times New Roman"/>
                <w:lang w:eastAsia="sk-SK"/>
              </w:rPr>
            </w:pPr>
            <w:r w:rsidRPr="000F18FB">
              <w:rPr>
                <w:rFonts w:ascii="Times New Roman" w:hAnsi="Times New Roman"/>
                <w:lang w:eastAsia="sk-SK"/>
              </w:rPr>
              <w:t>Pozitívne</w:t>
            </w:r>
          </w:p>
        </w:tc>
        <w:tc>
          <w:tcPr>
            <w:tcW w:w="569" w:type="dxa"/>
            <w:tcBorders>
              <w:left w:val="nil"/>
              <w:right w:val="nil"/>
            </w:tcBorders>
          </w:tcPr>
          <w:p w:rsidR="000F18FB" w:rsidRPr="000F18FB" w:rsidRDefault="000F18FB" w:rsidP="00B52D31">
            <w:pPr>
              <w:jc w:val="both"/>
              <w:rPr>
                <w:rFonts w:ascii="Times New Roman" w:hAnsi="Times New Roman"/>
                <w:lang w:eastAsia="sk-SK"/>
              </w:rPr>
            </w:pPr>
            <w:r w:rsidRPr="000F18FB">
              <w:rPr>
                <w:rFonts w:ascii="Segoe UI Symbol" w:eastAsia="MS Mincho" w:hAnsi="Segoe UI Symbol" w:cs="Segoe UI Symbol"/>
                <w:lang w:eastAsia="sk-SK"/>
              </w:rPr>
              <w:t>☐</w:t>
            </w:r>
          </w:p>
        </w:tc>
        <w:tc>
          <w:tcPr>
            <w:tcW w:w="1133" w:type="dxa"/>
            <w:tcBorders>
              <w:left w:val="nil"/>
              <w:right w:val="nil"/>
            </w:tcBorders>
          </w:tcPr>
          <w:p w:rsidR="000F18FB" w:rsidRPr="000F18FB" w:rsidRDefault="000F18FB" w:rsidP="00B52D31">
            <w:pPr>
              <w:jc w:val="both"/>
              <w:rPr>
                <w:rFonts w:ascii="Times New Roman" w:hAnsi="Times New Roman"/>
                <w:lang w:eastAsia="sk-SK"/>
              </w:rPr>
            </w:pPr>
            <w:r w:rsidRPr="000F18FB">
              <w:rPr>
                <w:rFonts w:ascii="Times New Roman" w:hAnsi="Times New Roman"/>
                <w:lang w:eastAsia="sk-SK"/>
              </w:rPr>
              <w:t>Žiadne</w:t>
            </w:r>
          </w:p>
        </w:tc>
        <w:tc>
          <w:tcPr>
            <w:tcW w:w="547" w:type="dxa"/>
            <w:gridSpan w:val="2"/>
            <w:tcBorders>
              <w:left w:val="nil"/>
              <w:right w:val="nil"/>
            </w:tcBorders>
          </w:tcPr>
          <w:p w:rsidR="000F18FB" w:rsidRPr="000F18FB" w:rsidRDefault="000F18FB" w:rsidP="00B52D31">
            <w:pPr>
              <w:jc w:val="both"/>
              <w:rPr>
                <w:rFonts w:ascii="Times New Roman" w:hAnsi="Times New Roman"/>
                <w:lang w:eastAsia="sk-SK"/>
              </w:rPr>
            </w:pPr>
            <w:r w:rsidRPr="000F18FB">
              <w:rPr>
                <w:rFonts w:ascii="Segoe UI Symbol" w:eastAsia="MS Mincho" w:hAnsi="Segoe UI Symbol" w:cs="Segoe UI Symbol"/>
                <w:lang w:eastAsia="sk-SK"/>
              </w:rPr>
              <w:t>☐</w:t>
            </w:r>
          </w:p>
        </w:tc>
        <w:tc>
          <w:tcPr>
            <w:tcW w:w="1297" w:type="dxa"/>
            <w:tcBorders>
              <w:left w:val="nil"/>
            </w:tcBorders>
          </w:tcPr>
          <w:p w:rsidR="000F18FB" w:rsidRPr="000F18FB" w:rsidRDefault="000F18FB" w:rsidP="00B52D31">
            <w:pPr>
              <w:ind w:left="54"/>
              <w:jc w:val="both"/>
              <w:rPr>
                <w:rFonts w:ascii="Times New Roman" w:hAnsi="Times New Roman"/>
                <w:lang w:eastAsia="sk-SK"/>
              </w:rPr>
            </w:pPr>
            <w:r w:rsidRPr="000F18FB">
              <w:rPr>
                <w:rFonts w:ascii="Times New Roman" w:hAnsi="Times New Roman"/>
                <w:lang w:eastAsia="sk-SK"/>
              </w:rPr>
              <w:t>Negatívne</w:t>
            </w:r>
          </w:p>
        </w:tc>
      </w:tr>
    </w:tbl>
    <w:tbl>
      <w:tblPr>
        <w:tblW w:w="926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
        <w:gridCol w:w="3698"/>
        <w:gridCol w:w="96"/>
        <w:gridCol w:w="559"/>
        <w:gridCol w:w="1199"/>
        <w:gridCol w:w="82"/>
        <w:gridCol w:w="569"/>
        <w:gridCol w:w="1133"/>
        <w:gridCol w:w="34"/>
        <w:gridCol w:w="513"/>
        <w:gridCol w:w="1205"/>
        <w:gridCol w:w="92"/>
      </w:tblGrid>
      <w:tr w:rsidR="000F18FB" w:rsidRPr="000F18FB" w:rsidTr="007E5887">
        <w:trPr>
          <w:gridBefore w:val="1"/>
          <w:wBefore w:w="84" w:type="dxa"/>
        </w:trPr>
        <w:tc>
          <w:tcPr>
            <w:tcW w:w="3794" w:type="dxa"/>
            <w:gridSpan w:val="2"/>
            <w:tcBorders>
              <w:bottom w:val="nil"/>
            </w:tcBorders>
            <w:shd w:val="clear" w:color="auto" w:fill="E2E2E2"/>
          </w:tcPr>
          <w:p w:rsidR="000F18FB" w:rsidRPr="000F18FB" w:rsidRDefault="000F18FB" w:rsidP="00B52D31">
            <w:pPr>
              <w:spacing w:after="0" w:line="240" w:lineRule="auto"/>
              <w:jc w:val="both"/>
              <w:rPr>
                <w:rFonts w:ascii="Times New Roman" w:eastAsia="Times New Roman" w:hAnsi="Times New Roman" w:cs="Times New Roman"/>
                <w:b/>
                <w:lang w:eastAsia="sk-SK"/>
              </w:rPr>
            </w:pPr>
            <w:r w:rsidRPr="000F18FB">
              <w:rPr>
                <w:rFonts w:ascii="Times New Roman" w:eastAsia="Times New Roman" w:hAnsi="Times New Roman" w:cs="Times New Roman"/>
                <w:b/>
              </w:rPr>
              <w:t xml:space="preserve">Vplyvy na služby verejnej správy pre občana, </w:t>
            </w:r>
            <w:r w:rsidRPr="000F18FB">
              <w:rPr>
                <w:rFonts w:ascii="Times New Roman" w:eastAsia="Times New Roman" w:hAnsi="Times New Roman" w:cs="Times New Roman"/>
              </w:rPr>
              <w:t>z toho</w:t>
            </w:r>
          </w:p>
        </w:tc>
        <w:tc>
          <w:tcPr>
            <w:tcW w:w="559" w:type="dxa"/>
            <w:tcBorders>
              <w:bottom w:val="nil"/>
              <w:right w:val="nil"/>
            </w:tcBorders>
          </w:tcPr>
          <w:p w:rsidR="000F18FB" w:rsidRPr="000F18FB" w:rsidRDefault="000F18FB" w:rsidP="00B52D31">
            <w:pPr>
              <w:spacing w:after="0" w:line="240" w:lineRule="auto"/>
              <w:jc w:val="both"/>
              <w:rPr>
                <w:rFonts w:ascii="Times New Roman" w:eastAsia="MS Mincho" w:hAnsi="Times New Roman" w:cs="Times New Roman"/>
                <w:b/>
                <w:lang w:eastAsia="sk-SK"/>
              </w:rPr>
            </w:pPr>
          </w:p>
        </w:tc>
        <w:tc>
          <w:tcPr>
            <w:tcW w:w="1281" w:type="dxa"/>
            <w:gridSpan w:val="2"/>
            <w:tcBorders>
              <w:left w:val="nil"/>
              <w:bottom w:val="nil"/>
              <w:right w:val="nil"/>
            </w:tcBorders>
          </w:tcPr>
          <w:p w:rsidR="000F18FB" w:rsidRPr="000F18FB" w:rsidRDefault="000F18FB" w:rsidP="00B52D31">
            <w:pPr>
              <w:spacing w:after="0" w:line="240" w:lineRule="auto"/>
              <w:ind w:right="-108"/>
              <w:jc w:val="both"/>
              <w:rPr>
                <w:rFonts w:ascii="Times New Roman" w:eastAsia="Times New Roman" w:hAnsi="Times New Roman" w:cs="Times New Roman"/>
                <w:b/>
                <w:lang w:eastAsia="sk-SK"/>
              </w:rPr>
            </w:pPr>
          </w:p>
        </w:tc>
        <w:tc>
          <w:tcPr>
            <w:tcW w:w="569" w:type="dxa"/>
            <w:tcBorders>
              <w:left w:val="nil"/>
              <w:bottom w:val="nil"/>
              <w:right w:val="nil"/>
            </w:tcBorders>
          </w:tcPr>
          <w:p w:rsidR="000F18FB" w:rsidRPr="000F18FB" w:rsidRDefault="000F18FB" w:rsidP="00B52D31">
            <w:pPr>
              <w:spacing w:after="0" w:line="240" w:lineRule="auto"/>
              <w:jc w:val="both"/>
              <w:rPr>
                <w:rFonts w:ascii="Times New Roman" w:eastAsia="MS Mincho" w:hAnsi="Times New Roman" w:cs="Times New Roman"/>
                <w:b/>
                <w:lang w:eastAsia="sk-SK"/>
              </w:rPr>
            </w:pPr>
          </w:p>
        </w:tc>
        <w:tc>
          <w:tcPr>
            <w:tcW w:w="1133" w:type="dxa"/>
            <w:tcBorders>
              <w:left w:val="nil"/>
              <w:bottom w:val="nil"/>
              <w:right w:val="nil"/>
            </w:tcBorders>
          </w:tcPr>
          <w:p w:rsidR="000F18FB" w:rsidRPr="000F18FB" w:rsidRDefault="000F18FB" w:rsidP="00B52D31">
            <w:pPr>
              <w:spacing w:after="0" w:line="240" w:lineRule="auto"/>
              <w:jc w:val="both"/>
              <w:rPr>
                <w:rFonts w:ascii="Times New Roman" w:eastAsia="Times New Roman" w:hAnsi="Times New Roman" w:cs="Times New Roman"/>
                <w:b/>
                <w:lang w:eastAsia="sk-SK"/>
              </w:rPr>
            </w:pPr>
          </w:p>
        </w:tc>
        <w:tc>
          <w:tcPr>
            <w:tcW w:w="547" w:type="dxa"/>
            <w:gridSpan w:val="2"/>
            <w:tcBorders>
              <w:left w:val="nil"/>
              <w:bottom w:val="nil"/>
              <w:right w:val="nil"/>
            </w:tcBorders>
          </w:tcPr>
          <w:p w:rsidR="000F18FB" w:rsidRPr="000F18FB" w:rsidRDefault="000F18FB" w:rsidP="00B52D31">
            <w:pPr>
              <w:spacing w:after="0" w:line="240" w:lineRule="auto"/>
              <w:jc w:val="both"/>
              <w:rPr>
                <w:rFonts w:ascii="Times New Roman" w:eastAsia="MS Mincho" w:hAnsi="Times New Roman" w:cs="Times New Roman"/>
                <w:b/>
                <w:lang w:eastAsia="sk-SK"/>
              </w:rPr>
            </w:pPr>
          </w:p>
        </w:tc>
        <w:tc>
          <w:tcPr>
            <w:tcW w:w="1297" w:type="dxa"/>
            <w:gridSpan w:val="2"/>
            <w:tcBorders>
              <w:left w:val="nil"/>
              <w:bottom w:val="nil"/>
            </w:tcBorders>
          </w:tcPr>
          <w:p w:rsidR="000F18FB" w:rsidRPr="000F18FB" w:rsidRDefault="000F18FB" w:rsidP="00B52D31">
            <w:pPr>
              <w:spacing w:after="0" w:line="240" w:lineRule="auto"/>
              <w:ind w:left="54"/>
              <w:jc w:val="both"/>
              <w:rPr>
                <w:rFonts w:ascii="Times New Roman" w:eastAsia="Times New Roman" w:hAnsi="Times New Roman" w:cs="Times New Roman"/>
                <w:b/>
                <w:lang w:eastAsia="sk-SK"/>
              </w:rPr>
            </w:pPr>
          </w:p>
        </w:tc>
      </w:tr>
      <w:tr w:rsidR="000F18FB" w:rsidRPr="000F18FB" w:rsidTr="007E5887">
        <w:trPr>
          <w:gridBefore w:val="1"/>
          <w:wBefore w:w="84" w:type="dxa"/>
        </w:trPr>
        <w:tc>
          <w:tcPr>
            <w:tcW w:w="3794" w:type="dxa"/>
            <w:gridSpan w:val="2"/>
            <w:tcBorders>
              <w:top w:val="nil"/>
              <w:bottom w:val="nil"/>
            </w:tcBorders>
            <w:shd w:val="clear" w:color="auto" w:fill="E2E2E2"/>
          </w:tcPr>
          <w:p w:rsidR="000F18FB" w:rsidRPr="000F18FB" w:rsidRDefault="000F18FB" w:rsidP="00B52D31">
            <w:pPr>
              <w:spacing w:after="0" w:line="240" w:lineRule="auto"/>
              <w:ind w:left="196" w:hanging="196"/>
              <w:jc w:val="both"/>
              <w:rPr>
                <w:rFonts w:ascii="Times New Roman" w:eastAsia="Times New Roman" w:hAnsi="Times New Roman" w:cs="Times New Roman"/>
              </w:rPr>
            </w:pPr>
            <w:r w:rsidRPr="000F18FB">
              <w:rPr>
                <w:rFonts w:ascii="Times New Roman" w:eastAsia="Times New Roman" w:hAnsi="Times New Roman" w:cs="Times New Roman"/>
              </w:rPr>
              <w:t xml:space="preserve">    vplyvy služieb verejnej správy na občana</w:t>
            </w:r>
          </w:p>
        </w:tc>
        <w:tc>
          <w:tcPr>
            <w:tcW w:w="559" w:type="dxa"/>
            <w:tcBorders>
              <w:top w:val="nil"/>
              <w:bottom w:val="nil"/>
              <w:right w:val="nil"/>
            </w:tcBorders>
          </w:tcPr>
          <w:p w:rsidR="000F18FB" w:rsidRPr="000F18FB" w:rsidRDefault="000F18FB" w:rsidP="00B52D31">
            <w:pPr>
              <w:spacing w:after="0" w:line="240" w:lineRule="auto"/>
              <w:jc w:val="both"/>
              <w:rPr>
                <w:rFonts w:ascii="Times New Roman" w:eastAsia="Times New Roman" w:hAnsi="Times New Roman" w:cs="Times New Roman"/>
                <w:lang w:eastAsia="sk-SK"/>
              </w:rPr>
            </w:pPr>
            <w:r w:rsidRPr="000F18FB">
              <w:rPr>
                <w:rFonts w:ascii="Segoe UI Symbol" w:eastAsia="MS Mincho" w:hAnsi="Segoe UI Symbol" w:cs="Segoe UI Symbol"/>
                <w:lang w:eastAsia="sk-SK"/>
              </w:rPr>
              <w:t>☐</w:t>
            </w:r>
          </w:p>
        </w:tc>
        <w:tc>
          <w:tcPr>
            <w:tcW w:w="1281" w:type="dxa"/>
            <w:gridSpan w:val="2"/>
            <w:tcBorders>
              <w:top w:val="nil"/>
              <w:left w:val="nil"/>
              <w:bottom w:val="nil"/>
              <w:right w:val="nil"/>
            </w:tcBorders>
          </w:tcPr>
          <w:p w:rsidR="000F18FB" w:rsidRPr="000F18FB" w:rsidRDefault="000F18FB" w:rsidP="00B52D31">
            <w:pPr>
              <w:spacing w:after="0" w:line="240" w:lineRule="auto"/>
              <w:ind w:right="-108"/>
              <w:jc w:val="both"/>
              <w:rPr>
                <w:rFonts w:ascii="Times New Roman" w:eastAsia="Times New Roman" w:hAnsi="Times New Roman" w:cs="Times New Roman"/>
                <w:lang w:eastAsia="sk-SK"/>
              </w:rPr>
            </w:pPr>
            <w:r w:rsidRPr="000F18FB">
              <w:rPr>
                <w:rFonts w:ascii="Times New Roman" w:eastAsia="Times New Roman" w:hAnsi="Times New Roman" w:cs="Times New Roman"/>
                <w:lang w:eastAsia="sk-SK"/>
              </w:rPr>
              <w:t>Pozitívne</w:t>
            </w:r>
          </w:p>
        </w:tc>
        <w:tc>
          <w:tcPr>
            <w:tcW w:w="569" w:type="dxa"/>
            <w:tcBorders>
              <w:top w:val="nil"/>
              <w:left w:val="nil"/>
              <w:bottom w:val="nil"/>
              <w:right w:val="nil"/>
            </w:tcBorders>
          </w:tcPr>
          <w:p w:rsidR="000F18FB" w:rsidRPr="000F18FB" w:rsidRDefault="000F18FB" w:rsidP="00B52D31">
            <w:pPr>
              <w:spacing w:after="0" w:line="240" w:lineRule="auto"/>
              <w:jc w:val="both"/>
              <w:rPr>
                <w:rFonts w:ascii="Times New Roman" w:eastAsia="Times New Roman" w:hAnsi="Times New Roman" w:cs="Times New Roman"/>
                <w:lang w:eastAsia="sk-SK"/>
              </w:rPr>
            </w:pPr>
            <w:r w:rsidRPr="000F18FB">
              <w:rPr>
                <w:rFonts w:ascii="Segoe UI Symbol" w:eastAsia="MS Mincho" w:hAnsi="Segoe UI Symbol" w:cs="Segoe UI Symbol"/>
                <w:lang w:eastAsia="sk-SK"/>
              </w:rPr>
              <w:t>☒</w:t>
            </w:r>
          </w:p>
        </w:tc>
        <w:tc>
          <w:tcPr>
            <w:tcW w:w="1133" w:type="dxa"/>
            <w:tcBorders>
              <w:top w:val="nil"/>
              <w:left w:val="nil"/>
              <w:bottom w:val="nil"/>
              <w:right w:val="nil"/>
            </w:tcBorders>
          </w:tcPr>
          <w:p w:rsidR="000F18FB" w:rsidRPr="000F18FB" w:rsidRDefault="000F18FB" w:rsidP="00B52D31">
            <w:pPr>
              <w:spacing w:after="0" w:line="240" w:lineRule="auto"/>
              <w:jc w:val="both"/>
              <w:rPr>
                <w:rFonts w:ascii="Times New Roman" w:eastAsia="Times New Roman" w:hAnsi="Times New Roman" w:cs="Times New Roman"/>
                <w:lang w:eastAsia="sk-SK"/>
              </w:rPr>
            </w:pPr>
            <w:r w:rsidRPr="000F18FB">
              <w:rPr>
                <w:rFonts w:ascii="Times New Roman" w:eastAsia="Times New Roman" w:hAnsi="Times New Roman" w:cs="Times New Roman"/>
                <w:lang w:eastAsia="sk-SK"/>
              </w:rPr>
              <w:t>Žiadne</w:t>
            </w:r>
          </w:p>
        </w:tc>
        <w:tc>
          <w:tcPr>
            <w:tcW w:w="547" w:type="dxa"/>
            <w:gridSpan w:val="2"/>
            <w:tcBorders>
              <w:top w:val="nil"/>
              <w:left w:val="nil"/>
              <w:bottom w:val="nil"/>
              <w:right w:val="nil"/>
            </w:tcBorders>
          </w:tcPr>
          <w:p w:rsidR="000F18FB" w:rsidRPr="000F18FB" w:rsidRDefault="000F18FB" w:rsidP="00B52D31">
            <w:pPr>
              <w:spacing w:after="0" w:line="240" w:lineRule="auto"/>
              <w:jc w:val="both"/>
              <w:rPr>
                <w:rFonts w:ascii="Times New Roman" w:eastAsia="Times New Roman" w:hAnsi="Times New Roman" w:cs="Times New Roman"/>
                <w:lang w:eastAsia="sk-SK"/>
              </w:rPr>
            </w:pPr>
            <w:r w:rsidRPr="000F18FB">
              <w:rPr>
                <w:rFonts w:ascii="Segoe UI Symbol" w:eastAsia="MS Mincho" w:hAnsi="Segoe UI Symbol" w:cs="Segoe UI Symbol"/>
                <w:lang w:eastAsia="sk-SK"/>
              </w:rPr>
              <w:t>☐</w:t>
            </w:r>
          </w:p>
        </w:tc>
        <w:tc>
          <w:tcPr>
            <w:tcW w:w="1297" w:type="dxa"/>
            <w:gridSpan w:val="2"/>
            <w:tcBorders>
              <w:top w:val="nil"/>
              <w:left w:val="nil"/>
              <w:bottom w:val="nil"/>
            </w:tcBorders>
          </w:tcPr>
          <w:p w:rsidR="000F18FB" w:rsidRPr="000F18FB" w:rsidRDefault="000F18FB" w:rsidP="00B52D31">
            <w:pPr>
              <w:spacing w:after="0" w:line="240" w:lineRule="auto"/>
              <w:ind w:left="54"/>
              <w:jc w:val="both"/>
              <w:rPr>
                <w:rFonts w:ascii="Times New Roman" w:eastAsia="Times New Roman" w:hAnsi="Times New Roman" w:cs="Times New Roman"/>
                <w:lang w:eastAsia="sk-SK"/>
              </w:rPr>
            </w:pPr>
            <w:r w:rsidRPr="000F18FB">
              <w:rPr>
                <w:rFonts w:ascii="Times New Roman" w:eastAsia="Times New Roman" w:hAnsi="Times New Roman" w:cs="Times New Roman"/>
                <w:lang w:eastAsia="sk-SK"/>
              </w:rPr>
              <w:t>Negatívne</w:t>
            </w:r>
          </w:p>
        </w:tc>
      </w:tr>
      <w:tr w:rsidR="000F18FB" w:rsidRPr="000F18FB" w:rsidTr="007E5887">
        <w:trPr>
          <w:gridBefore w:val="1"/>
          <w:wBefore w:w="84" w:type="dxa"/>
        </w:trPr>
        <w:tc>
          <w:tcPr>
            <w:tcW w:w="3794" w:type="dxa"/>
            <w:gridSpan w:val="2"/>
            <w:tcBorders>
              <w:top w:val="nil"/>
            </w:tcBorders>
            <w:shd w:val="clear" w:color="auto" w:fill="E2E2E2"/>
          </w:tcPr>
          <w:p w:rsidR="000F18FB" w:rsidRPr="000F18FB" w:rsidRDefault="000F18FB" w:rsidP="00B52D31">
            <w:pPr>
              <w:spacing w:after="0" w:line="240" w:lineRule="auto"/>
              <w:ind w:left="168" w:hanging="168"/>
              <w:jc w:val="both"/>
              <w:rPr>
                <w:rFonts w:ascii="Times New Roman" w:eastAsia="Times New Roman" w:hAnsi="Times New Roman" w:cs="Times New Roman"/>
              </w:rPr>
            </w:pPr>
            <w:r w:rsidRPr="000F18FB">
              <w:rPr>
                <w:rFonts w:ascii="Times New Roman" w:eastAsia="Times New Roman" w:hAnsi="Times New Roman" w:cs="Times New Roman"/>
              </w:rPr>
              <w:t xml:space="preserve">    vplyvy na procesy služieb vo verejnej správe</w:t>
            </w:r>
          </w:p>
        </w:tc>
        <w:tc>
          <w:tcPr>
            <w:tcW w:w="559" w:type="dxa"/>
            <w:tcBorders>
              <w:top w:val="nil"/>
              <w:right w:val="nil"/>
            </w:tcBorders>
          </w:tcPr>
          <w:p w:rsidR="000F18FB" w:rsidRPr="000F18FB" w:rsidRDefault="000F18FB" w:rsidP="00B52D31">
            <w:pPr>
              <w:spacing w:after="0" w:line="240" w:lineRule="auto"/>
              <w:jc w:val="both"/>
              <w:rPr>
                <w:rFonts w:ascii="Times New Roman" w:eastAsia="Times New Roman" w:hAnsi="Times New Roman" w:cs="Times New Roman"/>
                <w:lang w:eastAsia="sk-SK"/>
              </w:rPr>
            </w:pPr>
            <w:r w:rsidRPr="000F18FB">
              <w:rPr>
                <w:rFonts w:ascii="Segoe UI Symbol" w:eastAsia="MS Mincho" w:hAnsi="Segoe UI Symbol" w:cs="Segoe UI Symbol"/>
                <w:lang w:eastAsia="sk-SK"/>
              </w:rPr>
              <w:t>☐</w:t>
            </w:r>
          </w:p>
        </w:tc>
        <w:tc>
          <w:tcPr>
            <w:tcW w:w="1281" w:type="dxa"/>
            <w:gridSpan w:val="2"/>
            <w:tcBorders>
              <w:top w:val="nil"/>
              <w:left w:val="nil"/>
              <w:right w:val="nil"/>
            </w:tcBorders>
          </w:tcPr>
          <w:p w:rsidR="000F18FB" w:rsidRPr="000F18FB" w:rsidRDefault="000F18FB" w:rsidP="00B52D31">
            <w:pPr>
              <w:spacing w:after="0" w:line="240" w:lineRule="auto"/>
              <w:ind w:right="-108"/>
              <w:jc w:val="both"/>
              <w:rPr>
                <w:rFonts w:ascii="Times New Roman" w:eastAsia="Times New Roman" w:hAnsi="Times New Roman" w:cs="Times New Roman"/>
                <w:lang w:eastAsia="sk-SK"/>
              </w:rPr>
            </w:pPr>
            <w:r w:rsidRPr="000F18FB">
              <w:rPr>
                <w:rFonts w:ascii="Times New Roman" w:eastAsia="Times New Roman" w:hAnsi="Times New Roman" w:cs="Times New Roman"/>
                <w:lang w:eastAsia="sk-SK"/>
              </w:rPr>
              <w:t>Pozitívne</w:t>
            </w:r>
          </w:p>
        </w:tc>
        <w:tc>
          <w:tcPr>
            <w:tcW w:w="569" w:type="dxa"/>
            <w:tcBorders>
              <w:top w:val="nil"/>
              <w:left w:val="nil"/>
              <w:right w:val="nil"/>
            </w:tcBorders>
          </w:tcPr>
          <w:p w:rsidR="000F18FB" w:rsidRPr="000F18FB" w:rsidRDefault="000F18FB" w:rsidP="00B52D31">
            <w:pPr>
              <w:spacing w:after="0" w:line="240" w:lineRule="auto"/>
              <w:jc w:val="both"/>
              <w:rPr>
                <w:rFonts w:ascii="Times New Roman" w:eastAsia="Times New Roman" w:hAnsi="Times New Roman" w:cs="Times New Roman"/>
                <w:lang w:eastAsia="sk-SK"/>
              </w:rPr>
            </w:pPr>
            <w:r w:rsidRPr="000F18FB">
              <w:rPr>
                <w:rFonts w:ascii="Segoe UI Symbol" w:eastAsia="MS Mincho" w:hAnsi="Segoe UI Symbol" w:cs="Segoe UI Symbol"/>
                <w:lang w:eastAsia="sk-SK"/>
              </w:rPr>
              <w:t>☒</w:t>
            </w:r>
          </w:p>
        </w:tc>
        <w:tc>
          <w:tcPr>
            <w:tcW w:w="1133" w:type="dxa"/>
            <w:tcBorders>
              <w:top w:val="nil"/>
              <w:left w:val="nil"/>
              <w:right w:val="nil"/>
            </w:tcBorders>
          </w:tcPr>
          <w:p w:rsidR="000F18FB" w:rsidRPr="000F18FB" w:rsidRDefault="000F18FB" w:rsidP="00B52D31">
            <w:pPr>
              <w:spacing w:after="0" w:line="240" w:lineRule="auto"/>
              <w:jc w:val="both"/>
              <w:rPr>
                <w:rFonts w:ascii="Times New Roman" w:eastAsia="Times New Roman" w:hAnsi="Times New Roman" w:cs="Times New Roman"/>
                <w:lang w:eastAsia="sk-SK"/>
              </w:rPr>
            </w:pPr>
            <w:r w:rsidRPr="000F18FB">
              <w:rPr>
                <w:rFonts w:ascii="Times New Roman" w:eastAsia="Times New Roman" w:hAnsi="Times New Roman" w:cs="Times New Roman"/>
                <w:lang w:eastAsia="sk-SK"/>
              </w:rPr>
              <w:t>Žiadne</w:t>
            </w:r>
          </w:p>
        </w:tc>
        <w:tc>
          <w:tcPr>
            <w:tcW w:w="547" w:type="dxa"/>
            <w:gridSpan w:val="2"/>
            <w:tcBorders>
              <w:top w:val="nil"/>
              <w:left w:val="nil"/>
              <w:right w:val="nil"/>
            </w:tcBorders>
          </w:tcPr>
          <w:p w:rsidR="000F18FB" w:rsidRPr="000F18FB" w:rsidRDefault="000F18FB" w:rsidP="00B52D31">
            <w:pPr>
              <w:spacing w:after="0" w:line="240" w:lineRule="auto"/>
              <w:jc w:val="both"/>
              <w:rPr>
                <w:rFonts w:ascii="Times New Roman" w:eastAsia="Times New Roman" w:hAnsi="Times New Roman" w:cs="Times New Roman"/>
                <w:lang w:eastAsia="sk-SK"/>
              </w:rPr>
            </w:pPr>
            <w:r w:rsidRPr="000F18FB">
              <w:rPr>
                <w:rFonts w:ascii="Segoe UI Symbol" w:eastAsia="MS Mincho" w:hAnsi="Segoe UI Symbol" w:cs="Segoe UI Symbol"/>
                <w:lang w:eastAsia="sk-SK"/>
              </w:rPr>
              <w:t>☐</w:t>
            </w:r>
          </w:p>
        </w:tc>
        <w:tc>
          <w:tcPr>
            <w:tcW w:w="1297" w:type="dxa"/>
            <w:gridSpan w:val="2"/>
            <w:tcBorders>
              <w:top w:val="nil"/>
              <w:left w:val="nil"/>
            </w:tcBorders>
          </w:tcPr>
          <w:p w:rsidR="000F18FB" w:rsidRPr="000F18FB" w:rsidRDefault="000F18FB" w:rsidP="00B52D31">
            <w:pPr>
              <w:spacing w:after="0" w:line="240" w:lineRule="auto"/>
              <w:ind w:left="54"/>
              <w:jc w:val="both"/>
              <w:rPr>
                <w:rFonts w:ascii="Times New Roman" w:eastAsia="Times New Roman" w:hAnsi="Times New Roman" w:cs="Times New Roman"/>
                <w:lang w:eastAsia="sk-SK"/>
              </w:rPr>
            </w:pPr>
            <w:r w:rsidRPr="000F18FB">
              <w:rPr>
                <w:rFonts w:ascii="Times New Roman" w:eastAsia="Times New Roman" w:hAnsi="Times New Roman" w:cs="Times New Roman"/>
                <w:lang w:eastAsia="sk-SK"/>
              </w:rPr>
              <w:t>Negatívne</w:t>
            </w:r>
          </w:p>
        </w:tc>
      </w:tr>
      <w:tr w:rsidR="000F18FB" w:rsidRPr="000F18FB" w:rsidTr="007E5887">
        <w:tblPrEx>
          <w:jc w:val="center"/>
          <w:tblInd w:w="0" w:type="dxa"/>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tblCellMar>
            <w:left w:w="0" w:type="dxa"/>
            <w:right w:w="0" w:type="dxa"/>
          </w:tblCellMar>
        </w:tblPrEx>
        <w:trPr>
          <w:gridAfter w:val="1"/>
          <w:wAfter w:w="92" w:type="dxa"/>
          <w:trHeight w:val="270"/>
          <w:jc w:val="center"/>
        </w:trPr>
        <w:tc>
          <w:tcPr>
            <w:tcW w:w="3782"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0F18FB" w:rsidRPr="000F18FB" w:rsidRDefault="000F18FB" w:rsidP="00B52D31">
            <w:pPr>
              <w:spacing w:after="0" w:line="240" w:lineRule="auto"/>
              <w:ind w:left="90"/>
              <w:jc w:val="both"/>
              <w:rPr>
                <w:rFonts w:ascii="Times New Roman" w:eastAsia="Times New Roman" w:hAnsi="Times New Roman" w:cs="Times New Roman"/>
                <w:sz w:val="20"/>
                <w:szCs w:val="20"/>
                <w:lang w:eastAsia="sk-SK"/>
              </w:rPr>
            </w:pPr>
            <w:r w:rsidRPr="000F18FB">
              <w:rPr>
                <w:rFonts w:ascii="Times New Roman" w:eastAsia="Times New Roman" w:hAnsi="Times New Roman" w:cs="Times New Roman"/>
                <w:b/>
                <w:bCs/>
                <w:szCs w:val="20"/>
                <w:lang w:eastAsia="sk-SK"/>
              </w:rPr>
              <w:t xml:space="preserve">Vplyvy na manželstvo, rodičovstvo a rodinu </w:t>
            </w:r>
          </w:p>
        </w:tc>
        <w:tc>
          <w:tcPr>
            <w:tcW w:w="1854" w:type="dxa"/>
            <w:gridSpan w:val="3"/>
            <w:tcBorders>
              <w:top w:val="single" w:sz="4" w:space="0" w:color="auto"/>
              <w:left w:val="single" w:sz="4" w:space="0" w:color="auto"/>
              <w:bottom w:val="single" w:sz="4" w:space="0" w:color="auto"/>
              <w:right w:val="nil"/>
            </w:tcBorders>
            <w:vAlign w:val="center"/>
            <w:hideMark/>
          </w:tcPr>
          <w:p w:rsidR="000F18FB" w:rsidRPr="000F18FB" w:rsidRDefault="000F18FB" w:rsidP="00B52D31">
            <w:pPr>
              <w:spacing w:after="0" w:line="240" w:lineRule="auto"/>
              <w:jc w:val="both"/>
              <w:rPr>
                <w:rFonts w:ascii="Times New Roman" w:eastAsia="Times New Roman" w:hAnsi="Times New Roman" w:cs="Times New Roman"/>
                <w:lang w:eastAsia="sk-SK"/>
              </w:rPr>
            </w:pPr>
            <w:r w:rsidRPr="000F18FB">
              <w:rPr>
                <w:rFonts w:ascii="Times New Roman" w:eastAsia="Times New Roman" w:hAnsi="Times New Roman" w:cs="Times New Roman"/>
                <w:lang w:eastAsia="sk-SK"/>
              </w:rPr>
              <w:t xml:space="preserve">  </w:t>
            </w:r>
            <w:r w:rsidRPr="000F18FB">
              <w:rPr>
                <w:rFonts w:ascii="Segoe UI Symbol" w:eastAsia="MS Mincho" w:hAnsi="Segoe UI Symbol" w:cs="Segoe UI Symbol"/>
                <w:lang w:eastAsia="sk-SK"/>
              </w:rPr>
              <w:t>☐</w:t>
            </w:r>
            <w:r w:rsidRPr="000F18FB">
              <w:rPr>
                <w:rFonts w:ascii="Times New Roman" w:eastAsia="Times New Roman" w:hAnsi="Times New Roman" w:cs="Times New Roman"/>
                <w:lang w:eastAsia="sk-SK"/>
              </w:rPr>
              <w:t xml:space="preserve">     Pozitívne</w:t>
            </w:r>
          </w:p>
        </w:tc>
        <w:tc>
          <w:tcPr>
            <w:tcW w:w="1818" w:type="dxa"/>
            <w:gridSpan w:val="4"/>
            <w:tcBorders>
              <w:top w:val="single" w:sz="4" w:space="0" w:color="auto"/>
              <w:left w:val="nil"/>
              <w:bottom w:val="single" w:sz="4" w:space="0" w:color="auto"/>
              <w:right w:val="nil"/>
            </w:tcBorders>
            <w:vAlign w:val="center"/>
            <w:hideMark/>
          </w:tcPr>
          <w:p w:rsidR="000F18FB" w:rsidRPr="000F18FB" w:rsidRDefault="000F18FB" w:rsidP="00B52D31">
            <w:pPr>
              <w:spacing w:after="0" w:line="240" w:lineRule="auto"/>
              <w:jc w:val="both"/>
              <w:rPr>
                <w:rFonts w:ascii="Times New Roman" w:eastAsia="Times New Roman" w:hAnsi="Times New Roman" w:cs="Times New Roman"/>
                <w:lang w:eastAsia="sk-SK"/>
              </w:rPr>
            </w:pPr>
            <w:r w:rsidRPr="000F18FB">
              <w:rPr>
                <w:rFonts w:ascii="Times New Roman" w:eastAsia="Times New Roman" w:hAnsi="Times New Roman" w:cs="Times New Roman"/>
                <w:lang w:eastAsia="sk-SK"/>
              </w:rPr>
              <w:t xml:space="preserve">   </w:t>
            </w:r>
            <w:r w:rsidRPr="000F18FB">
              <w:rPr>
                <w:rFonts w:ascii="Segoe UI Symbol" w:eastAsia="MS Mincho" w:hAnsi="Segoe UI Symbol" w:cs="Segoe UI Symbol"/>
                <w:lang w:eastAsia="sk-SK"/>
              </w:rPr>
              <w:t>☒</w:t>
            </w:r>
            <w:r w:rsidRPr="000F18FB">
              <w:rPr>
                <w:rFonts w:ascii="Times New Roman" w:eastAsia="MS Mincho" w:hAnsi="Times New Roman" w:cs="Times New Roman"/>
                <w:lang w:eastAsia="sk-SK"/>
              </w:rPr>
              <w:t xml:space="preserve">    </w:t>
            </w:r>
            <w:r w:rsidRPr="000F18FB">
              <w:rPr>
                <w:rFonts w:ascii="Times New Roman" w:eastAsia="Times New Roman" w:hAnsi="Times New Roman" w:cs="Times New Roman"/>
                <w:lang w:eastAsia="sk-SK"/>
              </w:rPr>
              <w:t>Žiadne</w:t>
            </w:r>
          </w:p>
        </w:tc>
        <w:tc>
          <w:tcPr>
            <w:tcW w:w="1718" w:type="dxa"/>
            <w:gridSpan w:val="2"/>
            <w:tcBorders>
              <w:top w:val="single" w:sz="4" w:space="0" w:color="auto"/>
              <w:left w:val="nil"/>
              <w:bottom w:val="single" w:sz="4" w:space="0" w:color="auto"/>
              <w:right w:val="single" w:sz="4" w:space="0" w:color="auto"/>
            </w:tcBorders>
            <w:vAlign w:val="center"/>
            <w:hideMark/>
          </w:tcPr>
          <w:p w:rsidR="000F18FB" w:rsidRPr="000F18FB" w:rsidRDefault="000F18FB" w:rsidP="00B52D31">
            <w:pPr>
              <w:spacing w:after="0" w:line="240" w:lineRule="auto"/>
              <w:jc w:val="both"/>
              <w:rPr>
                <w:rFonts w:ascii="Times New Roman" w:eastAsia="Times New Roman" w:hAnsi="Times New Roman" w:cs="Times New Roman"/>
                <w:lang w:eastAsia="sk-SK"/>
              </w:rPr>
            </w:pPr>
            <w:r w:rsidRPr="000F18FB">
              <w:rPr>
                <w:rFonts w:ascii="Times New Roman" w:eastAsia="Times New Roman" w:hAnsi="Times New Roman" w:cs="Times New Roman"/>
                <w:lang w:eastAsia="sk-SK"/>
              </w:rPr>
              <w:t> </w:t>
            </w:r>
            <w:r w:rsidRPr="000F18FB">
              <w:rPr>
                <w:rFonts w:ascii="Segoe UI Symbol" w:eastAsia="MS Mincho" w:hAnsi="Segoe UI Symbol" w:cs="Segoe UI Symbol"/>
                <w:lang w:eastAsia="sk-SK"/>
              </w:rPr>
              <w:t>☐</w:t>
            </w:r>
            <w:r w:rsidRPr="000F18FB">
              <w:rPr>
                <w:rFonts w:ascii="Times New Roman" w:eastAsia="Times New Roman" w:hAnsi="Times New Roman" w:cs="Times New Roman"/>
                <w:lang w:eastAsia="sk-SK"/>
              </w:rPr>
              <w:t>     Negatívne</w:t>
            </w:r>
          </w:p>
        </w:tc>
      </w:tr>
    </w:tbl>
    <w:p w:rsidR="000F18FB" w:rsidRPr="000F18FB" w:rsidRDefault="000F18FB" w:rsidP="00B52D31">
      <w:pPr>
        <w:spacing w:after="0" w:line="240" w:lineRule="auto"/>
        <w:ind w:right="141"/>
        <w:jc w:val="both"/>
        <w:rPr>
          <w:rFonts w:ascii="Times New Roman" w:eastAsia="Times New Roman" w:hAnsi="Times New Roman" w:cs="Times New Roman"/>
          <w:b/>
          <w:highlight w:val="cyan"/>
          <w:lang w:eastAsia="sk-SK"/>
        </w:rPr>
      </w:pPr>
    </w:p>
    <w:tbl>
      <w:tblPr>
        <w:tblStyle w:val="Mriekatabuky"/>
        <w:tblW w:w="9176" w:type="dxa"/>
        <w:tblLayout w:type="fixed"/>
        <w:tblLook w:val="04A0" w:firstRow="1" w:lastRow="0" w:firstColumn="1" w:lastColumn="0" w:noHBand="0" w:noVBand="1"/>
      </w:tblPr>
      <w:tblGrid>
        <w:gridCol w:w="9176"/>
      </w:tblGrid>
      <w:tr w:rsidR="000F18FB" w:rsidRPr="000F18FB" w:rsidTr="007E5887">
        <w:tc>
          <w:tcPr>
            <w:tcW w:w="9176" w:type="dxa"/>
            <w:tcBorders>
              <w:bottom w:val="nil"/>
            </w:tcBorders>
            <w:shd w:val="clear" w:color="auto" w:fill="E2E2E2"/>
          </w:tcPr>
          <w:p w:rsidR="000F18FB" w:rsidRPr="000F18FB" w:rsidRDefault="000F18FB" w:rsidP="00B52D31">
            <w:pPr>
              <w:numPr>
                <w:ilvl w:val="0"/>
                <w:numId w:val="16"/>
              </w:numPr>
              <w:ind w:left="426"/>
              <w:contextualSpacing/>
              <w:jc w:val="both"/>
              <w:rPr>
                <w:rFonts w:ascii="Times New Roman" w:hAnsi="Times New Roman"/>
                <w:b/>
              </w:rPr>
            </w:pPr>
            <w:r w:rsidRPr="000F18FB">
              <w:rPr>
                <w:rFonts w:ascii="Times New Roman" w:hAnsi="Times New Roman"/>
                <w:b/>
              </w:rPr>
              <w:t>Poznámky</w:t>
            </w:r>
          </w:p>
        </w:tc>
      </w:tr>
      <w:tr w:rsidR="000F18FB" w:rsidRPr="000F18FB" w:rsidTr="000F18FB">
        <w:trPr>
          <w:trHeight w:val="402"/>
        </w:trPr>
        <w:tc>
          <w:tcPr>
            <w:tcW w:w="9176" w:type="dxa"/>
            <w:tcBorders>
              <w:top w:val="nil"/>
              <w:bottom w:val="single" w:sz="4" w:space="0" w:color="FFFFFF"/>
            </w:tcBorders>
          </w:tcPr>
          <w:p w:rsidR="000F18FB" w:rsidRPr="000F18FB" w:rsidRDefault="000F18FB" w:rsidP="00B52D31">
            <w:pPr>
              <w:jc w:val="both"/>
              <w:rPr>
                <w:rFonts w:ascii="Times New Roman" w:hAnsi="Times New Roman"/>
                <w:lang w:eastAsia="sk-SK"/>
              </w:rPr>
            </w:pPr>
            <w:r w:rsidRPr="000F18FB">
              <w:rPr>
                <w:rFonts w:ascii="Times New Roman" w:hAnsi="Times New Roman"/>
                <w:lang w:eastAsia="sk-SK"/>
              </w:rPr>
              <w:t>Analýza vplyvov na rozpočet verejnej správy, analýza vplyvov na podnikateľské prostredie a analýza vplyvov na informatizáciu je vypracovaná v samostatnej prílohe. Ostatné vplyvy sa nepredpokladajú.</w:t>
            </w:r>
          </w:p>
          <w:p w:rsidR="000F18FB" w:rsidRPr="000F18FB" w:rsidRDefault="000F18FB" w:rsidP="00B52D31">
            <w:pPr>
              <w:jc w:val="both"/>
              <w:rPr>
                <w:rFonts w:ascii="Times New Roman" w:hAnsi="Times New Roman"/>
                <w:lang w:eastAsia="sk-SK"/>
              </w:rPr>
            </w:pPr>
            <w:r w:rsidRPr="000F18FB">
              <w:rPr>
                <w:rFonts w:ascii="Times New Roman" w:hAnsi="Times New Roman"/>
                <w:lang w:eastAsia="sk-SK"/>
              </w:rPr>
              <w:t xml:space="preserve">Analýza sociálnych vplyvov nebola vypracovaná samostatne, pretože predkladateľ má za to, že tieto vplyvy sú minimálne. Pri zrušení platnosti osvedčenia o evidencii časť I síce pôjde o pozitívny vplyv pre každého prevádzkovateľa vozidla, keďže po uplynutí platnosti nebude musieť absolvovať výmenu tohto dokladu, ktorá je spojená aj s úhradou správneho poplatku. Ale keďže tento vplyv je minimálny a nie je možné vplyv na prevádzkovateľa vozidla prepojiť s hospodárením domácností, nebola vypracovaná analýza sociálnych vplyvov samostatne. Pri úprave správnych poplatkov nepredpokladáme žiadne vplyvy na hospodárenie domácnosti. So zrušením povinnej certifikácie autorizovaných opravovní a nezávislých opravovní nepredpokladáme žiadne vplyvy na hospodárenie domácností. So vznikom cca 30 staníc technickej kontroly predpokladáme pozitívne sociálne vplyvy </w:t>
            </w:r>
            <w:r w:rsidRPr="000F18FB">
              <w:rPr>
                <w:rFonts w:ascii="Times New Roman" w:hAnsi="Times New Roman"/>
                <w:lang w:eastAsia="sk-SK"/>
              </w:rPr>
              <w:lastRenderedPageBreak/>
              <w:t>pre prevádzkovateľov vozidiel, ktoré spočívajú v tom, že táto služba bude dostupnejšia pre prevádzkovateľov vozidiel a zvýšením konkurencie sa zvýši aj kvalita ponúkaných služieb. Ale keďže tento vplyv je minimálny a nie je možné vplyv na prevádzkovateľa vozidla prepojiť s hospodárením domácností, nebola vypracovaná analýza sociálnych vplyvov samostatne.</w:t>
            </w:r>
          </w:p>
          <w:p w:rsidR="000F18FB" w:rsidRPr="000F18FB" w:rsidRDefault="000F18FB" w:rsidP="00B52D31">
            <w:pPr>
              <w:jc w:val="both"/>
              <w:rPr>
                <w:rFonts w:ascii="Times New Roman" w:hAnsi="Times New Roman"/>
                <w:lang w:eastAsia="sk-SK"/>
              </w:rPr>
            </w:pPr>
            <w:r w:rsidRPr="000F18FB">
              <w:rPr>
                <w:rFonts w:ascii="Times New Roman" w:hAnsi="Times New Roman"/>
                <w:lang w:eastAsia="sk-SK"/>
              </w:rPr>
              <w:t>Pri vplyvoch na životné prostredie, na informatizáciu, na služby verejnej správy pre občana a na manželstvo, rodičovstvo a rodinu neboli identifikované žiadne vplyvy, preto predkladateľ nevypracoval samostatné analýzy.</w:t>
            </w:r>
          </w:p>
        </w:tc>
      </w:tr>
      <w:tr w:rsidR="000F18FB" w:rsidRPr="000F18FB" w:rsidTr="000F18FB">
        <w:tc>
          <w:tcPr>
            <w:tcW w:w="9176" w:type="dxa"/>
            <w:tcBorders>
              <w:bottom w:val="single" w:sz="4" w:space="0" w:color="FFFFFF"/>
            </w:tcBorders>
            <w:shd w:val="clear" w:color="auto" w:fill="E2E2E2"/>
          </w:tcPr>
          <w:p w:rsidR="000F18FB" w:rsidRPr="000F18FB" w:rsidRDefault="000F18FB" w:rsidP="00B52D31">
            <w:pPr>
              <w:numPr>
                <w:ilvl w:val="0"/>
                <w:numId w:val="16"/>
              </w:numPr>
              <w:ind w:left="426"/>
              <w:contextualSpacing/>
              <w:jc w:val="both"/>
              <w:rPr>
                <w:rFonts w:ascii="Times New Roman" w:hAnsi="Times New Roman"/>
                <w:b/>
              </w:rPr>
            </w:pPr>
            <w:r w:rsidRPr="000F18FB">
              <w:rPr>
                <w:rFonts w:ascii="Times New Roman" w:hAnsi="Times New Roman"/>
                <w:b/>
              </w:rPr>
              <w:lastRenderedPageBreak/>
              <w:t>Kontakt na spracovateľa</w:t>
            </w:r>
          </w:p>
        </w:tc>
      </w:tr>
      <w:tr w:rsidR="000F18FB" w:rsidRPr="000F18FB" w:rsidTr="000F18FB">
        <w:trPr>
          <w:trHeight w:val="586"/>
        </w:trPr>
        <w:tc>
          <w:tcPr>
            <w:tcW w:w="9176" w:type="dxa"/>
            <w:tcBorders>
              <w:top w:val="single" w:sz="4" w:space="0" w:color="FFFFFF"/>
            </w:tcBorders>
            <w:shd w:val="clear" w:color="auto" w:fill="FFFFFF"/>
          </w:tcPr>
          <w:p w:rsidR="000F18FB" w:rsidRPr="000F18FB" w:rsidRDefault="000F18FB" w:rsidP="00B52D31">
            <w:pPr>
              <w:jc w:val="both"/>
              <w:rPr>
                <w:rFonts w:ascii="Times New Roman" w:hAnsi="Times New Roman"/>
                <w:i/>
                <w:lang w:eastAsia="sk-SK"/>
              </w:rPr>
            </w:pPr>
            <w:r w:rsidRPr="000F18FB">
              <w:rPr>
                <w:rFonts w:ascii="Times New Roman" w:hAnsi="Times New Roman"/>
                <w:i/>
                <w:lang w:eastAsia="sk-SK"/>
              </w:rPr>
              <w:t>Uveďte údaje na kontaktnú osobu, ktorú je možné kontaktovať v súvislosti s posúdením vybraných vplyvov</w:t>
            </w:r>
          </w:p>
          <w:p w:rsidR="000F18FB" w:rsidRPr="000F18FB" w:rsidRDefault="000F18FB" w:rsidP="00B52D31">
            <w:pPr>
              <w:jc w:val="both"/>
              <w:rPr>
                <w:rFonts w:ascii="Times New Roman" w:hAnsi="Times New Roman"/>
                <w:lang w:eastAsia="sk-SK"/>
              </w:rPr>
            </w:pPr>
            <w:r w:rsidRPr="000F18FB">
              <w:rPr>
                <w:rFonts w:ascii="Times New Roman" w:hAnsi="Times New Roman"/>
                <w:lang w:eastAsia="sk-SK"/>
              </w:rPr>
              <w:t>Ministerstvo dopravy a výstavby SR</w:t>
            </w:r>
          </w:p>
          <w:p w:rsidR="000F18FB" w:rsidRPr="000F18FB" w:rsidRDefault="000F18FB" w:rsidP="00B52D31">
            <w:pPr>
              <w:jc w:val="both"/>
              <w:rPr>
                <w:rFonts w:ascii="Times New Roman" w:hAnsi="Times New Roman"/>
                <w:lang w:eastAsia="sk-SK"/>
              </w:rPr>
            </w:pPr>
            <w:r w:rsidRPr="000F18FB">
              <w:rPr>
                <w:rFonts w:ascii="Times New Roman" w:hAnsi="Times New Roman"/>
                <w:lang w:eastAsia="sk-SK"/>
              </w:rPr>
              <w:t>Sekcia cestnej dopravy a pozemných komunikácií</w:t>
            </w:r>
          </w:p>
          <w:p w:rsidR="000F18FB" w:rsidRPr="000F18FB" w:rsidRDefault="000F18FB" w:rsidP="00B52D31">
            <w:pPr>
              <w:jc w:val="both"/>
              <w:rPr>
                <w:rFonts w:ascii="Times New Roman" w:hAnsi="Times New Roman"/>
                <w:lang w:eastAsia="sk-SK"/>
              </w:rPr>
            </w:pPr>
            <w:r w:rsidRPr="000F18FB">
              <w:rPr>
                <w:rFonts w:ascii="Times New Roman" w:hAnsi="Times New Roman"/>
                <w:lang w:eastAsia="sk-SK"/>
              </w:rPr>
              <w:t>Štátny dopravný úrad</w:t>
            </w:r>
          </w:p>
          <w:p w:rsidR="000F18FB" w:rsidRPr="000F18FB" w:rsidRDefault="000F18FB" w:rsidP="00B52D31">
            <w:pPr>
              <w:jc w:val="both"/>
              <w:rPr>
                <w:rFonts w:ascii="Times New Roman" w:hAnsi="Times New Roman"/>
                <w:lang w:eastAsia="sk-SK"/>
              </w:rPr>
            </w:pPr>
            <w:r w:rsidRPr="000F18FB">
              <w:rPr>
                <w:rFonts w:ascii="Times New Roman" w:hAnsi="Times New Roman"/>
                <w:lang w:eastAsia="sk-SK"/>
              </w:rPr>
              <w:t xml:space="preserve">Ing. Ľubomír Moravčík, PhD. – </w:t>
            </w:r>
            <w:hyperlink r:id="rId8" w:history="1">
              <w:r w:rsidRPr="00B52D31">
                <w:rPr>
                  <w:rFonts w:ascii="Times New Roman" w:hAnsi="Times New Roman"/>
                  <w:u w:val="single"/>
                  <w:lang w:eastAsia="sk-SK"/>
                </w:rPr>
                <w:t>lubomir.moravcik@mindop.sk</w:t>
              </w:r>
            </w:hyperlink>
          </w:p>
        </w:tc>
      </w:tr>
      <w:tr w:rsidR="000F18FB" w:rsidRPr="000F18FB" w:rsidTr="000F18FB">
        <w:tc>
          <w:tcPr>
            <w:tcW w:w="9176" w:type="dxa"/>
            <w:tcBorders>
              <w:bottom w:val="single" w:sz="4" w:space="0" w:color="FFFFFF"/>
            </w:tcBorders>
            <w:shd w:val="clear" w:color="auto" w:fill="E2E2E2"/>
          </w:tcPr>
          <w:p w:rsidR="000F18FB" w:rsidRPr="000F18FB" w:rsidRDefault="000F18FB" w:rsidP="00B52D31">
            <w:pPr>
              <w:numPr>
                <w:ilvl w:val="0"/>
                <w:numId w:val="16"/>
              </w:numPr>
              <w:ind w:left="426"/>
              <w:contextualSpacing/>
              <w:jc w:val="both"/>
              <w:rPr>
                <w:rFonts w:ascii="Times New Roman" w:hAnsi="Times New Roman"/>
                <w:b/>
              </w:rPr>
            </w:pPr>
            <w:r w:rsidRPr="000F18FB">
              <w:rPr>
                <w:rFonts w:ascii="Times New Roman" w:hAnsi="Times New Roman"/>
                <w:b/>
              </w:rPr>
              <w:t>Zdroje</w:t>
            </w:r>
          </w:p>
        </w:tc>
      </w:tr>
      <w:tr w:rsidR="000F18FB" w:rsidRPr="000F18FB" w:rsidTr="000F18FB">
        <w:trPr>
          <w:trHeight w:val="401"/>
        </w:trPr>
        <w:tc>
          <w:tcPr>
            <w:tcW w:w="9176" w:type="dxa"/>
            <w:tcBorders>
              <w:top w:val="single" w:sz="4" w:space="0" w:color="FFFFFF"/>
            </w:tcBorders>
            <w:shd w:val="clear" w:color="auto" w:fill="FFFFFF"/>
          </w:tcPr>
          <w:p w:rsidR="000F18FB" w:rsidRPr="000F18FB" w:rsidRDefault="000F18FB" w:rsidP="00B52D31">
            <w:pPr>
              <w:jc w:val="both"/>
              <w:rPr>
                <w:rFonts w:ascii="Times New Roman" w:hAnsi="Times New Roman"/>
                <w:b/>
                <w:lang w:eastAsia="sk-SK"/>
              </w:rPr>
            </w:pPr>
            <w:r w:rsidRPr="000F18FB">
              <w:rPr>
                <w:rFonts w:ascii="Times New Roman" w:hAnsi="Times New Roman"/>
                <w:lang w:eastAsia="sk-SK"/>
              </w:rPr>
              <w:t>Ministerstvo dopravy a výstavby SR pri vypracovaní doložky vybraných vplyvov ako aj analýzy vplyvov na rozpočet verejnej správy a analýzy vplyvov na podnikateľské prostredie vychádzalo z vlastných odhadov, odhadov technickej služby technickej kontroly, technickej služby emisnej kontroly a technickej služby kontroly originality a tiež zo štatistík Ministerstva vnútra SR.</w:t>
            </w:r>
          </w:p>
        </w:tc>
      </w:tr>
      <w:tr w:rsidR="000F18FB" w:rsidRPr="000F18FB" w:rsidTr="000F18FB">
        <w:tc>
          <w:tcPr>
            <w:tcW w:w="9176" w:type="dxa"/>
            <w:tcBorders>
              <w:bottom w:val="single" w:sz="4" w:space="0" w:color="FFFFFF"/>
            </w:tcBorders>
            <w:shd w:val="clear" w:color="auto" w:fill="E2E2E2"/>
          </w:tcPr>
          <w:p w:rsidR="000F18FB" w:rsidRPr="000F18FB" w:rsidRDefault="000F18FB" w:rsidP="00B52D31">
            <w:pPr>
              <w:numPr>
                <w:ilvl w:val="0"/>
                <w:numId w:val="16"/>
              </w:numPr>
              <w:ind w:left="426"/>
              <w:contextualSpacing/>
              <w:jc w:val="both"/>
              <w:rPr>
                <w:rFonts w:ascii="Times New Roman" w:hAnsi="Times New Roman"/>
                <w:b/>
              </w:rPr>
            </w:pPr>
            <w:r w:rsidRPr="000F18FB">
              <w:rPr>
                <w:rFonts w:ascii="Times New Roman" w:hAnsi="Times New Roman"/>
                <w:b/>
              </w:rPr>
              <w:t>Stanovisko Komisie pre posudzovanie vybraných vplyvov z PPK</w:t>
            </w:r>
          </w:p>
        </w:tc>
      </w:tr>
      <w:tr w:rsidR="000F18FB" w:rsidRPr="000F18FB" w:rsidTr="000F18FB">
        <w:tc>
          <w:tcPr>
            <w:tcW w:w="9176" w:type="dxa"/>
            <w:tcBorders>
              <w:top w:val="single" w:sz="4" w:space="0" w:color="FFFFFF"/>
            </w:tcBorders>
            <w:shd w:val="clear" w:color="auto" w:fill="FFFFFF"/>
          </w:tcPr>
          <w:p w:rsidR="000F18FB" w:rsidRPr="000F18FB" w:rsidRDefault="000F18FB" w:rsidP="00B52D31">
            <w:pPr>
              <w:jc w:val="both"/>
              <w:rPr>
                <w:rFonts w:ascii="Times New Roman" w:hAnsi="Times New Roman"/>
                <w:i/>
                <w:lang w:eastAsia="sk-SK"/>
              </w:rPr>
            </w:pPr>
            <w:r w:rsidRPr="000F18FB">
              <w:rPr>
                <w:rFonts w:ascii="Times New Roman" w:hAnsi="Times New Roman"/>
                <w:i/>
                <w:lang w:eastAsia="sk-SK"/>
              </w:rPr>
              <w:t>Uveďte stanovisko Komisie pre posudzovanie vybraných vplyvov, ktoré Vám bolo zaslané v rámci predbežného pripomienkového konania</w:t>
            </w:r>
          </w:p>
          <w:p w:rsidR="000F18FB" w:rsidRPr="000F18FB" w:rsidRDefault="000F18FB" w:rsidP="00B52D31">
            <w:pPr>
              <w:jc w:val="both"/>
              <w:rPr>
                <w:rFonts w:ascii="Times New Roman" w:hAnsi="Times New Roman"/>
                <w:lang w:eastAsia="sk-SK"/>
              </w:rPr>
            </w:pPr>
          </w:p>
          <w:p w:rsidR="000F18FB" w:rsidRPr="000F18FB" w:rsidRDefault="000F18FB" w:rsidP="00B52D31">
            <w:pPr>
              <w:autoSpaceDE w:val="0"/>
              <w:autoSpaceDN w:val="0"/>
              <w:adjustRightInd w:val="0"/>
              <w:jc w:val="both"/>
              <w:rPr>
                <w:rFonts w:ascii="Times New Roman" w:hAnsi="Times New Roman"/>
                <w:sz w:val="24"/>
                <w:szCs w:val="24"/>
              </w:rPr>
            </w:pPr>
            <w:r w:rsidRPr="000F18FB">
              <w:rPr>
                <w:rFonts w:ascii="Times New Roman" w:hAnsi="Times New Roman"/>
              </w:rPr>
              <w:t xml:space="preserve">Stála pracovná komisia na posudzovanie vybraných vplyvov vyjadrila k materiálu nesúhlasné stanovisko s odporúčaním na jeho dopracovanie podľa nasledovných pripomienok: </w:t>
            </w:r>
          </w:p>
          <w:p w:rsidR="000F18FB" w:rsidRPr="000F18FB" w:rsidRDefault="000F18FB" w:rsidP="00B52D31">
            <w:pPr>
              <w:autoSpaceDE w:val="0"/>
              <w:autoSpaceDN w:val="0"/>
              <w:adjustRightInd w:val="0"/>
              <w:jc w:val="both"/>
              <w:rPr>
                <w:rFonts w:ascii="Times New Roman" w:hAnsi="Times New Roman"/>
                <w:b/>
              </w:rPr>
            </w:pPr>
            <w:r w:rsidRPr="000F18FB">
              <w:rPr>
                <w:rFonts w:ascii="Times New Roman" w:hAnsi="Times New Roman"/>
                <w:b/>
              </w:rPr>
              <w:t>K vplyvom na podnikateľské prostredie</w:t>
            </w:r>
          </w:p>
          <w:p w:rsidR="000F18FB" w:rsidRPr="000F18FB" w:rsidRDefault="000F18FB" w:rsidP="00B52D31">
            <w:pPr>
              <w:autoSpaceDE w:val="0"/>
              <w:autoSpaceDN w:val="0"/>
              <w:adjustRightInd w:val="0"/>
              <w:jc w:val="both"/>
              <w:rPr>
                <w:rFonts w:ascii="Times New Roman" w:hAnsi="Times New Roman"/>
              </w:rPr>
            </w:pPr>
            <w:r w:rsidRPr="000F18FB">
              <w:rPr>
                <w:rFonts w:ascii="Times New Roman" w:hAnsi="Times New Roman"/>
              </w:rPr>
              <w:t>Komisia žiada predkladateľa v doložke vybraných vplyvov vyznačiť aj negatívne vplyvy na podnikateľské prostredie vrátane malých a stredných podnikov a dopracovať ich v analýze vybraných vplyvov na podnikateľské prostredie spolu s kvantifikáciou na jeden podnikateľský subjekt.</w:t>
            </w:r>
          </w:p>
          <w:p w:rsidR="000F18FB" w:rsidRPr="000F18FB" w:rsidRDefault="000F18FB" w:rsidP="00B52D31">
            <w:pPr>
              <w:autoSpaceDE w:val="0"/>
              <w:autoSpaceDN w:val="0"/>
              <w:adjustRightInd w:val="0"/>
              <w:jc w:val="both"/>
              <w:rPr>
                <w:rFonts w:ascii="Times New Roman" w:hAnsi="Times New Roman"/>
              </w:rPr>
            </w:pPr>
            <w:r w:rsidRPr="000F18FB">
              <w:rPr>
                <w:rFonts w:ascii="Times New Roman" w:hAnsi="Times New Roman"/>
              </w:rPr>
              <w:t xml:space="preserve">Komisia žiada predkladateľa o bližšie popísanie pozitívnych a negatívnych vplyvov materiálu na podnikateľské prostredie, s uvedením prevažujúceho vplyvu materiálu. </w:t>
            </w:r>
          </w:p>
          <w:p w:rsidR="000F18FB" w:rsidRPr="000F18FB" w:rsidRDefault="000F18FB" w:rsidP="00B52D31">
            <w:pPr>
              <w:autoSpaceDE w:val="0"/>
              <w:autoSpaceDN w:val="0"/>
              <w:adjustRightInd w:val="0"/>
              <w:jc w:val="both"/>
              <w:rPr>
                <w:rFonts w:ascii="Times New Roman" w:hAnsi="Times New Roman"/>
              </w:rPr>
            </w:pPr>
            <w:r w:rsidRPr="000F18FB">
              <w:rPr>
                <w:rFonts w:ascii="Times New Roman" w:hAnsi="Times New Roman"/>
              </w:rPr>
              <w:t>Komisia žiada predkladateľa o doplnenie vyčíslenia nákladov, resp. úspor na celé podnikateľské prostredie v časti 3.3. Analýzy vplyvov na podnikateľské prostredie a ich uvedenie v súhrnnej tabuľke v časti 3.3.4 Analýzy vplyvov na podnikateľské prostredie.</w:t>
            </w:r>
          </w:p>
          <w:p w:rsidR="000F18FB" w:rsidRPr="000F18FB" w:rsidRDefault="000F18FB" w:rsidP="00B52D31">
            <w:pPr>
              <w:autoSpaceDE w:val="0"/>
              <w:autoSpaceDN w:val="0"/>
              <w:adjustRightInd w:val="0"/>
              <w:jc w:val="both"/>
              <w:rPr>
                <w:rFonts w:ascii="Times New Roman" w:hAnsi="Times New Roman"/>
              </w:rPr>
            </w:pPr>
            <w:r w:rsidRPr="000F18FB">
              <w:rPr>
                <w:rFonts w:ascii="Times New Roman" w:hAnsi="Times New Roman"/>
              </w:rPr>
              <w:t>Odôvodnenie</w:t>
            </w:r>
          </w:p>
          <w:p w:rsidR="000F18FB" w:rsidRPr="000F18FB" w:rsidRDefault="000F18FB" w:rsidP="00B52D31">
            <w:pPr>
              <w:autoSpaceDE w:val="0"/>
              <w:autoSpaceDN w:val="0"/>
              <w:adjustRightInd w:val="0"/>
              <w:jc w:val="both"/>
              <w:rPr>
                <w:rFonts w:ascii="Times New Roman" w:hAnsi="Times New Roman"/>
              </w:rPr>
            </w:pPr>
            <w:r w:rsidRPr="000F18FB">
              <w:rPr>
                <w:rFonts w:ascii="Times New Roman" w:hAnsi="Times New Roman"/>
              </w:rPr>
              <w:t>Dôvodom na vypracovanie návrhu zákona je implementácia dvoch európskych nariadení, ale aj úpravy a doplnenia vyplývajúce z aplikácie zákona č. 106/2018 Z. z. Zrušením povinnej certifikácie autorizovaných opravovní a nezávislých opravovní na tzv. certifikované miesto opravy dochádza k zrušeniu regulácie a všetkým opravovniam, ktoré sa  uchádzali o túto certifikáciu sa znížia priame náklady. Celkové náklady spojené s certifikáciou v rámci poplatkov za absolvovanie školenia je možné odhadnúť na 1 105 €.</w:t>
            </w:r>
          </w:p>
          <w:p w:rsidR="000F18FB" w:rsidRPr="000F18FB" w:rsidRDefault="000F18FB" w:rsidP="00B52D31">
            <w:pPr>
              <w:autoSpaceDE w:val="0"/>
              <w:autoSpaceDN w:val="0"/>
              <w:adjustRightInd w:val="0"/>
              <w:jc w:val="both"/>
              <w:rPr>
                <w:rFonts w:ascii="Times New Roman" w:hAnsi="Times New Roman"/>
                <w:i/>
              </w:rPr>
            </w:pPr>
            <w:r w:rsidRPr="000F18FB">
              <w:rPr>
                <w:rFonts w:ascii="Times New Roman" w:hAnsi="Times New Roman"/>
                <w:i/>
              </w:rPr>
              <w:t>Vyhodnotenie predkladateľa: Predkladateľ je toho názoru, že implementácia dvoch európskych nariadení do právnej úpravy Slovenskej republiky spočívajúca pri nariadenie (EÚ) 2019/2144 v doplnení do poznámky pod čiarou v rámci definície na regulačný akt a pri nariadení (EÚ) 2020/740 len v úprave povinností s odkazom na tento akt kvôli možnému ukladaniu sankcií za porušenie týchto dvoch európskych nariadení nezakladá žiadne vplyvy na podnikateľské prostredie. Samotné pozitívne alebo negatívne vplyvy vyplývajú priamo z týchto dvoch európskych nariadení, ktoré boli vyčíslené pri prijímaní na európskej úrovni. Táto skutočnosť je uvedená aj v samotnej analýze vplyvov na podnikateľské prostredie.</w:t>
            </w:r>
          </w:p>
          <w:p w:rsidR="000F18FB" w:rsidRPr="000F18FB" w:rsidRDefault="000F18FB" w:rsidP="00B52D31">
            <w:pPr>
              <w:autoSpaceDE w:val="0"/>
              <w:autoSpaceDN w:val="0"/>
              <w:adjustRightInd w:val="0"/>
              <w:jc w:val="both"/>
              <w:rPr>
                <w:rFonts w:ascii="Times New Roman" w:hAnsi="Times New Roman"/>
              </w:rPr>
            </w:pPr>
            <w:r w:rsidRPr="000F18FB">
              <w:rPr>
                <w:rFonts w:ascii="Times New Roman" w:hAnsi="Times New Roman"/>
                <w:i/>
              </w:rPr>
              <w:t xml:space="preserve">Čo sa týka certifikácie autorizovaných opravovní a nezávislých opravovní, tak síce zákon túto certifikáciu zaviedol, ale do konca roka 2021 trvalo prechodné obdobie a až od 1. 1.2022 by sa reálne museli opravovať vozidlá v certifikovanej autorizovanej opravovni a nezávislej opravovni. Keďže ešte stále certifikácia autorizovaných opravovní a nezávislých opravovní neprebiehala, nie je možné vyčísliť celkové náklady na certifikáciu, pričom certifikácia </w:t>
            </w:r>
            <w:proofErr w:type="spellStart"/>
            <w:r w:rsidRPr="000F18FB">
              <w:rPr>
                <w:rFonts w:ascii="Times New Roman" w:hAnsi="Times New Roman"/>
                <w:i/>
              </w:rPr>
              <w:t>neobnášala</w:t>
            </w:r>
            <w:proofErr w:type="spellEnd"/>
            <w:r w:rsidRPr="000F18FB">
              <w:rPr>
                <w:rFonts w:ascii="Times New Roman" w:hAnsi="Times New Roman"/>
                <w:i/>
              </w:rPr>
              <w:t xml:space="preserve"> iba absolvovanie školenia, išlo  by iba o hypotetické náklady na certifikáciu autorizovaných opravovní a nezávislých opravovní. </w:t>
            </w:r>
            <w:r w:rsidRPr="000F18FB">
              <w:rPr>
                <w:rFonts w:ascii="Times New Roman" w:hAnsi="Times New Roman"/>
                <w:i/>
              </w:rPr>
              <w:lastRenderedPageBreak/>
              <w:t>Z tohto dôvodu v analýze vplyvov na podnikateľské prostredie nie sú vyčíslené pozitívne vplyvy na  podnikateľské subjekty spočívajúce v ušetrených nákladoch za certifikáciu.</w:t>
            </w:r>
          </w:p>
          <w:p w:rsidR="000F18FB" w:rsidRPr="000F18FB" w:rsidRDefault="000F18FB" w:rsidP="00B52D31">
            <w:pPr>
              <w:autoSpaceDE w:val="0"/>
              <w:autoSpaceDN w:val="0"/>
              <w:adjustRightInd w:val="0"/>
              <w:jc w:val="both"/>
              <w:rPr>
                <w:rFonts w:ascii="Times New Roman" w:hAnsi="Times New Roman"/>
                <w:b/>
              </w:rPr>
            </w:pPr>
            <w:r w:rsidRPr="000F18FB">
              <w:rPr>
                <w:rFonts w:ascii="Times New Roman" w:hAnsi="Times New Roman"/>
                <w:b/>
              </w:rPr>
              <w:t>K sociálnym vplyvom</w:t>
            </w:r>
          </w:p>
          <w:p w:rsidR="000F18FB" w:rsidRPr="000F18FB" w:rsidRDefault="000F18FB" w:rsidP="00B52D31">
            <w:pPr>
              <w:autoSpaceDE w:val="0"/>
              <w:autoSpaceDN w:val="0"/>
              <w:adjustRightInd w:val="0"/>
              <w:jc w:val="both"/>
              <w:rPr>
                <w:rFonts w:ascii="Times New Roman" w:hAnsi="Times New Roman"/>
              </w:rPr>
            </w:pPr>
            <w:r w:rsidRPr="000F18FB">
              <w:rPr>
                <w:rFonts w:ascii="Times New Roman" w:hAnsi="Times New Roman"/>
              </w:rPr>
              <w:t>Predložený materiál okrem iného predpokladá napr. úpravu správnych poplatkov, zrušenie obmedzenia platnosti osvedčenia o evidencii vozidla časti I, zrušenie povinnej certifikácie autorizovaných opravovní a nezávislých opravovní, vznik cca 30 staníc technickej kontroly. Na základe uvádzaného Komisia odporúča predkladateľovi identifikovať v doložke vybraných vplyvov možné sociálne vplyvy a vypracovať separátnu analýzu sociálnych vplyvov predkladaného materiálu, predovšetkým v súvislosti s možným nárastom/poklesom výdavkov dotknutých domácnosti (fyzických osôb – prevádzkovateľov vozidiel) a to v súvislosti so zmenami v oblasti správnych poplatkov, ako aj identifikovať možné vplyvy na zamestnanosť z dôvodu rozšírenia siete staníc technickej kontroly a zrušenia povinnej certifikácie autorizovaných opravovní. V prípade, ak predkladateľ má za to, že sociálne vplyvy nevznikajú, Komisia odporúča danú skutočnosť deklarovať v bode 10. Poznámky doložky vybraných vplyvov aj s bližším odôvodnením.</w:t>
            </w:r>
          </w:p>
          <w:p w:rsidR="000F18FB" w:rsidRPr="000F18FB" w:rsidRDefault="000F18FB" w:rsidP="00B52D31">
            <w:pPr>
              <w:autoSpaceDE w:val="0"/>
              <w:autoSpaceDN w:val="0"/>
              <w:adjustRightInd w:val="0"/>
              <w:jc w:val="both"/>
              <w:rPr>
                <w:rFonts w:ascii="Times New Roman" w:hAnsi="Times New Roman"/>
                <w:i/>
              </w:rPr>
            </w:pPr>
            <w:r w:rsidRPr="000F18FB">
              <w:rPr>
                <w:rFonts w:ascii="Times New Roman" w:hAnsi="Times New Roman"/>
                <w:i/>
              </w:rPr>
              <w:t>Vyhodnotenie predkladateľa: Doložka vybraných vplyvov v časti 10 Poznámky bola doplnená s vysvetlením, prečo nebola vypracovaná samostatná analýza sociálnych vplyvov.</w:t>
            </w:r>
          </w:p>
        </w:tc>
      </w:tr>
    </w:tbl>
    <w:p w:rsidR="000F18FB" w:rsidRPr="000F18FB" w:rsidRDefault="000F18FB" w:rsidP="00B52D31">
      <w:pPr>
        <w:spacing w:after="0" w:line="240" w:lineRule="auto"/>
        <w:jc w:val="both"/>
        <w:rPr>
          <w:rFonts w:ascii="Times New Roman" w:eastAsia="Times New Roman" w:hAnsi="Times New Roman" w:cs="Times New Roman"/>
          <w:lang w:eastAsia="sk-SK"/>
        </w:rPr>
      </w:pPr>
    </w:p>
    <w:p w:rsidR="000F18FB" w:rsidRPr="00B52D31" w:rsidRDefault="000F18F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pPr>
    </w:p>
    <w:p w:rsidR="000F18FB" w:rsidRDefault="000F18FB" w:rsidP="00B52D31">
      <w:pPr>
        <w:jc w:val="both"/>
        <w:rPr>
          <w:rFonts w:ascii="Times New Roman" w:hAnsi="Times New Roman" w:cs="Times New Roman"/>
        </w:rPr>
      </w:pPr>
    </w:p>
    <w:p w:rsidR="00B52D31" w:rsidRDefault="00B52D31" w:rsidP="00B52D31">
      <w:pPr>
        <w:jc w:val="both"/>
        <w:rPr>
          <w:rFonts w:ascii="Times New Roman" w:hAnsi="Times New Roman" w:cs="Times New Roman"/>
        </w:rPr>
      </w:pPr>
    </w:p>
    <w:p w:rsidR="00B52D31" w:rsidRDefault="00B52D31" w:rsidP="00B52D31">
      <w:pPr>
        <w:jc w:val="both"/>
        <w:rPr>
          <w:rFonts w:ascii="Times New Roman" w:hAnsi="Times New Roman" w:cs="Times New Roman"/>
        </w:rPr>
      </w:pPr>
    </w:p>
    <w:p w:rsidR="00B52D31" w:rsidRDefault="00B52D31" w:rsidP="00B52D31">
      <w:pPr>
        <w:jc w:val="both"/>
        <w:rPr>
          <w:rFonts w:ascii="Times New Roman" w:hAnsi="Times New Roman" w:cs="Times New Roman"/>
        </w:rPr>
      </w:pPr>
    </w:p>
    <w:p w:rsidR="00B52D31" w:rsidRDefault="00B52D31" w:rsidP="00B52D31">
      <w:pPr>
        <w:jc w:val="both"/>
        <w:rPr>
          <w:rFonts w:ascii="Times New Roman" w:hAnsi="Times New Roman" w:cs="Times New Roman"/>
        </w:rPr>
      </w:pPr>
    </w:p>
    <w:p w:rsidR="00B52D31" w:rsidRDefault="00B52D31" w:rsidP="00B52D31">
      <w:pPr>
        <w:jc w:val="both"/>
        <w:rPr>
          <w:rFonts w:ascii="Times New Roman" w:hAnsi="Times New Roman" w:cs="Times New Roman"/>
        </w:rPr>
      </w:pPr>
    </w:p>
    <w:p w:rsidR="00B52D31" w:rsidRPr="00B52D31" w:rsidRDefault="00B52D31" w:rsidP="00B52D31">
      <w:pPr>
        <w:jc w:val="both"/>
        <w:rPr>
          <w:rFonts w:ascii="Times New Roman" w:hAnsi="Times New Roman" w:cs="Times New Roman"/>
        </w:rPr>
      </w:pPr>
    </w:p>
    <w:p w:rsidR="000F18FB" w:rsidRPr="000F18FB" w:rsidRDefault="000F18FB" w:rsidP="00B52D31">
      <w:pPr>
        <w:spacing w:after="0" w:line="240" w:lineRule="auto"/>
        <w:jc w:val="center"/>
        <w:rPr>
          <w:rFonts w:ascii="Times New Roman" w:eastAsia="Times New Roman" w:hAnsi="Times New Roman" w:cs="Times New Roman"/>
          <w:b/>
          <w:bCs/>
          <w:sz w:val="28"/>
          <w:szCs w:val="28"/>
          <w:lang w:eastAsia="sk-SK"/>
        </w:rPr>
      </w:pPr>
      <w:r w:rsidRPr="000F18FB">
        <w:rPr>
          <w:rFonts w:ascii="Times New Roman" w:eastAsia="Times New Roman" w:hAnsi="Times New Roman" w:cs="Times New Roman"/>
          <w:b/>
          <w:bCs/>
          <w:sz w:val="28"/>
          <w:szCs w:val="28"/>
          <w:lang w:eastAsia="sk-SK"/>
        </w:rPr>
        <w:lastRenderedPageBreak/>
        <w:t>Analýza vplyvov na rozpočet verejnej správy,</w:t>
      </w:r>
    </w:p>
    <w:p w:rsidR="000F18FB" w:rsidRPr="000F18FB" w:rsidRDefault="000F18FB" w:rsidP="00B52D31">
      <w:pPr>
        <w:spacing w:after="0" w:line="240" w:lineRule="auto"/>
        <w:jc w:val="center"/>
        <w:rPr>
          <w:rFonts w:ascii="Times New Roman" w:eastAsia="Times New Roman" w:hAnsi="Times New Roman" w:cs="Times New Roman"/>
          <w:b/>
          <w:bCs/>
          <w:sz w:val="28"/>
          <w:szCs w:val="28"/>
          <w:lang w:eastAsia="sk-SK"/>
        </w:rPr>
      </w:pPr>
      <w:r w:rsidRPr="000F18FB">
        <w:rPr>
          <w:rFonts w:ascii="Times New Roman" w:eastAsia="Times New Roman" w:hAnsi="Times New Roman" w:cs="Times New Roman"/>
          <w:b/>
          <w:bCs/>
          <w:sz w:val="28"/>
          <w:szCs w:val="28"/>
          <w:lang w:eastAsia="sk-SK"/>
        </w:rPr>
        <w:t>na zamestnanosť vo verejnej správe a financovanie návrhu</w:t>
      </w:r>
    </w:p>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p>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p>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2.1 Zhrnutie vplyvov na rozpočet verejnej správy v návrhu</w:t>
      </w:r>
    </w:p>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p>
    <w:p w:rsidR="000F18FB" w:rsidRPr="000F18FB" w:rsidRDefault="000F18FB" w:rsidP="00B52D31">
      <w:pPr>
        <w:spacing w:after="0" w:line="240" w:lineRule="auto"/>
        <w:jc w:val="both"/>
        <w:rPr>
          <w:rFonts w:ascii="Times New Roman" w:eastAsia="Times New Roman" w:hAnsi="Times New Roman" w:cs="Times New Roman"/>
          <w:sz w:val="20"/>
          <w:szCs w:val="20"/>
          <w:lang w:eastAsia="sk-SK"/>
        </w:rPr>
      </w:pPr>
      <w:r w:rsidRPr="000F18FB">
        <w:rPr>
          <w:rFonts w:ascii="Times New Roman" w:eastAsia="Times New Roman" w:hAnsi="Times New Roman" w:cs="Times New Roman"/>
          <w:sz w:val="20"/>
          <w:szCs w:val="20"/>
          <w:lang w:eastAsia="sk-SK"/>
        </w:rPr>
        <w:t xml:space="preserve">Tabuľka č. 1 </w:t>
      </w:r>
    </w:p>
    <w:tbl>
      <w:tblPr>
        <w:tblW w:w="9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398"/>
        <w:gridCol w:w="1388"/>
        <w:gridCol w:w="1267"/>
        <w:gridCol w:w="1267"/>
      </w:tblGrid>
      <w:tr w:rsidR="000F18FB" w:rsidRPr="00B52D31" w:rsidTr="000F18FB">
        <w:trPr>
          <w:cantSplit/>
          <w:trHeight w:val="194"/>
          <w:jc w:val="center"/>
        </w:trPr>
        <w:tc>
          <w:tcPr>
            <w:tcW w:w="4661" w:type="dxa"/>
            <w:vMerge w:val="restart"/>
            <w:shd w:val="clear" w:color="auto" w:fill="BFBFBF"/>
            <w:vAlign w:val="center"/>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bookmarkStart w:id="0" w:name="OLE_LINK1"/>
            <w:r w:rsidRPr="000F18FB">
              <w:rPr>
                <w:rFonts w:ascii="Times New Roman" w:eastAsia="Times New Roman" w:hAnsi="Times New Roman" w:cs="Times New Roman"/>
                <w:b/>
                <w:bCs/>
                <w:sz w:val="24"/>
                <w:szCs w:val="24"/>
                <w:lang w:eastAsia="sk-SK"/>
              </w:rPr>
              <w:t>Vplyvy na rozpočet verejnej správy</w:t>
            </w:r>
          </w:p>
        </w:tc>
        <w:tc>
          <w:tcPr>
            <w:tcW w:w="5320" w:type="dxa"/>
            <w:gridSpan w:val="4"/>
            <w:shd w:val="clear" w:color="auto" w:fill="BFBFBF"/>
            <w:vAlign w:val="center"/>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Vplyv na rozpočet verejnej správy (v eurách)</w:t>
            </w:r>
          </w:p>
        </w:tc>
      </w:tr>
      <w:tr w:rsidR="000F18FB" w:rsidRPr="00B52D31" w:rsidTr="000F18FB">
        <w:trPr>
          <w:cantSplit/>
          <w:trHeight w:val="70"/>
          <w:jc w:val="center"/>
        </w:trPr>
        <w:tc>
          <w:tcPr>
            <w:tcW w:w="4661" w:type="dxa"/>
            <w:vMerge/>
            <w:shd w:val="clear" w:color="auto" w:fill="BFBFBF"/>
            <w:vAlign w:val="center"/>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p>
        </w:tc>
        <w:tc>
          <w:tcPr>
            <w:tcW w:w="1398" w:type="dxa"/>
            <w:shd w:val="clear" w:color="auto" w:fill="BFBFBF"/>
            <w:vAlign w:val="center"/>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2021</w:t>
            </w:r>
          </w:p>
        </w:tc>
        <w:tc>
          <w:tcPr>
            <w:tcW w:w="1388" w:type="dxa"/>
            <w:shd w:val="clear" w:color="auto" w:fill="BFBFBF"/>
            <w:vAlign w:val="center"/>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2022</w:t>
            </w:r>
          </w:p>
        </w:tc>
        <w:tc>
          <w:tcPr>
            <w:tcW w:w="1267" w:type="dxa"/>
            <w:shd w:val="clear" w:color="auto" w:fill="BFBFBF"/>
            <w:vAlign w:val="center"/>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2023</w:t>
            </w:r>
          </w:p>
        </w:tc>
        <w:tc>
          <w:tcPr>
            <w:tcW w:w="1267" w:type="dxa"/>
            <w:shd w:val="clear" w:color="auto" w:fill="BFBFBF"/>
            <w:vAlign w:val="center"/>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2024</w:t>
            </w:r>
          </w:p>
        </w:tc>
      </w:tr>
      <w:tr w:rsidR="000F18FB" w:rsidRPr="000F18FB" w:rsidTr="007E5887">
        <w:trPr>
          <w:trHeight w:val="70"/>
          <w:jc w:val="center"/>
        </w:trPr>
        <w:tc>
          <w:tcPr>
            <w:tcW w:w="4661" w:type="dxa"/>
            <w:shd w:val="clear" w:color="auto" w:fill="C0C0C0"/>
            <w:noWrap/>
            <w:vAlign w:val="center"/>
          </w:tcPr>
          <w:p w:rsidR="000F18FB" w:rsidRPr="000F18FB" w:rsidRDefault="000F18FB" w:rsidP="00B52D31">
            <w:pPr>
              <w:spacing w:after="0" w:line="240" w:lineRule="auto"/>
              <w:jc w:val="both"/>
              <w:rPr>
                <w:rFonts w:ascii="Times New Roman" w:eastAsia="Times New Roman" w:hAnsi="Times New Roman" w:cs="Times New Roman"/>
                <w:sz w:val="24"/>
                <w:szCs w:val="24"/>
                <w:lang w:eastAsia="sk-SK"/>
              </w:rPr>
            </w:pPr>
            <w:r w:rsidRPr="000F18FB">
              <w:rPr>
                <w:rFonts w:ascii="Times New Roman" w:eastAsia="Times New Roman" w:hAnsi="Times New Roman" w:cs="Times New Roman"/>
                <w:b/>
                <w:bCs/>
                <w:sz w:val="24"/>
                <w:szCs w:val="24"/>
                <w:lang w:eastAsia="sk-SK"/>
              </w:rPr>
              <w:t>Príjmy verejnej správy celkom</w:t>
            </w:r>
          </w:p>
        </w:tc>
        <w:tc>
          <w:tcPr>
            <w:tcW w:w="1398" w:type="dxa"/>
            <w:shd w:val="clear" w:color="auto" w:fill="C0C0C0"/>
            <w:vAlign w:val="center"/>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0</w:t>
            </w:r>
          </w:p>
        </w:tc>
        <w:tc>
          <w:tcPr>
            <w:tcW w:w="1388" w:type="dxa"/>
            <w:shd w:val="clear" w:color="auto" w:fill="C0C0C0"/>
          </w:tcPr>
          <w:p w:rsidR="000F18FB" w:rsidRPr="000F18FB" w:rsidRDefault="000F18FB" w:rsidP="00B52D31">
            <w:pPr>
              <w:spacing w:after="0" w:line="240" w:lineRule="auto"/>
              <w:jc w:val="both"/>
              <w:rPr>
                <w:rFonts w:ascii="Times New Roman" w:eastAsia="Times New Roman" w:hAnsi="Times New Roman" w:cs="Times New Roman"/>
                <w:b/>
                <w:sz w:val="24"/>
                <w:szCs w:val="24"/>
                <w:lang w:eastAsia="sk-SK"/>
              </w:rPr>
            </w:pPr>
            <w:r w:rsidRPr="000F18FB">
              <w:rPr>
                <w:rFonts w:ascii="Times New Roman" w:eastAsia="Times New Roman" w:hAnsi="Times New Roman" w:cs="Times New Roman"/>
                <w:b/>
                <w:sz w:val="24"/>
                <w:szCs w:val="24"/>
                <w:lang w:eastAsia="sk-SK"/>
              </w:rPr>
              <w:t>400</w:t>
            </w:r>
          </w:p>
        </w:tc>
        <w:tc>
          <w:tcPr>
            <w:tcW w:w="1267" w:type="dxa"/>
            <w:shd w:val="clear" w:color="auto" w:fill="C0C0C0"/>
          </w:tcPr>
          <w:p w:rsidR="000F18FB" w:rsidRPr="000F18FB" w:rsidRDefault="000F18FB" w:rsidP="00B52D31">
            <w:pPr>
              <w:spacing w:after="0" w:line="240" w:lineRule="auto"/>
              <w:jc w:val="both"/>
              <w:rPr>
                <w:rFonts w:ascii="Times New Roman" w:eastAsia="Times New Roman" w:hAnsi="Times New Roman" w:cs="Times New Roman"/>
                <w:b/>
                <w:sz w:val="24"/>
                <w:szCs w:val="24"/>
                <w:lang w:eastAsia="sk-SK"/>
              </w:rPr>
            </w:pPr>
            <w:r w:rsidRPr="000F18FB">
              <w:rPr>
                <w:rFonts w:ascii="Times New Roman" w:eastAsia="Times New Roman" w:hAnsi="Times New Roman" w:cs="Times New Roman"/>
                <w:b/>
                <w:sz w:val="24"/>
                <w:szCs w:val="24"/>
                <w:lang w:eastAsia="sk-SK"/>
              </w:rPr>
              <w:t>0</w:t>
            </w:r>
          </w:p>
        </w:tc>
        <w:tc>
          <w:tcPr>
            <w:tcW w:w="1267" w:type="dxa"/>
            <w:shd w:val="clear" w:color="auto" w:fill="C0C0C0"/>
          </w:tcPr>
          <w:p w:rsidR="000F18FB" w:rsidRPr="000F18FB" w:rsidRDefault="000F18FB" w:rsidP="00B52D31">
            <w:pPr>
              <w:spacing w:after="0" w:line="240" w:lineRule="auto"/>
              <w:jc w:val="both"/>
              <w:rPr>
                <w:rFonts w:ascii="Times New Roman" w:eastAsia="Times New Roman" w:hAnsi="Times New Roman" w:cs="Times New Roman"/>
                <w:b/>
                <w:sz w:val="24"/>
                <w:szCs w:val="24"/>
                <w:lang w:eastAsia="sk-SK"/>
              </w:rPr>
            </w:pPr>
            <w:r w:rsidRPr="000F18FB">
              <w:rPr>
                <w:rFonts w:ascii="Times New Roman" w:eastAsia="Times New Roman" w:hAnsi="Times New Roman" w:cs="Times New Roman"/>
                <w:b/>
                <w:sz w:val="24"/>
                <w:szCs w:val="24"/>
                <w:lang w:eastAsia="sk-SK"/>
              </w:rPr>
              <w:t>0</w:t>
            </w:r>
          </w:p>
        </w:tc>
      </w:tr>
      <w:tr w:rsidR="000F18FB" w:rsidRPr="000F18FB" w:rsidTr="007E5887">
        <w:trPr>
          <w:trHeight w:val="132"/>
          <w:jc w:val="center"/>
        </w:trPr>
        <w:tc>
          <w:tcPr>
            <w:tcW w:w="4661" w:type="dxa"/>
            <w:noWrap/>
            <w:vAlign w:val="center"/>
          </w:tcPr>
          <w:p w:rsidR="000F18FB" w:rsidRPr="000F18FB" w:rsidRDefault="000F18FB" w:rsidP="00B52D31">
            <w:pPr>
              <w:spacing w:after="0" w:line="240" w:lineRule="auto"/>
              <w:jc w:val="both"/>
              <w:rPr>
                <w:rFonts w:ascii="Times New Roman" w:eastAsia="Times New Roman" w:hAnsi="Times New Roman" w:cs="Times New Roman"/>
                <w:sz w:val="24"/>
                <w:szCs w:val="24"/>
                <w:lang w:eastAsia="sk-SK"/>
              </w:rPr>
            </w:pPr>
            <w:r w:rsidRPr="000F18FB">
              <w:rPr>
                <w:rFonts w:ascii="Times New Roman" w:eastAsia="Times New Roman" w:hAnsi="Times New Roman" w:cs="Times New Roman"/>
                <w:sz w:val="24"/>
                <w:szCs w:val="24"/>
                <w:lang w:eastAsia="sk-SK"/>
              </w:rPr>
              <w:t xml:space="preserve">v tom: </w:t>
            </w:r>
            <w:r w:rsidRPr="000F18FB">
              <w:rPr>
                <w:rFonts w:ascii="Times New Roman" w:eastAsia="Times New Roman" w:hAnsi="Times New Roman" w:cs="Times New Roman"/>
                <w:b/>
                <w:sz w:val="24"/>
                <w:szCs w:val="24"/>
                <w:lang w:eastAsia="sk-SK"/>
              </w:rPr>
              <w:t>MDV SR</w:t>
            </w:r>
          </w:p>
        </w:tc>
        <w:tc>
          <w:tcPr>
            <w:tcW w:w="1398" w:type="dxa"/>
            <w:noWrap/>
            <w:vAlign w:val="center"/>
          </w:tcPr>
          <w:p w:rsidR="000F18FB" w:rsidRPr="000F18FB" w:rsidRDefault="000F18FB" w:rsidP="00B52D31">
            <w:pPr>
              <w:spacing w:after="0" w:line="240" w:lineRule="auto"/>
              <w:jc w:val="both"/>
              <w:rPr>
                <w:rFonts w:ascii="Times New Roman" w:eastAsia="Times New Roman" w:hAnsi="Times New Roman" w:cs="Times New Roman"/>
                <w:sz w:val="24"/>
                <w:szCs w:val="24"/>
                <w:lang w:eastAsia="sk-SK"/>
              </w:rPr>
            </w:pPr>
            <w:r w:rsidRPr="000F18FB">
              <w:rPr>
                <w:rFonts w:ascii="Times New Roman" w:eastAsia="Times New Roman" w:hAnsi="Times New Roman" w:cs="Times New Roman"/>
                <w:sz w:val="24"/>
                <w:szCs w:val="24"/>
                <w:lang w:eastAsia="sk-SK"/>
              </w:rPr>
              <w:t>0</w:t>
            </w:r>
          </w:p>
        </w:tc>
        <w:tc>
          <w:tcPr>
            <w:tcW w:w="1388" w:type="dxa"/>
            <w:noWrap/>
          </w:tcPr>
          <w:p w:rsidR="000F18FB" w:rsidRPr="000F18FB" w:rsidRDefault="000F18FB" w:rsidP="00B52D31">
            <w:pPr>
              <w:spacing w:after="0" w:line="240" w:lineRule="auto"/>
              <w:jc w:val="both"/>
              <w:rPr>
                <w:rFonts w:ascii="Times New Roman" w:eastAsia="Times New Roman" w:hAnsi="Times New Roman" w:cs="Times New Roman"/>
                <w:b/>
                <w:sz w:val="24"/>
                <w:szCs w:val="24"/>
                <w:lang w:eastAsia="sk-SK"/>
              </w:rPr>
            </w:pPr>
            <w:r w:rsidRPr="000F18FB">
              <w:rPr>
                <w:rFonts w:ascii="Times New Roman" w:eastAsia="Times New Roman" w:hAnsi="Times New Roman" w:cs="Times New Roman"/>
                <w:b/>
                <w:sz w:val="24"/>
                <w:szCs w:val="24"/>
                <w:lang w:eastAsia="sk-SK"/>
              </w:rPr>
              <w:t>400</w:t>
            </w:r>
          </w:p>
        </w:tc>
        <w:tc>
          <w:tcPr>
            <w:tcW w:w="1267" w:type="dxa"/>
            <w:noWrap/>
          </w:tcPr>
          <w:p w:rsidR="000F18FB" w:rsidRPr="000F18FB" w:rsidRDefault="000F18FB" w:rsidP="00B52D31">
            <w:pPr>
              <w:spacing w:after="0" w:line="240" w:lineRule="auto"/>
              <w:jc w:val="both"/>
              <w:rPr>
                <w:rFonts w:ascii="Times New Roman" w:eastAsia="Times New Roman" w:hAnsi="Times New Roman" w:cs="Times New Roman"/>
                <w:b/>
                <w:sz w:val="24"/>
                <w:szCs w:val="24"/>
                <w:lang w:eastAsia="sk-SK"/>
              </w:rPr>
            </w:pPr>
            <w:r w:rsidRPr="000F18FB">
              <w:rPr>
                <w:rFonts w:ascii="Times New Roman" w:eastAsia="Times New Roman" w:hAnsi="Times New Roman" w:cs="Times New Roman"/>
                <w:b/>
                <w:sz w:val="24"/>
                <w:szCs w:val="24"/>
                <w:lang w:eastAsia="sk-SK"/>
              </w:rPr>
              <w:t>0</w:t>
            </w:r>
          </w:p>
        </w:tc>
        <w:tc>
          <w:tcPr>
            <w:tcW w:w="1267" w:type="dxa"/>
            <w:noWrap/>
          </w:tcPr>
          <w:p w:rsidR="000F18FB" w:rsidRPr="000F18FB" w:rsidRDefault="000F18FB" w:rsidP="00B52D31">
            <w:pPr>
              <w:spacing w:after="0" w:line="240" w:lineRule="auto"/>
              <w:jc w:val="both"/>
              <w:rPr>
                <w:rFonts w:ascii="Times New Roman" w:eastAsia="Times New Roman" w:hAnsi="Times New Roman" w:cs="Times New Roman"/>
                <w:b/>
                <w:sz w:val="24"/>
                <w:szCs w:val="24"/>
                <w:lang w:eastAsia="sk-SK"/>
              </w:rPr>
            </w:pPr>
            <w:r w:rsidRPr="000F18FB">
              <w:rPr>
                <w:rFonts w:ascii="Times New Roman" w:eastAsia="Times New Roman" w:hAnsi="Times New Roman" w:cs="Times New Roman"/>
                <w:b/>
                <w:sz w:val="24"/>
                <w:szCs w:val="24"/>
                <w:lang w:eastAsia="sk-SK"/>
              </w:rPr>
              <w:t>0</w:t>
            </w:r>
          </w:p>
        </w:tc>
      </w:tr>
      <w:tr w:rsidR="000F18FB" w:rsidRPr="000F18FB" w:rsidTr="007E5887">
        <w:trPr>
          <w:trHeight w:val="70"/>
          <w:jc w:val="center"/>
        </w:trPr>
        <w:tc>
          <w:tcPr>
            <w:tcW w:w="4661" w:type="dxa"/>
            <w:noWrap/>
            <w:vAlign w:val="center"/>
          </w:tcPr>
          <w:p w:rsidR="000F18FB" w:rsidRPr="000F18FB" w:rsidRDefault="000F18FB" w:rsidP="00B52D31">
            <w:pPr>
              <w:spacing w:after="0" w:line="240" w:lineRule="auto"/>
              <w:jc w:val="both"/>
              <w:rPr>
                <w:rFonts w:ascii="Times New Roman" w:eastAsia="Times New Roman" w:hAnsi="Times New Roman" w:cs="Times New Roman"/>
                <w:b/>
                <w:bCs/>
                <w:i/>
                <w:iCs/>
                <w:sz w:val="24"/>
                <w:szCs w:val="24"/>
                <w:lang w:eastAsia="sk-SK"/>
              </w:rPr>
            </w:pPr>
            <w:r w:rsidRPr="000F18FB">
              <w:rPr>
                <w:rFonts w:ascii="Times New Roman" w:eastAsia="Times New Roman" w:hAnsi="Times New Roman" w:cs="Times New Roman"/>
                <w:b/>
                <w:bCs/>
                <w:i/>
                <w:iCs/>
                <w:sz w:val="24"/>
                <w:szCs w:val="24"/>
                <w:lang w:eastAsia="sk-SK"/>
              </w:rPr>
              <w:t xml:space="preserve">z toho:  </w:t>
            </w:r>
          </w:p>
        </w:tc>
        <w:tc>
          <w:tcPr>
            <w:tcW w:w="1398" w:type="dxa"/>
            <w:noWrap/>
            <w:vAlign w:val="center"/>
          </w:tcPr>
          <w:p w:rsidR="000F18FB" w:rsidRPr="000F18FB" w:rsidRDefault="000F18FB" w:rsidP="00B52D31">
            <w:pPr>
              <w:spacing w:after="0" w:line="240" w:lineRule="auto"/>
              <w:jc w:val="both"/>
              <w:rPr>
                <w:rFonts w:ascii="Times New Roman" w:eastAsia="Times New Roman" w:hAnsi="Times New Roman" w:cs="Times New Roman"/>
                <w:b/>
                <w:bCs/>
                <w:iCs/>
                <w:sz w:val="24"/>
                <w:szCs w:val="24"/>
                <w:lang w:eastAsia="sk-SK"/>
              </w:rPr>
            </w:pPr>
          </w:p>
        </w:tc>
        <w:tc>
          <w:tcPr>
            <w:tcW w:w="1388" w:type="dxa"/>
            <w:noWrap/>
            <w:vAlign w:val="center"/>
          </w:tcPr>
          <w:p w:rsidR="000F18FB" w:rsidRPr="000F18FB" w:rsidRDefault="000F18FB" w:rsidP="00B52D31">
            <w:pPr>
              <w:spacing w:after="0" w:line="240" w:lineRule="auto"/>
              <w:jc w:val="both"/>
              <w:rPr>
                <w:rFonts w:ascii="Times New Roman" w:eastAsia="Times New Roman" w:hAnsi="Times New Roman" w:cs="Times New Roman"/>
                <w:b/>
                <w:bCs/>
                <w:iCs/>
                <w:sz w:val="24"/>
                <w:szCs w:val="24"/>
                <w:lang w:eastAsia="sk-SK"/>
              </w:rPr>
            </w:pPr>
          </w:p>
        </w:tc>
        <w:tc>
          <w:tcPr>
            <w:tcW w:w="1267" w:type="dxa"/>
            <w:noWrap/>
            <w:vAlign w:val="center"/>
          </w:tcPr>
          <w:p w:rsidR="000F18FB" w:rsidRPr="000F18FB" w:rsidRDefault="000F18FB" w:rsidP="00B52D31">
            <w:pPr>
              <w:spacing w:after="0" w:line="240" w:lineRule="auto"/>
              <w:jc w:val="both"/>
              <w:rPr>
                <w:rFonts w:ascii="Times New Roman" w:eastAsia="Times New Roman" w:hAnsi="Times New Roman" w:cs="Times New Roman"/>
                <w:b/>
                <w:bCs/>
                <w:iCs/>
                <w:sz w:val="24"/>
                <w:szCs w:val="24"/>
                <w:lang w:eastAsia="sk-SK"/>
              </w:rPr>
            </w:pPr>
          </w:p>
        </w:tc>
        <w:tc>
          <w:tcPr>
            <w:tcW w:w="1267" w:type="dxa"/>
            <w:noWrap/>
            <w:vAlign w:val="center"/>
          </w:tcPr>
          <w:p w:rsidR="000F18FB" w:rsidRPr="000F18FB" w:rsidRDefault="000F18FB" w:rsidP="00B52D31">
            <w:pPr>
              <w:spacing w:after="0" w:line="240" w:lineRule="auto"/>
              <w:jc w:val="both"/>
              <w:rPr>
                <w:rFonts w:ascii="Times New Roman" w:eastAsia="Times New Roman" w:hAnsi="Times New Roman" w:cs="Times New Roman"/>
                <w:b/>
                <w:bCs/>
                <w:iCs/>
                <w:sz w:val="24"/>
                <w:szCs w:val="24"/>
                <w:lang w:eastAsia="sk-SK"/>
              </w:rPr>
            </w:pPr>
          </w:p>
        </w:tc>
      </w:tr>
      <w:tr w:rsidR="000F18FB" w:rsidRPr="000F18FB" w:rsidTr="007E5887">
        <w:trPr>
          <w:trHeight w:val="125"/>
          <w:jc w:val="center"/>
        </w:trPr>
        <w:tc>
          <w:tcPr>
            <w:tcW w:w="4661" w:type="dxa"/>
            <w:noWrap/>
            <w:vAlign w:val="center"/>
          </w:tcPr>
          <w:p w:rsidR="000F18FB" w:rsidRPr="000F18FB" w:rsidRDefault="000F18FB" w:rsidP="00B52D31">
            <w:pPr>
              <w:spacing w:after="0" w:line="240" w:lineRule="auto"/>
              <w:jc w:val="both"/>
              <w:rPr>
                <w:rFonts w:ascii="Times New Roman" w:eastAsia="Times New Roman" w:hAnsi="Times New Roman" w:cs="Times New Roman"/>
                <w:b/>
                <w:bCs/>
                <w:i/>
                <w:iCs/>
                <w:sz w:val="24"/>
                <w:szCs w:val="24"/>
                <w:lang w:eastAsia="sk-SK"/>
              </w:rPr>
            </w:pPr>
            <w:r w:rsidRPr="000F18FB">
              <w:rPr>
                <w:rFonts w:ascii="Times New Roman" w:eastAsia="Times New Roman" w:hAnsi="Times New Roman" w:cs="Times New Roman"/>
                <w:b/>
                <w:bCs/>
                <w:i/>
                <w:iCs/>
                <w:sz w:val="24"/>
                <w:szCs w:val="24"/>
                <w:lang w:eastAsia="sk-SK"/>
              </w:rPr>
              <w:t>- vplyv na ŠR</w:t>
            </w:r>
          </w:p>
        </w:tc>
        <w:tc>
          <w:tcPr>
            <w:tcW w:w="1398" w:type="dxa"/>
            <w:noWrap/>
            <w:vAlign w:val="center"/>
          </w:tcPr>
          <w:p w:rsidR="000F18FB" w:rsidRPr="000F18FB" w:rsidRDefault="000F18FB" w:rsidP="00B52D31">
            <w:pPr>
              <w:spacing w:after="0" w:line="240" w:lineRule="auto"/>
              <w:jc w:val="both"/>
              <w:rPr>
                <w:rFonts w:ascii="Times New Roman" w:eastAsia="Times New Roman" w:hAnsi="Times New Roman" w:cs="Times New Roman"/>
                <w:b/>
                <w:bCs/>
                <w:iCs/>
                <w:sz w:val="24"/>
                <w:szCs w:val="24"/>
                <w:lang w:eastAsia="sk-SK"/>
              </w:rPr>
            </w:pPr>
            <w:r w:rsidRPr="000F18FB">
              <w:rPr>
                <w:rFonts w:ascii="Times New Roman" w:eastAsia="Times New Roman" w:hAnsi="Times New Roman" w:cs="Times New Roman"/>
                <w:b/>
                <w:bCs/>
                <w:iCs/>
                <w:sz w:val="24"/>
                <w:szCs w:val="24"/>
                <w:lang w:eastAsia="sk-SK"/>
              </w:rPr>
              <w:t>0</w:t>
            </w:r>
          </w:p>
        </w:tc>
        <w:tc>
          <w:tcPr>
            <w:tcW w:w="1388" w:type="dxa"/>
            <w:noWrap/>
          </w:tcPr>
          <w:p w:rsidR="000F18FB" w:rsidRPr="000F18FB" w:rsidRDefault="000F18FB" w:rsidP="00B52D31">
            <w:pPr>
              <w:spacing w:after="0" w:line="240" w:lineRule="auto"/>
              <w:jc w:val="both"/>
              <w:rPr>
                <w:rFonts w:ascii="Times New Roman" w:eastAsia="Times New Roman" w:hAnsi="Times New Roman" w:cs="Times New Roman"/>
                <w:b/>
                <w:bCs/>
                <w:iCs/>
                <w:sz w:val="24"/>
                <w:szCs w:val="24"/>
                <w:lang w:eastAsia="sk-SK"/>
              </w:rPr>
            </w:pPr>
            <w:r w:rsidRPr="000F18FB">
              <w:rPr>
                <w:rFonts w:ascii="Times New Roman" w:eastAsia="Times New Roman" w:hAnsi="Times New Roman" w:cs="Times New Roman"/>
                <w:b/>
                <w:bCs/>
                <w:iCs/>
                <w:sz w:val="24"/>
                <w:szCs w:val="24"/>
                <w:lang w:eastAsia="sk-SK"/>
              </w:rPr>
              <w:t>400</w:t>
            </w:r>
          </w:p>
        </w:tc>
        <w:tc>
          <w:tcPr>
            <w:tcW w:w="1267" w:type="dxa"/>
            <w:noWrap/>
          </w:tcPr>
          <w:p w:rsidR="000F18FB" w:rsidRPr="000F18FB" w:rsidRDefault="000F18FB" w:rsidP="00B52D31">
            <w:pPr>
              <w:spacing w:after="0" w:line="240" w:lineRule="auto"/>
              <w:jc w:val="both"/>
              <w:rPr>
                <w:rFonts w:ascii="Times New Roman" w:eastAsia="Times New Roman" w:hAnsi="Times New Roman" w:cs="Times New Roman"/>
                <w:b/>
                <w:bCs/>
                <w:iCs/>
                <w:sz w:val="24"/>
                <w:szCs w:val="24"/>
                <w:lang w:eastAsia="sk-SK"/>
              </w:rPr>
            </w:pPr>
            <w:r w:rsidRPr="000F18FB">
              <w:rPr>
                <w:rFonts w:ascii="Times New Roman" w:eastAsia="Times New Roman" w:hAnsi="Times New Roman" w:cs="Times New Roman"/>
                <w:b/>
                <w:bCs/>
                <w:iCs/>
                <w:sz w:val="24"/>
                <w:szCs w:val="24"/>
                <w:lang w:eastAsia="sk-SK"/>
              </w:rPr>
              <w:t>0</w:t>
            </w:r>
          </w:p>
        </w:tc>
        <w:tc>
          <w:tcPr>
            <w:tcW w:w="1267" w:type="dxa"/>
            <w:noWrap/>
          </w:tcPr>
          <w:p w:rsidR="000F18FB" w:rsidRPr="000F18FB" w:rsidRDefault="000F18FB" w:rsidP="00B52D31">
            <w:pPr>
              <w:spacing w:after="0" w:line="240" w:lineRule="auto"/>
              <w:jc w:val="both"/>
              <w:rPr>
                <w:rFonts w:ascii="Times New Roman" w:eastAsia="Times New Roman" w:hAnsi="Times New Roman" w:cs="Times New Roman"/>
                <w:b/>
                <w:bCs/>
                <w:iCs/>
                <w:sz w:val="24"/>
                <w:szCs w:val="24"/>
                <w:lang w:eastAsia="sk-SK"/>
              </w:rPr>
            </w:pPr>
            <w:r w:rsidRPr="000F18FB">
              <w:rPr>
                <w:rFonts w:ascii="Times New Roman" w:eastAsia="Times New Roman" w:hAnsi="Times New Roman" w:cs="Times New Roman"/>
                <w:b/>
                <w:bCs/>
                <w:iCs/>
                <w:sz w:val="24"/>
                <w:szCs w:val="24"/>
                <w:lang w:eastAsia="sk-SK"/>
              </w:rPr>
              <w:t>0</w:t>
            </w:r>
          </w:p>
        </w:tc>
      </w:tr>
      <w:tr w:rsidR="000F18FB" w:rsidRPr="000F18FB" w:rsidTr="007E5887">
        <w:trPr>
          <w:trHeight w:val="125"/>
          <w:jc w:val="center"/>
        </w:trPr>
        <w:tc>
          <w:tcPr>
            <w:tcW w:w="4661" w:type="dxa"/>
            <w:noWrap/>
            <w:vAlign w:val="center"/>
          </w:tcPr>
          <w:p w:rsidR="000F18FB" w:rsidRPr="000F18FB" w:rsidRDefault="000F18FB" w:rsidP="00B52D31">
            <w:pPr>
              <w:spacing w:after="0" w:line="240" w:lineRule="auto"/>
              <w:ind w:left="259"/>
              <w:jc w:val="both"/>
              <w:rPr>
                <w:rFonts w:ascii="Times New Roman" w:eastAsia="Times New Roman" w:hAnsi="Times New Roman" w:cs="Times New Roman"/>
                <w:b/>
                <w:bCs/>
                <w:i/>
                <w:iCs/>
                <w:sz w:val="24"/>
                <w:szCs w:val="24"/>
                <w:lang w:eastAsia="sk-SK"/>
              </w:rPr>
            </w:pPr>
            <w:r w:rsidRPr="000F18FB">
              <w:rPr>
                <w:rFonts w:ascii="Times New Roman" w:eastAsia="Times New Roman" w:hAnsi="Times New Roman" w:cs="Times New Roman"/>
                <w:bCs/>
                <w:i/>
                <w:iCs/>
                <w:sz w:val="24"/>
                <w:szCs w:val="24"/>
                <w:lang w:eastAsia="sk-SK"/>
              </w:rPr>
              <w:t>Rozpočtové prostriedky</w:t>
            </w:r>
          </w:p>
        </w:tc>
        <w:tc>
          <w:tcPr>
            <w:tcW w:w="1398" w:type="dxa"/>
            <w:noWrap/>
            <w:vAlign w:val="center"/>
          </w:tcPr>
          <w:p w:rsidR="000F18FB" w:rsidRPr="000F18FB" w:rsidRDefault="000F18FB" w:rsidP="00B52D31">
            <w:pPr>
              <w:spacing w:after="0" w:line="240" w:lineRule="auto"/>
              <w:jc w:val="both"/>
              <w:rPr>
                <w:rFonts w:ascii="Times New Roman" w:eastAsia="Times New Roman" w:hAnsi="Times New Roman" w:cs="Times New Roman"/>
                <w:bCs/>
                <w:i/>
                <w:iCs/>
                <w:sz w:val="24"/>
                <w:szCs w:val="24"/>
                <w:lang w:eastAsia="sk-SK"/>
              </w:rPr>
            </w:pPr>
            <w:r w:rsidRPr="000F18FB">
              <w:rPr>
                <w:rFonts w:ascii="Times New Roman" w:eastAsia="Times New Roman" w:hAnsi="Times New Roman" w:cs="Times New Roman"/>
                <w:bCs/>
                <w:i/>
                <w:iCs/>
                <w:sz w:val="24"/>
                <w:szCs w:val="24"/>
                <w:lang w:eastAsia="sk-SK"/>
              </w:rPr>
              <w:t>0</w:t>
            </w:r>
          </w:p>
        </w:tc>
        <w:tc>
          <w:tcPr>
            <w:tcW w:w="1388" w:type="dxa"/>
            <w:noWrap/>
            <w:vAlign w:val="center"/>
          </w:tcPr>
          <w:p w:rsidR="000F18FB" w:rsidRPr="000F18FB" w:rsidRDefault="000F18FB" w:rsidP="00B52D31">
            <w:pPr>
              <w:spacing w:after="0" w:line="240" w:lineRule="auto"/>
              <w:jc w:val="both"/>
              <w:rPr>
                <w:rFonts w:ascii="Times New Roman" w:eastAsia="Times New Roman" w:hAnsi="Times New Roman" w:cs="Times New Roman"/>
                <w:bCs/>
                <w:i/>
                <w:iCs/>
                <w:sz w:val="24"/>
                <w:szCs w:val="24"/>
                <w:lang w:eastAsia="sk-SK"/>
              </w:rPr>
            </w:pPr>
            <w:r w:rsidRPr="000F18FB">
              <w:rPr>
                <w:rFonts w:ascii="Times New Roman" w:eastAsia="Times New Roman" w:hAnsi="Times New Roman" w:cs="Times New Roman"/>
                <w:bCs/>
                <w:i/>
                <w:iCs/>
                <w:sz w:val="24"/>
                <w:szCs w:val="24"/>
                <w:lang w:eastAsia="sk-SK"/>
              </w:rPr>
              <w:t>400</w:t>
            </w:r>
          </w:p>
        </w:tc>
        <w:tc>
          <w:tcPr>
            <w:tcW w:w="1267" w:type="dxa"/>
            <w:noWrap/>
            <w:vAlign w:val="center"/>
          </w:tcPr>
          <w:p w:rsidR="000F18FB" w:rsidRPr="000F18FB" w:rsidRDefault="000F18FB" w:rsidP="00B52D31">
            <w:pPr>
              <w:spacing w:after="0" w:line="240" w:lineRule="auto"/>
              <w:jc w:val="both"/>
              <w:rPr>
                <w:rFonts w:ascii="Times New Roman" w:eastAsia="Times New Roman" w:hAnsi="Times New Roman" w:cs="Times New Roman"/>
                <w:bCs/>
                <w:i/>
                <w:iCs/>
                <w:sz w:val="24"/>
                <w:szCs w:val="24"/>
                <w:lang w:eastAsia="sk-SK"/>
              </w:rPr>
            </w:pPr>
            <w:r w:rsidRPr="000F18FB">
              <w:rPr>
                <w:rFonts w:ascii="Times New Roman" w:eastAsia="Times New Roman" w:hAnsi="Times New Roman" w:cs="Times New Roman"/>
                <w:bCs/>
                <w:i/>
                <w:iCs/>
                <w:sz w:val="24"/>
                <w:szCs w:val="24"/>
                <w:lang w:eastAsia="sk-SK"/>
              </w:rPr>
              <w:t>0</w:t>
            </w:r>
          </w:p>
        </w:tc>
        <w:tc>
          <w:tcPr>
            <w:tcW w:w="1267" w:type="dxa"/>
            <w:noWrap/>
            <w:vAlign w:val="center"/>
          </w:tcPr>
          <w:p w:rsidR="000F18FB" w:rsidRPr="000F18FB" w:rsidRDefault="000F18FB" w:rsidP="00B52D31">
            <w:pPr>
              <w:spacing w:after="0" w:line="240" w:lineRule="auto"/>
              <w:jc w:val="both"/>
              <w:rPr>
                <w:rFonts w:ascii="Times New Roman" w:eastAsia="Times New Roman" w:hAnsi="Times New Roman" w:cs="Times New Roman"/>
                <w:bCs/>
                <w:i/>
                <w:iCs/>
                <w:sz w:val="24"/>
                <w:szCs w:val="24"/>
                <w:lang w:eastAsia="sk-SK"/>
              </w:rPr>
            </w:pPr>
            <w:r w:rsidRPr="000F18FB">
              <w:rPr>
                <w:rFonts w:ascii="Times New Roman" w:eastAsia="Times New Roman" w:hAnsi="Times New Roman" w:cs="Times New Roman"/>
                <w:bCs/>
                <w:i/>
                <w:iCs/>
                <w:sz w:val="24"/>
                <w:szCs w:val="24"/>
                <w:lang w:eastAsia="sk-SK"/>
              </w:rPr>
              <w:t>0</w:t>
            </w:r>
          </w:p>
        </w:tc>
      </w:tr>
      <w:tr w:rsidR="000F18FB" w:rsidRPr="000F18FB" w:rsidTr="007E5887">
        <w:trPr>
          <w:trHeight w:val="125"/>
          <w:jc w:val="center"/>
        </w:trPr>
        <w:tc>
          <w:tcPr>
            <w:tcW w:w="4661" w:type="dxa"/>
            <w:noWrap/>
            <w:vAlign w:val="center"/>
          </w:tcPr>
          <w:p w:rsidR="000F18FB" w:rsidRPr="000F18FB" w:rsidRDefault="000F18FB" w:rsidP="00B52D31">
            <w:pPr>
              <w:spacing w:after="0" w:line="240" w:lineRule="auto"/>
              <w:ind w:left="259"/>
              <w:jc w:val="both"/>
              <w:rPr>
                <w:rFonts w:ascii="Times New Roman" w:eastAsia="Times New Roman" w:hAnsi="Times New Roman" w:cs="Times New Roman"/>
                <w:bCs/>
                <w:i/>
                <w:iCs/>
                <w:sz w:val="24"/>
                <w:szCs w:val="24"/>
                <w:lang w:eastAsia="sk-SK"/>
              </w:rPr>
            </w:pPr>
            <w:r w:rsidRPr="000F18FB">
              <w:rPr>
                <w:rFonts w:ascii="Times New Roman" w:eastAsia="Times New Roman" w:hAnsi="Times New Roman" w:cs="Times New Roman"/>
                <w:bCs/>
                <w:i/>
                <w:iCs/>
                <w:sz w:val="24"/>
                <w:szCs w:val="24"/>
                <w:lang w:eastAsia="sk-SK"/>
              </w:rPr>
              <w:t>EÚ zdroje</w:t>
            </w:r>
          </w:p>
        </w:tc>
        <w:tc>
          <w:tcPr>
            <w:tcW w:w="1398" w:type="dxa"/>
            <w:noWrap/>
            <w:vAlign w:val="center"/>
          </w:tcPr>
          <w:p w:rsidR="000F18FB" w:rsidRPr="000F18FB" w:rsidRDefault="000F18FB" w:rsidP="00B52D31">
            <w:pPr>
              <w:spacing w:after="0" w:line="240" w:lineRule="auto"/>
              <w:jc w:val="both"/>
              <w:rPr>
                <w:rFonts w:ascii="Times New Roman" w:eastAsia="Times New Roman" w:hAnsi="Times New Roman" w:cs="Times New Roman"/>
                <w:sz w:val="24"/>
                <w:szCs w:val="24"/>
                <w:lang w:eastAsia="sk-SK"/>
              </w:rPr>
            </w:pPr>
            <w:r w:rsidRPr="000F18FB">
              <w:rPr>
                <w:rFonts w:ascii="Times New Roman" w:eastAsia="Times New Roman" w:hAnsi="Times New Roman" w:cs="Times New Roman"/>
                <w:sz w:val="24"/>
                <w:szCs w:val="24"/>
                <w:lang w:eastAsia="sk-SK"/>
              </w:rPr>
              <w:t>0</w:t>
            </w:r>
          </w:p>
        </w:tc>
        <w:tc>
          <w:tcPr>
            <w:tcW w:w="1388" w:type="dxa"/>
            <w:noWrap/>
            <w:vAlign w:val="center"/>
          </w:tcPr>
          <w:p w:rsidR="000F18FB" w:rsidRPr="000F18FB" w:rsidRDefault="000F18FB" w:rsidP="00B52D31">
            <w:pPr>
              <w:spacing w:after="0" w:line="240" w:lineRule="auto"/>
              <w:jc w:val="both"/>
              <w:rPr>
                <w:rFonts w:ascii="Times New Roman" w:eastAsia="Times New Roman" w:hAnsi="Times New Roman" w:cs="Times New Roman"/>
                <w:sz w:val="24"/>
                <w:szCs w:val="24"/>
                <w:lang w:eastAsia="sk-SK"/>
              </w:rPr>
            </w:pPr>
            <w:r w:rsidRPr="000F18FB">
              <w:rPr>
                <w:rFonts w:ascii="Times New Roman" w:eastAsia="Times New Roman" w:hAnsi="Times New Roman" w:cs="Times New Roman"/>
                <w:sz w:val="24"/>
                <w:szCs w:val="24"/>
                <w:lang w:eastAsia="sk-SK"/>
              </w:rPr>
              <w:t>0</w:t>
            </w:r>
          </w:p>
        </w:tc>
        <w:tc>
          <w:tcPr>
            <w:tcW w:w="1267" w:type="dxa"/>
            <w:noWrap/>
            <w:vAlign w:val="center"/>
          </w:tcPr>
          <w:p w:rsidR="000F18FB" w:rsidRPr="000F18FB" w:rsidRDefault="000F18FB" w:rsidP="00B52D31">
            <w:pPr>
              <w:spacing w:after="0" w:line="240" w:lineRule="auto"/>
              <w:jc w:val="both"/>
              <w:rPr>
                <w:rFonts w:ascii="Times New Roman" w:eastAsia="Times New Roman" w:hAnsi="Times New Roman" w:cs="Times New Roman"/>
                <w:sz w:val="24"/>
                <w:szCs w:val="24"/>
                <w:lang w:eastAsia="sk-SK"/>
              </w:rPr>
            </w:pPr>
            <w:r w:rsidRPr="000F18FB">
              <w:rPr>
                <w:rFonts w:ascii="Times New Roman" w:eastAsia="Times New Roman" w:hAnsi="Times New Roman" w:cs="Times New Roman"/>
                <w:sz w:val="24"/>
                <w:szCs w:val="24"/>
                <w:lang w:eastAsia="sk-SK"/>
              </w:rPr>
              <w:t>0</w:t>
            </w:r>
          </w:p>
        </w:tc>
        <w:tc>
          <w:tcPr>
            <w:tcW w:w="1267" w:type="dxa"/>
            <w:noWrap/>
            <w:vAlign w:val="center"/>
          </w:tcPr>
          <w:p w:rsidR="000F18FB" w:rsidRPr="000F18FB" w:rsidRDefault="000F18FB" w:rsidP="00B52D31">
            <w:pPr>
              <w:spacing w:after="0" w:line="240" w:lineRule="auto"/>
              <w:jc w:val="both"/>
              <w:rPr>
                <w:rFonts w:ascii="Times New Roman" w:eastAsia="Times New Roman" w:hAnsi="Times New Roman" w:cs="Times New Roman"/>
                <w:sz w:val="24"/>
                <w:szCs w:val="24"/>
                <w:lang w:eastAsia="sk-SK"/>
              </w:rPr>
            </w:pPr>
            <w:r w:rsidRPr="000F18FB">
              <w:rPr>
                <w:rFonts w:ascii="Times New Roman" w:eastAsia="Times New Roman" w:hAnsi="Times New Roman" w:cs="Times New Roman"/>
                <w:sz w:val="24"/>
                <w:szCs w:val="24"/>
                <w:lang w:eastAsia="sk-SK"/>
              </w:rPr>
              <w:t>0</w:t>
            </w:r>
          </w:p>
        </w:tc>
      </w:tr>
      <w:tr w:rsidR="000F18FB" w:rsidRPr="000F18FB" w:rsidTr="007E5887">
        <w:trPr>
          <w:trHeight w:val="125"/>
          <w:jc w:val="center"/>
        </w:trPr>
        <w:tc>
          <w:tcPr>
            <w:tcW w:w="4661" w:type="dxa"/>
            <w:shd w:val="clear" w:color="auto" w:fill="C0C0C0"/>
            <w:noWrap/>
            <w:vAlign w:val="center"/>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Výdavky verejnej správy celkom</w:t>
            </w:r>
          </w:p>
        </w:tc>
        <w:tc>
          <w:tcPr>
            <w:tcW w:w="1398" w:type="dxa"/>
            <w:shd w:val="clear" w:color="auto" w:fill="C0C0C0"/>
            <w:noWrap/>
            <w:vAlign w:val="center"/>
          </w:tcPr>
          <w:p w:rsidR="000F18FB" w:rsidRPr="000F18FB" w:rsidRDefault="000F18FB" w:rsidP="00B52D31">
            <w:pPr>
              <w:spacing w:after="0" w:line="240" w:lineRule="auto"/>
              <w:jc w:val="both"/>
              <w:rPr>
                <w:rFonts w:ascii="Times New Roman" w:eastAsia="Times New Roman" w:hAnsi="Times New Roman" w:cs="Times New Roman"/>
                <w:b/>
                <w:bCs/>
                <w:iCs/>
                <w:sz w:val="24"/>
                <w:szCs w:val="24"/>
                <w:lang w:eastAsia="sk-SK"/>
              </w:rPr>
            </w:pPr>
            <w:r w:rsidRPr="000F18FB">
              <w:rPr>
                <w:rFonts w:ascii="Times New Roman" w:eastAsia="Times New Roman" w:hAnsi="Times New Roman" w:cs="Times New Roman"/>
                <w:b/>
                <w:bCs/>
                <w:iCs/>
                <w:sz w:val="24"/>
                <w:szCs w:val="24"/>
                <w:lang w:eastAsia="sk-SK"/>
              </w:rPr>
              <w:t>0</w:t>
            </w:r>
          </w:p>
        </w:tc>
        <w:tc>
          <w:tcPr>
            <w:tcW w:w="1388" w:type="dxa"/>
            <w:shd w:val="clear" w:color="auto" w:fill="C0C0C0"/>
            <w:noWrap/>
            <w:vAlign w:val="center"/>
          </w:tcPr>
          <w:p w:rsidR="000F18FB" w:rsidRPr="000F18FB" w:rsidRDefault="000F18FB" w:rsidP="00B52D31">
            <w:pPr>
              <w:spacing w:after="0" w:line="240" w:lineRule="auto"/>
              <w:jc w:val="both"/>
              <w:rPr>
                <w:rFonts w:ascii="Times New Roman" w:eastAsia="Times New Roman" w:hAnsi="Times New Roman" w:cs="Times New Roman"/>
                <w:b/>
                <w:bCs/>
                <w:iCs/>
                <w:sz w:val="24"/>
                <w:szCs w:val="24"/>
                <w:lang w:eastAsia="sk-SK"/>
              </w:rPr>
            </w:pPr>
            <w:r w:rsidRPr="000F18FB">
              <w:rPr>
                <w:rFonts w:ascii="Times New Roman" w:eastAsia="Times New Roman" w:hAnsi="Times New Roman" w:cs="Times New Roman"/>
                <w:b/>
                <w:bCs/>
                <w:iCs/>
                <w:sz w:val="24"/>
                <w:szCs w:val="24"/>
                <w:lang w:eastAsia="sk-SK"/>
              </w:rPr>
              <w:t>0</w:t>
            </w:r>
          </w:p>
        </w:tc>
        <w:tc>
          <w:tcPr>
            <w:tcW w:w="1267" w:type="dxa"/>
            <w:shd w:val="clear" w:color="auto" w:fill="C0C0C0"/>
            <w:noWrap/>
            <w:vAlign w:val="center"/>
          </w:tcPr>
          <w:p w:rsidR="000F18FB" w:rsidRPr="000F18FB" w:rsidRDefault="000F18FB" w:rsidP="00B52D31">
            <w:pPr>
              <w:spacing w:after="0" w:line="240" w:lineRule="auto"/>
              <w:jc w:val="both"/>
              <w:rPr>
                <w:rFonts w:ascii="Times New Roman" w:eastAsia="Times New Roman" w:hAnsi="Times New Roman" w:cs="Times New Roman"/>
                <w:b/>
                <w:bCs/>
                <w:iCs/>
                <w:sz w:val="24"/>
                <w:szCs w:val="24"/>
                <w:lang w:eastAsia="sk-SK"/>
              </w:rPr>
            </w:pPr>
            <w:r w:rsidRPr="000F18FB">
              <w:rPr>
                <w:rFonts w:ascii="Times New Roman" w:eastAsia="Times New Roman" w:hAnsi="Times New Roman" w:cs="Times New Roman"/>
                <w:b/>
                <w:bCs/>
                <w:iCs/>
                <w:sz w:val="24"/>
                <w:szCs w:val="24"/>
                <w:lang w:eastAsia="sk-SK"/>
              </w:rPr>
              <w:t>0</w:t>
            </w:r>
          </w:p>
        </w:tc>
        <w:tc>
          <w:tcPr>
            <w:tcW w:w="1267" w:type="dxa"/>
            <w:shd w:val="clear" w:color="auto" w:fill="C0C0C0"/>
            <w:noWrap/>
            <w:vAlign w:val="center"/>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0</w:t>
            </w:r>
          </w:p>
        </w:tc>
      </w:tr>
      <w:tr w:rsidR="000F18FB" w:rsidRPr="000F18FB" w:rsidTr="007E5887">
        <w:trPr>
          <w:trHeight w:val="70"/>
          <w:jc w:val="center"/>
        </w:trPr>
        <w:tc>
          <w:tcPr>
            <w:tcW w:w="4661" w:type="dxa"/>
            <w:noWrap/>
            <w:vAlign w:val="center"/>
          </w:tcPr>
          <w:p w:rsidR="000F18FB" w:rsidRPr="000F18FB" w:rsidRDefault="000F18FB" w:rsidP="00B52D31">
            <w:pPr>
              <w:spacing w:after="0" w:line="240" w:lineRule="auto"/>
              <w:jc w:val="both"/>
              <w:rPr>
                <w:rFonts w:ascii="Times New Roman" w:eastAsia="Times New Roman" w:hAnsi="Times New Roman" w:cs="Times New Roman"/>
                <w:b/>
                <w:sz w:val="24"/>
                <w:szCs w:val="24"/>
                <w:lang w:eastAsia="sk-SK"/>
              </w:rPr>
            </w:pPr>
            <w:r w:rsidRPr="000F18FB">
              <w:rPr>
                <w:rFonts w:ascii="Times New Roman" w:eastAsia="Times New Roman" w:hAnsi="Times New Roman" w:cs="Times New Roman"/>
                <w:b/>
                <w:sz w:val="24"/>
                <w:szCs w:val="24"/>
                <w:lang w:eastAsia="sk-SK"/>
              </w:rPr>
              <w:t xml:space="preserve">v tom: </w:t>
            </w:r>
          </w:p>
        </w:tc>
        <w:tc>
          <w:tcPr>
            <w:tcW w:w="1398" w:type="dxa"/>
            <w:noWrap/>
            <w:vAlign w:val="center"/>
          </w:tcPr>
          <w:p w:rsidR="000F18FB" w:rsidRPr="000F18FB" w:rsidRDefault="000F18FB" w:rsidP="00B52D31">
            <w:pPr>
              <w:spacing w:after="0" w:line="240" w:lineRule="auto"/>
              <w:jc w:val="both"/>
              <w:rPr>
                <w:rFonts w:ascii="Times New Roman" w:eastAsia="Times New Roman" w:hAnsi="Times New Roman" w:cs="Times New Roman"/>
                <w:b/>
                <w:bCs/>
                <w:iCs/>
                <w:sz w:val="24"/>
                <w:szCs w:val="24"/>
                <w:lang w:eastAsia="sk-SK"/>
              </w:rPr>
            </w:pPr>
            <w:r w:rsidRPr="000F18FB">
              <w:rPr>
                <w:rFonts w:ascii="Times New Roman" w:eastAsia="Times New Roman" w:hAnsi="Times New Roman" w:cs="Times New Roman"/>
                <w:b/>
                <w:bCs/>
                <w:iCs/>
                <w:sz w:val="24"/>
                <w:szCs w:val="24"/>
                <w:lang w:eastAsia="sk-SK"/>
              </w:rPr>
              <w:t>0</w:t>
            </w:r>
          </w:p>
        </w:tc>
        <w:tc>
          <w:tcPr>
            <w:tcW w:w="1388" w:type="dxa"/>
            <w:noWrap/>
            <w:vAlign w:val="center"/>
          </w:tcPr>
          <w:p w:rsidR="000F18FB" w:rsidRPr="000F18FB" w:rsidRDefault="000F18FB" w:rsidP="00B52D31">
            <w:pPr>
              <w:spacing w:after="0" w:line="240" w:lineRule="auto"/>
              <w:jc w:val="both"/>
              <w:rPr>
                <w:rFonts w:ascii="Times New Roman" w:eastAsia="Times New Roman" w:hAnsi="Times New Roman" w:cs="Times New Roman"/>
                <w:b/>
                <w:bCs/>
                <w:iCs/>
                <w:sz w:val="24"/>
                <w:szCs w:val="24"/>
                <w:lang w:eastAsia="sk-SK"/>
              </w:rPr>
            </w:pPr>
            <w:r w:rsidRPr="000F18FB">
              <w:rPr>
                <w:rFonts w:ascii="Times New Roman" w:eastAsia="Times New Roman" w:hAnsi="Times New Roman" w:cs="Times New Roman"/>
                <w:b/>
                <w:bCs/>
                <w:iCs/>
                <w:sz w:val="24"/>
                <w:szCs w:val="24"/>
                <w:lang w:eastAsia="sk-SK"/>
              </w:rPr>
              <w:t>0</w:t>
            </w:r>
          </w:p>
        </w:tc>
        <w:tc>
          <w:tcPr>
            <w:tcW w:w="1267" w:type="dxa"/>
            <w:noWrap/>
            <w:vAlign w:val="center"/>
          </w:tcPr>
          <w:p w:rsidR="000F18FB" w:rsidRPr="000F18FB" w:rsidRDefault="000F18FB" w:rsidP="00B52D31">
            <w:pPr>
              <w:spacing w:after="0" w:line="240" w:lineRule="auto"/>
              <w:jc w:val="both"/>
              <w:rPr>
                <w:rFonts w:ascii="Times New Roman" w:eastAsia="Times New Roman" w:hAnsi="Times New Roman" w:cs="Times New Roman"/>
                <w:b/>
                <w:bCs/>
                <w:iCs/>
                <w:sz w:val="24"/>
                <w:szCs w:val="24"/>
                <w:lang w:eastAsia="sk-SK"/>
              </w:rPr>
            </w:pPr>
            <w:r w:rsidRPr="000F18FB">
              <w:rPr>
                <w:rFonts w:ascii="Times New Roman" w:eastAsia="Times New Roman" w:hAnsi="Times New Roman" w:cs="Times New Roman"/>
                <w:b/>
                <w:bCs/>
                <w:iCs/>
                <w:sz w:val="24"/>
                <w:szCs w:val="24"/>
                <w:lang w:eastAsia="sk-SK"/>
              </w:rPr>
              <w:t>0</w:t>
            </w:r>
          </w:p>
        </w:tc>
        <w:tc>
          <w:tcPr>
            <w:tcW w:w="1267" w:type="dxa"/>
            <w:noWrap/>
            <w:vAlign w:val="center"/>
          </w:tcPr>
          <w:p w:rsidR="000F18FB" w:rsidRPr="000F18FB" w:rsidRDefault="000F18FB" w:rsidP="00B52D31">
            <w:pPr>
              <w:spacing w:after="0" w:line="240" w:lineRule="auto"/>
              <w:jc w:val="both"/>
              <w:rPr>
                <w:rFonts w:ascii="Times New Roman" w:eastAsia="Times New Roman" w:hAnsi="Times New Roman" w:cs="Times New Roman"/>
                <w:b/>
                <w:bCs/>
                <w:iCs/>
                <w:sz w:val="24"/>
                <w:szCs w:val="24"/>
                <w:lang w:eastAsia="sk-SK"/>
              </w:rPr>
            </w:pPr>
            <w:r w:rsidRPr="000F18FB">
              <w:rPr>
                <w:rFonts w:ascii="Times New Roman" w:eastAsia="Times New Roman" w:hAnsi="Times New Roman" w:cs="Times New Roman"/>
                <w:b/>
                <w:bCs/>
                <w:iCs/>
                <w:sz w:val="24"/>
                <w:szCs w:val="24"/>
                <w:lang w:eastAsia="sk-SK"/>
              </w:rPr>
              <w:t>0</w:t>
            </w:r>
          </w:p>
        </w:tc>
      </w:tr>
      <w:tr w:rsidR="000F18FB" w:rsidRPr="000F18FB" w:rsidTr="007E5887">
        <w:trPr>
          <w:trHeight w:val="70"/>
          <w:jc w:val="center"/>
        </w:trPr>
        <w:tc>
          <w:tcPr>
            <w:tcW w:w="4661" w:type="dxa"/>
            <w:noWrap/>
            <w:vAlign w:val="center"/>
          </w:tcPr>
          <w:p w:rsidR="000F18FB" w:rsidRPr="000F18FB" w:rsidRDefault="000F18FB" w:rsidP="00B52D31">
            <w:pPr>
              <w:spacing w:after="0" w:line="240" w:lineRule="auto"/>
              <w:jc w:val="both"/>
              <w:rPr>
                <w:rFonts w:ascii="Times New Roman" w:eastAsia="Times New Roman" w:hAnsi="Times New Roman" w:cs="Times New Roman"/>
                <w:b/>
                <w:bCs/>
                <w:i/>
                <w:iCs/>
                <w:sz w:val="24"/>
                <w:szCs w:val="24"/>
                <w:lang w:eastAsia="sk-SK"/>
              </w:rPr>
            </w:pPr>
            <w:r w:rsidRPr="000F18FB">
              <w:rPr>
                <w:rFonts w:ascii="Times New Roman" w:eastAsia="Times New Roman" w:hAnsi="Times New Roman" w:cs="Times New Roman"/>
                <w:b/>
                <w:bCs/>
                <w:i/>
                <w:iCs/>
                <w:sz w:val="24"/>
                <w:szCs w:val="24"/>
                <w:lang w:eastAsia="sk-SK"/>
              </w:rPr>
              <w:t xml:space="preserve">z toho: </w:t>
            </w:r>
          </w:p>
        </w:tc>
        <w:tc>
          <w:tcPr>
            <w:tcW w:w="1398" w:type="dxa"/>
            <w:noWrap/>
            <w:vAlign w:val="center"/>
          </w:tcPr>
          <w:p w:rsidR="000F18FB" w:rsidRPr="000F18FB" w:rsidRDefault="000F18FB" w:rsidP="00B52D31">
            <w:pPr>
              <w:spacing w:after="0" w:line="240" w:lineRule="auto"/>
              <w:jc w:val="both"/>
              <w:rPr>
                <w:rFonts w:ascii="Times New Roman" w:eastAsia="Times New Roman" w:hAnsi="Times New Roman" w:cs="Times New Roman"/>
                <w:b/>
                <w:bCs/>
                <w:iCs/>
                <w:sz w:val="24"/>
                <w:szCs w:val="24"/>
                <w:lang w:eastAsia="sk-SK"/>
              </w:rPr>
            </w:pPr>
          </w:p>
        </w:tc>
        <w:tc>
          <w:tcPr>
            <w:tcW w:w="1388" w:type="dxa"/>
            <w:noWrap/>
            <w:vAlign w:val="center"/>
          </w:tcPr>
          <w:p w:rsidR="000F18FB" w:rsidRPr="000F18FB" w:rsidRDefault="000F18FB" w:rsidP="00B52D31">
            <w:pPr>
              <w:spacing w:after="0" w:line="240" w:lineRule="auto"/>
              <w:jc w:val="both"/>
              <w:rPr>
                <w:rFonts w:ascii="Times New Roman" w:eastAsia="Times New Roman" w:hAnsi="Times New Roman" w:cs="Times New Roman"/>
                <w:b/>
                <w:bCs/>
                <w:iCs/>
                <w:sz w:val="24"/>
                <w:szCs w:val="24"/>
                <w:lang w:eastAsia="sk-SK"/>
              </w:rPr>
            </w:pPr>
          </w:p>
        </w:tc>
        <w:tc>
          <w:tcPr>
            <w:tcW w:w="1267" w:type="dxa"/>
            <w:noWrap/>
            <w:vAlign w:val="center"/>
          </w:tcPr>
          <w:p w:rsidR="000F18FB" w:rsidRPr="000F18FB" w:rsidRDefault="000F18FB" w:rsidP="00B52D31">
            <w:pPr>
              <w:spacing w:after="0" w:line="240" w:lineRule="auto"/>
              <w:jc w:val="both"/>
              <w:rPr>
                <w:rFonts w:ascii="Times New Roman" w:eastAsia="Times New Roman" w:hAnsi="Times New Roman" w:cs="Times New Roman"/>
                <w:b/>
                <w:bCs/>
                <w:iCs/>
                <w:sz w:val="24"/>
                <w:szCs w:val="24"/>
                <w:lang w:eastAsia="sk-SK"/>
              </w:rPr>
            </w:pPr>
          </w:p>
        </w:tc>
        <w:tc>
          <w:tcPr>
            <w:tcW w:w="1267" w:type="dxa"/>
            <w:noWrap/>
            <w:vAlign w:val="center"/>
          </w:tcPr>
          <w:p w:rsidR="000F18FB" w:rsidRPr="000F18FB" w:rsidRDefault="000F18FB" w:rsidP="00B52D31">
            <w:pPr>
              <w:spacing w:after="0" w:line="240" w:lineRule="auto"/>
              <w:jc w:val="both"/>
              <w:rPr>
                <w:rFonts w:ascii="Times New Roman" w:eastAsia="Times New Roman" w:hAnsi="Times New Roman" w:cs="Times New Roman"/>
                <w:b/>
                <w:bCs/>
                <w:iCs/>
                <w:sz w:val="24"/>
                <w:szCs w:val="24"/>
                <w:lang w:eastAsia="sk-SK"/>
              </w:rPr>
            </w:pPr>
          </w:p>
        </w:tc>
      </w:tr>
      <w:tr w:rsidR="000F18FB" w:rsidRPr="000F18FB" w:rsidTr="007E5887">
        <w:trPr>
          <w:trHeight w:val="70"/>
          <w:jc w:val="center"/>
        </w:trPr>
        <w:tc>
          <w:tcPr>
            <w:tcW w:w="4661" w:type="dxa"/>
            <w:noWrap/>
            <w:vAlign w:val="center"/>
          </w:tcPr>
          <w:p w:rsidR="000F18FB" w:rsidRPr="000F18FB" w:rsidRDefault="000F18FB" w:rsidP="00B52D31">
            <w:pPr>
              <w:spacing w:after="0" w:line="240" w:lineRule="auto"/>
              <w:jc w:val="both"/>
              <w:rPr>
                <w:rFonts w:ascii="Times New Roman" w:eastAsia="Times New Roman" w:hAnsi="Times New Roman" w:cs="Times New Roman"/>
                <w:b/>
                <w:bCs/>
                <w:i/>
                <w:iCs/>
                <w:sz w:val="24"/>
                <w:szCs w:val="24"/>
                <w:lang w:eastAsia="sk-SK"/>
              </w:rPr>
            </w:pPr>
            <w:r w:rsidRPr="000F18FB">
              <w:rPr>
                <w:rFonts w:ascii="Times New Roman" w:eastAsia="Times New Roman" w:hAnsi="Times New Roman" w:cs="Times New Roman"/>
                <w:b/>
                <w:bCs/>
                <w:i/>
                <w:iCs/>
                <w:sz w:val="24"/>
                <w:szCs w:val="24"/>
                <w:lang w:eastAsia="sk-SK"/>
              </w:rPr>
              <w:t>- vplyv na ŠR</w:t>
            </w:r>
          </w:p>
        </w:tc>
        <w:tc>
          <w:tcPr>
            <w:tcW w:w="1398" w:type="dxa"/>
            <w:noWrap/>
            <w:vAlign w:val="center"/>
          </w:tcPr>
          <w:p w:rsidR="000F18FB" w:rsidRPr="000F18FB" w:rsidRDefault="000F18FB" w:rsidP="00B52D31">
            <w:pPr>
              <w:spacing w:after="0" w:line="240" w:lineRule="auto"/>
              <w:jc w:val="both"/>
              <w:rPr>
                <w:rFonts w:ascii="Times New Roman" w:eastAsia="Times New Roman" w:hAnsi="Times New Roman" w:cs="Times New Roman"/>
                <w:b/>
                <w:bCs/>
                <w:iCs/>
                <w:sz w:val="24"/>
                <w:szCs w:val="24"/>
                <w:lang w:eastAsia="sk-SK"/>
              </w:rPr>
            </w:pPr>
            <w:r w:rsidRPr="000F18FB">
              <w:rPr>
                <w:rFonts w:ascii="Times New Roman" w:eastAsia="Times New Roman" w:hAnsi="Times New Roman" w:cs="Times New Roman"/>
                <w:b/>
                <w:bCs/>
                <w:iCs/>
                <w:sz w:val="24"/>
                <w:szCs w:val="24"/>
                <w:lang w:eastAsia="sk-SK"/>
              </w:rPr>
              <w:t>0</w:t>
            </w:r>
          </w:p>
        </w:tc>
        <w:tc>
          <w:tcPr>
            <w:tcW w:w="1388" w:type="dxa"/>
            <w:noWrap/>
            <w:vAlign w:val="center"/>
          </w:tcPr>
          <w:p w:rsidR="000F18FB" w:rsidRPr="000F18FB" w:rsidRDefault="000F18FB" w:rsidP="00B52D31">
            <w:pPr>
              <w:spacing w:after="0" w:line="240" w:lineRule="auto"/>
              <w:jc w:val="both"/>
              <w:rPr>
                <w:rFonts w:ascii="Times New Roman" w:eastAsia="Times New Roman" w:hAnsi="Times New Roman" w:cs="Times New Roman"/>
                <w:b/>
                <w:bCs/>
                <w:iCs/>
                <w:sz w:val="24"/>
                <w:szCs w:val="24"/>
                <w:lang w:eastAsia="sk-SK"/>
              </w:rPr>
            </w:pPr>
            <w:r w:rsidRPr="000F18FB">
              <w:rPr>
                <w:rFonts w:ascii="Times New Roman" w:eastAsia="Times New Roman" w:hAnsi="Times New Roman" w:cs="Times New Roman"/>
                <w:b/>
                <w:bCs/>
                <w:iCs/>
                <w:sz w:val="24"/>
                <w:szCs w:val="24"/>
                <w:lang w:eastAsia="sk-SK"/>
              </w:rPr>
              <w:t>0</w:t>
            </w:r>
          </w:p>
        </w:tc>
        <w:tc>
          <w:tcPr>
            <w:tcW w:w="1267" w:type="dxa"/>
            <w:noWrap/>
            <w:vAlign w:val="center"/>
          </w:tcPr>
          <w:p w:rsidR="000F18FB" w:rsidRPr="000F18FB" w:rsidRDefault="000F18FB" w:rsidP="00B52D31">
            <w:pPr>
              <w:spacing w:after="0" w:line="240" w:lineRule="auto"/>
              <w:jc w:val="both"/>
              <w:rPr>
                <w:rFonts w:ascii="Times New Roman" w:eastAsia="Times New Roman" w:hAnsi="Times New Roman" w:cs="Times New Roman"/>
                <w:b/>
                <w:bCs/>
                <w:iCs/>
                <w:sz w:val="24"/>
                <w:szCs w:val="24"/>
                <w:lang w:eastAsia="sk-SK"/>
              </w:rPr>
            </w:pPr>
            <w:r w:rsidRPr="000F18FB">
              <w:rPr>
                <w:rFonts w:ascii="Times New Roman" w:eastAsia="Times New Roman" w:hAnsi="Times New Roman" w:cs="Times New Roman"/>
                <w:b/>
                <w:bCs/>
                <w:iCs/>
                <w:sz w:val="24"/>
                <w:szCs w:val="24"/>
                <w:lang w:eastAsia="sk-SK"/>
              </w:rPr>
              <w:t>0</w:t>
            </w:r>
          </w:p>
        </w:tc>
        <w:tc>
          <w:tcPr>
            <w:tcW w:w="1267" w:type="dxa"/>
            <w:noWrap/>
            <w:vAlign w:val="center"/>
          </w:tcPr>
          <w:p w:rsidR="000F18FB" w:rsidRPr="000F18FB" w:rsidRDefault="000F18FB" w:rsidP="00B52D31">
            <w:pPr>
              <w:spacing w:after="0" w:line="240" w:lineRule="auto"/>
              <w:jc w:val="both"/>
              <w:rPr>
                <w:rFonts w:ascii="Times New Roman" w:eastAsia="Times New Roman" w:hAnsi="Times New Roman" w:cs="Times New Roman"/>
                <w:b/>
                <w:bCs/>
                <w:iCs/>
                <w:sz w:val="24"/>
                <w:szCs w:val="24"/>
                <w:lang w:eastAsia="sk-SK"/>
              </w:rPr>
            </w:pPr>
            <w:r w:rsidRPr="000F18FB">
              <w:rPr>
                <w:rFonts w:ascii="Times New Roman" w:eastAsia="Times New Roman" w:hAnsi="Times New Roman" w:cs="Times New Roman"/>
                <w:b/>
                <w:bCs/>
                <w:iCs/>
                <w:sz w:val="24"/>
                <w:szCs w:val="24"/>
                <w:lang w:eastAsia="sk-SK"/>
              </w:rPr>
              <w:t>0</w:t>
            </w:r>
          </w:p>
        </w:tc>
      </w:tr>
      <w:tr w:rsidR="000F18FB" w:rsidRPr="000F18FB" w:rsidTr="007E5887">
        <w:trPr>
          <w:trHeight w:val="70"/>
          <w:jc w:val="center"/>
        </w:trPr>
        <w:tc>
          <w:tcPr>
            <w:tcW w:w="4661" w:type="dxa"/>
            <w:noWrap/>
            <w:vAlign w:val="center"/>
          </w:tcPr>
          <w:p w:rsidR="000F18FB" w:rsidRPr="000F18FB" w:rsidRDefault="000F18FB" w:rsidP="00B52D31">
            <w:pPr>
              <w:spacing w:after="0" w:line="240" w:lineRule="auto"/>
              <w:ind w:left="259"/>
              <w:jc w:val="both"/>
              <w:rPr>
                <w:rFonts w:ascii="Times New Roman" w:eastAsia="Times New Roman" w:hAnsi="Times New Roman" w:cs="Times New Roman"/>
                <w:b/>
                <w:bCs/>
                <w:i/>
                <w:iCs/>
                <w:sz w:val="24"/>
                <w:szCs w:val="24"/>
                <w:lang w:eastAsia="sk-SK"/>
              </w:rPr>
            </w:pPr>
            <w:r w:rsidRPr="000F18FB">
              <w:rPr>
                <w:rFonts w:ascii="Times New Roman" w:eastAsia="Times New Roman" w:hAnsi="Times New Roman" w:cs="Times New Roman"/>
                <w:bCs/>
                <w:i/>
                <w:iCs/>
                <w:sz w:val="24"/>
                <w:szCs w:val="24"/>
                <w:lang w:eastAsia="sk-SK"/>
              </w:rPr>
              <w:t>Rozpočtové prostriedky</w:t>
            </w:r>
          </w:p>
        </w:tc>
        <w:tc>
          <w:tcPr>
            <w:tcW w:w="1398" w:type="dxa"/>
            <w:noWrap/>
            <w:vAlign w:val="center"/>
          </w:tcPr>
          <w:p w:rsidR="000F18FB" w:rsidRPr="000F18FB" w:rsidRDefault="000F18FB" w:rsidP="00B52D31">
            <w:pPr>
              <w:spacing w:after="0" w:line="240" w:lineRule="auto"/>
              <w:jc w:val="both"/>
              <w:rPr>
                <w:rFonts w:ascii="Times New Roman" w:eastAsia="Times New Roman" w:hAnsi="Times New Roman" w:cs="Times New Roman"/>
                <w:bCs/>
                <w:i/>
                <w:iCs/>
                <w:sz w:val="24"/>
                <w:szCs w:val="24"/>
                <w:lang w:eastAsia="sk-SK"/>
              </w:rPr>
            </w:pPr>
            <w:r w:rsidRPr="000F18FB">
              <w:rPr>
                <w:rFonts w:ascii="Times New Roman" w:eastAsia="Times New Roman" w:hAnsi="Times New Roman" w:cs="Times New Roman"/>
                <w:bCs/>
                <w:i/>
                <w:iCs/>
                <w:sz w:val="24"/>
                <w:szCs w:val="24"/>
                <w:lang w:eastAsia="sk-SK"/>
              </w:rPr>
              <w:t>0</w:t>
            </w:r>
          </w:p>
        </w:tc>
        <w:tc>
          <w:tcPr>
            <w:tcW w:w="1388" w:type="dxa"/>
            <w:noWrap/>
            <w:vAlign w:val="center"/>
          </w:tcPr>
          <w:p w:rsidR="000F18FB" w:rsidRPr="000F18FB" w:rsidRDefault="000F18FB" w:rsidP="00B52D31">
            <w:pPr>
              <w:spacing w:after="0" w:line="240" w:lineRule="auto"/>
              <w:jc w:val="both"/>
              <w:rPr>
                <w:rFonts w:ascii="Times New Roman" w:eastAsia="Times New Roman" w:hAnsi="Times New Roman" w:cs="Times New Roman"/>
                <w:bCs/>
                <w:iCs/>
                <w:sz w:val="24"/>
                <w:szCs w:val="24"/>
                <w:lang w:eastAsia="sk-SK"/>
              </w:rPr>
            </w:pPr>
            <w:r w:rsidRPr="000F18FB">
              <w:rPr>
                <w:rFonts w:ascii="Times New Roman" w:eastAsia="Times New Roman" w:hAnsi="Times New Roman" w:cs="Times New Roman"/>
                <w:bCs/>
                <w:iCs/>
                <w:sz w:val="24"/>
                <w:szCs w:val="24"/>
                <w:lang w:eastAsia="sk-SK"/>
              </w:rPr>
              <w:t>0</w:t>
            </w:r>
          </w:p>
        </w:tc>
        <w:tc>
          <w:tcPr>
            <w:tcW w:w="1267" w:type="dxa"/>
            <w:noWrap/>
            <w:vAlign w:val="center"/>
          </w:tcPr>
          <w:p w:rsidR="000F18FB" w:rsidRPr="000F18FB" w:rsidRDefault="000F18FB" w:rsidP="00B52D31">
            <w:pPr>
              <w:spacing w:after="0" w:line="240" w:lineRule="auto"/>
              <w:jc w:val="both"/>
              <w:rPr>
                <w:rFonts w:ascii="Times New Roman" w:eastAsia="Times New Roman" w:hAnsi="Times New Roman" w:cs="Times New Roman"/>
                <w:bCs/>
                <w:i/>
                <w:iCs/>
                <w:sz w:val="24"/>
                <w:szCs w:val="24"/>
                <w:lang w:eastAsia="sk-SK"/>
              </w:rPr>
            </w:pPr>
            <w:r w:rsidRPr="000F18FB">
              <w:rPr>
                <w:rFonts w:ascii="Times New Roman" w:eastAsia="Times New Roman" w:hAnsi="Times New Roman" w:cs="Times New Roman"/>
                <w:bCs/>
                <w:i/>
                <w:iCs/>
                <w:sz w:val="24"/>
                <w:szCs w:val="24"/>
                <w:lang w:eastAsia="sk-SK"/>
              </w:rPr>
              <w:t>0</w:t>
            </w:r>
          </w:p>
        </w:tc>
        <w:tc>
          <w:tcPr>
            <w:tcW w:w="1267" w:type="dxa"/>
            <w:noWrap/>
            <w:vAlign w:val="center"/>
          </w:tcPr>
          <w:p w:rsidR="000F18FB" w:rsidRPr="000F18FB" w:rsidRDefault="000F18FB" w:rsidP="00B52D31">
            <w:pPr>
              <w:spacing w:after="0" w:line="240" w:lineRule="auto"/>
              <w:jc w:val="both"/>
              <w:rPr>
                <w:rFonts w:ascii="Times New Roman" w:eastAsia="Times New Roman" w:hAnsi="Times New Roman" w:cs="Times New Roman"/>
                <w:bCs/>
                <w:i/>
                <w:iCs/>
                <w:sz w:val="24"/>
                <w:szCs w:val="24"/>
                <w:lang w:eastAsia="sk-SK"/>
              </w:rPr>
            </w:pPr>
            <w:r w:rsidRPr="000F18FB">
              <w:rPr>
                <w:rFonts w:ascii="Times New Roman" w:eastAsia="Times New Roman" w:hAnsi="Times New Roman" w:cs="Times New Roman"/>
                <w:bCs/>
                <w:i/>
                <w:iCs/>
                <w:sz w:val="24"/>
                <w:szCs w:val="24"/>
                <w:lang w:eastAsia="sk-SK"/>
              </w:rPr>
              <w:t>0</w:t>
            </w:r>
          </w:p>
        </w:tc>
      </w:tr>
      <w:tr w:rsidR="000F18FB" w:rsidRPr="000F18FB" w:rsidTr="007E5887">
        <w:trPr>
          <w:trHeight w:val="70"/>
          <w:jc w:val="center"/>
        </w:trPr>
        <w:tc>
          <w:tcPr>
            <w:tcW w:w="4661" w:type="dxa"/>
            <w:noWrap/>
            <w:vAlign w:val="center"/>
          </w:tcPr>
          <w:p w:rsidR="000F18FB" w:rsidRPr="000F18FB" w:rsidRDefault="000F18FB" w:rsidP="00B52D31">
            <w:pPr>
              <w:spacing w:after="0" w:line="240" w:lineRule="auto"/>
              <w:ind w:left="259"/>
              <w:jc w:val="both"/>
              <w:rPr>
                <w:rFonts w:ascii="Times New Roman" w:eastAsia="Times New Roman" w:hAnsi="Times New Roman" w:cs="Times New Roman"/>
                <w:bCs/>
                <w:i/>
                <w:iCs/>
                <w:sz w:val="24"/>
                <w:szCs w:val="24"/>
                <w:lang w:eastAsia="sk-SK"/>
              </w:rPr>
            </w:pPr>
            <w:r w:rsidRPr="000F18FB">
              <w:rPr>
                <w:rFonts w:ascii="Times New Roman" w:eastAsia="Times New Roman" w:hAnsi="Times New Roman" w:cs="Times New Roman"/>
                <w:bCs/>
                <w:i/>
                <w:iCs/>
                <w:sz w:val="24"/>
                <w:szCs w:val="24"/>
                <w:lang w:eastAsia="sk-SK"/>
              </w:rPr>
              <w:t>EÚ zdroje</w:t>
            </w:r>
          </w:p>
        </w:tc>
        <w:tc>
          <w:tcPr>
            <w:tcW w:w="1398" w:type="dxa"/>
            <w:noWrap/>
            <w:vAlign w:val="center"/>
          </w:tcPr>
          <w:p w:rsidR="000F18FB" w:rsidRPr="000F18FB" w:rsidRDefault="000F18FB" w:rsidP="00B52D31">
            <w:pPr>
              <w:spacing w:after="0" w:line="240" w:lineRule="auto"/>
              <w:jc w:val="both"/>
              <w:rPr>
                <w:rFonts w:ascii="Times New Roman" w:eastAsia="Times New Roman" w:hAnsi="Times New Roman" w:cs="Times New Roman"/>
                <w:bCs/>
                <w:i/>
                <w:iCs/>
                <w:sz w:val="24"/>
                <w:szCs w:val="24"/>
                <w:lang w:eastAsia="sk-SK"/>
              </w:rPr>
            </w:pPr>
            <w:r w:rsidRPr="000F18FB">
              <w:rPr>
                <w:rFonts w:ascii="Times New Roman" w:eastAsia="Times New Roman" w:hAnsi="Times New Roman" w:cs="Times New Roman"/>
                <w:bCs/>
                <w:i/>
                <w:iCs/>
                <w:sz w:val="24"/>
                <w:szCs w:val="24"/>
                <w:lang w:eastAsia="sk-SK"/>
              </w:rPr>
              <w:t>0</w:t>
            </w:r>
          </w:p>
        </w:tc>
        <w:tc>
          <w:tcPr>
            <w:tcW w:w="1388" w:type="dxa"/>
            <w:noWrap/>
            <w:vAlign w:val="center"/>
          </w:tcPr>
          <w:p w:rsidR="000F18FB" w:rsidRPr="000F18FB" w:rsidRDefault="000F18FB" w:rsidP="00B52D31">
            <w:pPr>
              <w:spacing w:after="0" w:line="240" w:lineRule="auto"/>
              <w:jc w:val="both"/>
              <w:rPr>
                <w:rFonts w:ascii="Times New Roman" w:eastAsia="Times New Roman" w:hAnsi="Times New Roman" w:cs="Times New Roman"/>
                <w:bCs/>
                <w:i/>
                <w:iCs/>
                <w:sz w:val="24"/>
                <w:szCs w:val="24"/>
                <w:lang w:eastAsia="sk-SK"/>
              </w:rPr>
            </w:pPr>
            <w:r w:rsidRPr="000F18FB">
              <w:rPr>
                <w:rFonts w:ascii="Times New Roman" w:eastAsia="Times New Roman" w:hAnsi="Times New Roman" w:cs="Times New Roman"/>
                <w:bCs/>
                <w:i/>
                <w:iCs/>
                <w:sz w:val="24"/>
                <w:szCs w:val="24"/>
                <w:lang w:eastAsia="sk-SK"/>
              </w:rPr>
              <w:t>0</w:t>
            </w:r>
          </w:p>
        </w:tc>
        <w:tc>
          <w:tcPr>
            <w:tcW w:w="1267" w:type="dxa"/>
            <w:noWrap/>
            <w:vAlign w:val="center"/>
          </w:tcPr>
          <w:p w:rsidR="000F18FB" w:rsidRPr="000F18FB" w:rsidRDefault="000F18FB" w:rsidP="00B52D31">
            <w:pPr>
              <w:spacing w:after="0" w:line="240" w:lineRule="auto"/>
              <w:jc w:val="both"/>
              <w:rPr>
                <w:rFonts w:ascii="Times New Roman" w:eastAsia="Times New Roman" w:hAnsi="Times New Roman" w:cs="Times New Roman"/>
                <w:bCs/>
                <w:i/>
                <w:iCs/>
                <w:sz w:val="24"/>
                <w:szCs w:val="24"/>
                <w:lang w:eastAsia="sk-SK"/>
              </w:rPr>
            </w:pPr>
            <w:r w:rsidRPr="000F18FB">
              <w:rPr>
                <w:rFonts w:ascii="Times New Roman" w:eastAsia="Times New Roman" w:hAnsi="Times New Roman" w:cs="Times New Roman"/>
                <w:bCs/>
                <w:i/>
                <w:iCs/>
                <w:sz w:val="24"/>
                <w:szCs w:val="24"/>
                <w:lang w:eastAsia="sk-SK"/>
              </w:rPr>
              <w:t>0</w:t>
            </w:r>
          </w:p>
        </w:tc>
        <w:tc>
          <w:tcPr>
            <w:tcW w:w="1267" w:type="dxa"/>
            <w:noWrap/>
            <w:vAlign w:val="center"/>
          </w:tcPr>
          <w:p w:rsidR="000F18FB" w:rsidRPr="000F18FB" w:rsidRDefault="000F18FB" w:rsidP="00B52D31">
            <w:pPr>
              <w:spacing w:after="0" w:line="240" w:lineRule="auto"/>
              <w:jc w:val="both"/>
              <w:rPr>
                <w:rFonts w:ascii="Times New Roman" w:eastAsia="Times New Roman" w:hAnsi="Times New Roman" w:cs="Times New Roman"/>
                <w:bCs/>
                <w:i/>
                <w:iCs/>
                <w:sz w:val="24"/>
                <w:szCs w:val="24"/>
                <w:lang w:eastAsia="sk-SK"/>
              </w:rPr>
            </w:pPr>
            <w:r w:rsidRPr="000F18FB">
              <w:rPr>
                <w:rFonts w:ascii="Times New Roman" w:eastAsia="Times New Roman" w:hAnsi="Times New Roman" w:cs="Times New Roman"/>
                <w:bCs/>
                <w:i/>
                <w:iCs/>
                <w:sz w:val="24"/>
                <w:szCs w:val="24"/>
                <w:lang w:eastAsia="sk-SK"/>
              </w:rPr>
              <w:t>0</w:t>
            </w:r>
          </w:p>
        </w:tc>
      </w:tr>
      <w:tr w:rsidR="000F18FB" w:rsidRPr="000F18FB" w:rsidTr="007E5887">
        <w:trPr>
          <w:trHeight w:val="70"/>
          <w:jc w:val="center"/>
        </w:trPr>
        <w:tc>
          <w:tcPr>
            <w:tcW w:w="4661" w:type="dxa"/>
            <w:noWrap/>
            <w:vAlign w:val="center"/>
          </w:tcPr>
          <w:p w:rsidR="000F18FB" w:rsidRPr="000F18FB" w:rsidRDefault="000F18FB" w:rsidP="00B52D31">
            <w:pPr>
              <w:spacing w:after="0" w:line="240" w:lineRule="auto"/>
              <w:ind w:left="259"/>
              <w:jc w:val="both"/>
              <w:rPr>
                <w:rFonts w:ascii="Times New Roman" w:eastAsia="Times New Roman" w:hAnsi="Times New Roman" w:cs="Times New Roman"/>
                <w:bCs/>
                <w:i/>
                <w:iCs/>
                <w:sz w:val="24"/>
                <w:szCs w:val="24"/>
                <w:lang w:eastAsia="sk-SK"/>
              </w:rPr>
            </w:pPr>
            <w:r w:rsidRPr="000F18FB">
              <w:rPr>
                <w:rFonts w:ascii="Times New Roman" w:eastAsia="Times New Roman" w:hAnsi="Times New Roman" w:cs="Times New Roman"/>
                <w:bCs/>
                <w:i/>
                <w:iCs/>
                <w:sz w:val="24"/>
                <w:szCs w:val="24"/>
                <w:lang w:eastAsia="sk-SK"/>
              </w:rPr>
              <w:t>spolufinancovanie</w:t>
            </w:r>
          </w:p>
        </w:tc>
        <w:tc>
          <w:tcPr>
            <w:tcW w:w="1398" w:type="dxa"/>
            <w:noWrap/>
            <w:vAlign w:val="center"/>
          </w:tcPr>
          <w:p w:rsidR="000F18FB" w:rsidRPr="000F18FB" w:rsidRDefault="000F18FB" w:rsidP="00B52D31">
            <w:pPr>
              <w:spacing w:after="0" w:line="240" w:lineRule="auto"/>
              <w:jc w:val="both"/>
              <w:rPr>
                <w:rFonts w:ascii="Times New Roman" w:eastAsia="Times New Roman" w:hAnsi="Times New Roman" w:cs="Times New Roman"/>
                <w:bCs/>
                <w:i/>
                <w:iCs/>
                <w:sz w:val="24"/>
                <w:szCs w:val="24"/>
                <w:lang w:eastAsia="sk-SK"/>
              </w:rPr>
            </w:pPr>
            <w:r w:rsidRPr="000F18FB">
              <w:rPr>
                <w:rFonts w:ascii="Times New Roman" w:eastAsia="Times New Roman" w:hAnsi="Times New Roman" w:cs="Times New Roman"/>
                <w:bCs/>
                <w:i/>
                <w:iCs/>
                <w:sz w:val="24"/>
                <w:szCs w:val="24"/>
                <w:lang w:eastAsia="sk-SK"/>
              </w:rPr>
              <w:t>0</w:t>
            </w:r>
          </w:p>
        </w:tc>
        <w:tc>
          <w:tcPr>
            <w:tcW w:w="1388" w:type="dxa"/>
            <w:noWrap/>
            <w:vAlign w:val="center"/>
          </w:tcPr>
          <w:p w:rsidR="000F18FB" w:rsidRPr="000F18FB" w:rsidRDefault="000F18FB" w:rsidP="00B52D31">
            <w:pPr>
              <w:spacing w:after="0" w:line="240" w:lineRule="auto"/>
              <w:jc w:val="both"/>
              <w:rPr>
                <w:rFonts w:ascii="Times New Roman" w:eastAsia="Times New Roman" w:hAnsi="Times New Roman" w:cs="Times New Roman"/>
                <w:bCs/>
                <w:i/>
                <w:iCs/>
                <w:sz w:val="24"/>
                <w:szCs w:val="24"/>
                <w:lang w:eastAsia="sk-SK"/>
              </w:rPr>
            </w:pPr>
            <w:r w:rsidRPr="000F18FB">
              <w:rPr>
                <w:rFonts w:ascii="Times New Roman" w:eastAsia="Times New Roman" w:hAnsi="Times New Roman" w:cs="Times New Roman"/>
                <w:bCs/>
                <w:i/>
                <w:iCs/>
                <w:sz w:val="24"/>
                <w:szCs w:val="24"/>
                <w:lang w:eastAsia="sk-SK"/>
              </w:rPr>
              <w:t>0</w:t>
            </w:r>
          </w:p>
        </w:tc>
        <w:tc>
          <w:tcPr>
            <w:tcW w:w="1267" w:type="dxa"/>
            <w:noWrap/>
            <w:vAlign w:val="center"/>
          </w:tcPr>
          <w:p w:rsidR="000F18FB" w:rsidRPr="000F18FB" w:rsidRDefault="000F18FB" w:rsidP="00B52D31">
            <w:pPr>
              <w:spacing w:after="0" w:line="240" w:lineRule="auto"/>
              <w:jc w:val="both"/>
              <w:rPr>
                <w:rFonts w:ascii="Times New Roman" w:eastAsia="Times New Roman" w:hAnsi="Times New Roman" w:cs="Times New Roman"/>
                <w:bCs/>
                <w:i/>
                <w:iCs/>
                <w:sz w:val="24"/>
                <w:szCs w:val="24"/>
                <w:lang w:eastAsia="sk-SK"/>
              </w:rPr>
            </w:pPr>
            <w:r w:rsidRPr="000F18FB">
              <w:rPr>
                <w:rFonts w:ascii="Times New Roman" w:eastAsia="Times New Roman" w:hAnsi="Times New Roman" w:cs="Times New Roman"/>
                <w:bCs/>
                <w:i/>
                <w:iCs/>
                <w:sz w:val="24"/>
                <w:szCs w:val="24"/>
                <w:lang w:eastAsia="sk-SK"/>
              </w:rPr>
              <w:t>0</w:t>
            </w:r>
          </w:p>
        </w:tc>
        <w:tc>
          <w:tcPr>
            <w:tcW w:w="1267" w:type="dxa"/>
            <w:noWrap/>
            <w:vAlign w:val="center"/>
          </w:tcPr>
          <w:p w:rsidR="000F18FB" w:rsidRPr="000F18FB" w:rsidRDefault="000F18FB" w:rsidP="00B52D31">
            <w:pPr>
              <w:spacing w:after="0" w:line="240" w:lineRule="auto"/>
              <w:jc w:val="both"/>
              <w:rPr>
                <w:rFonts w:ascii="Times New Roman" w:eastAsia="Times New Roman" w:hAnsi="Times New Roman" w:cs="Times New Roman"/>
                <w:bCs/>
                <w:i/>
                <w:iCs/>
                <w:sz w:val="24"/>
                <w:szCs w:val="24"/>
                <w:lang w:eastAsia="sk-SK"/>
              </w:rPr>
            </w:pPr>
            <w:r w:rsidRPr="000F18FB">
              <w:rPr>
                <w:rFonts w:ascii="Times New Roman" w:eastAsia="Times New Roman" w:hAnsi="Times New Roman" w:cs="Times New Roman"/>
                <w:bCs/>
                <w:i/>
                <w:iCs/>
                <w:sz w:val="24"/>
                <w:szCs w:val="24"/>
                <w:lang w:eastAsia="sk-SK"/>
              </w:rPr>
              <w:t>0</w:t>
            </w:r>
          </w:p>
        </w:tc>
      </w:tr>
      <w:tr w:rsidR="000F18FB" w:rsidRPr="00B52D31" w:rsidTr="000F18FB">
        <w:trPr>
          <w:trHeight w:val="70"/>
          <w:jc w:val="center"/>
        </w:trPr>
        <w:tc>
          <w:tcPr>
            <w:tcW w:w="4661" w:type="dxa"/>
            <w:shd w:val="clear" w:color="auto" w:fill="BFBFBF"/>
            <w:noWrap/>
            <w:vAlign w:val="center"/>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 xml:space="preserve">Vplyv na počet zamestnancov </w:t>
            </w:r>
          </w:p>
        </w:tc>
        <w:tc>
          <w:tcPr>
            <w:tcW w:w="1398" w:type="dxa"/>
            <w:shd w:val="clear" w:color="auto" w:fill="BFBFBF"/>
            <w:noWrap/>
            <w:vAlign w:val="center"/>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0</w:t>
            </w:r>
          </w:p>
        </w:tc>
        <w:tc>
          <w:tcPr>
            <w:tcW w:w="1388" w:type="dxa"/>
            <w:shd w:val="clear" w:color="auto" w:fill="BFBFBF"/>
            <w:noWrap/>
            <w:vAlign w:val="center"/>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0</w:t>
            </w:r>
          </w:p>
        </w:tc>
        <w:tc>
          <w:tcPr>
            <w:tcW w:w="1267" w:type="dxa"/>
            <w:shd w:val="clear" w:color="auto" w:fill="BFBFBF"/>
            <w:noWrap/>
            <w:vAlign w:val="center"/>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0</w:t>
            </w:r>
          </w:p>
        </w:tc>
        <w:tc>
          <w:tcPr>
            <w:tcW w:w="1267" w:type="dxa"/>
            <w:shd w:val="clear" w:color="auto" w:fill="BFBFBF"/>
            <w:noWrap/>
            <w:vAlign w:val="center"/>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0</w:t>
            </w:r>
          </w:p>
        </w:tc>
      </w:tr>
      <w:tr w:rsidR="000F18FB" w:rsidRPr="000F18FB" w:rsidTr="007E5887">
        <w:trPr>
          <w:trHeight w:val="70"/>
          <w:jc w:val="center"/>
        </w:trPr>
        <w:tc>
          <w:tcPr>
            <w:tcW w:w="4661" w:type="dxa"/>
            <w:noWrap/>
            <w:vAlign w:val="center"/>
          </w:tcPr>
          <w:p w:rsidR="000F18FB" w:rsidRPr="000F18FB" w:rsidRDefault="000F18FB" w:rsidP="00B52D31">
            <w:pPr>
              <w:spacing w:after="0" w:line="240" w:lineRule="auto"/>
              <w:jc w:val="both"/>
              <w:rPr>
                <w:rFonts w:ascii="Times New Roman" w:eastAsia="Times New Roman" w:hAnsi="Times New Roman" w:cs="Times New Roman"/>
                <w:b/>
                <w:bCs/>
                <w:i/>
                <w:iCs/>
                <w:sz w:val="24"/>
                <w:szCs w:val="24"/>
                <w:lang w:eastAsia="sk-SK"/>
              </w:rPr>
            </w:pPr>
            <w:r w:rsidRPr="000F18FB">
              <w:rPr>
                <w:rFonts w:ascii="Times New Roman" w:eastAsia="Times New Roman" w:hAnsi="Times New Roman" w:cs="Times New Roman"/>
                <w:b/>
                <w:bCs/>
                <w:i/>
                <w:iCs/>
                <w:sz w:val="24"/>
                <w:szCs w:val="24"/>
                <w:lang w:eastAsia="sk-SK"/>
              </w:rPr>
              <w:t>- vplyv na ŠR</w:t>
            </w:r>
          </w:p>
        </w:tc>
        <w:tc>
          <w:tcPr>
            <w:tcW w:w="1398" w:type="dxa"/>
            <w:noWrap/>
            <w:vAlign w:val="center"/>
          </w:tcPr>
          <w:p w:rsidR="000F18FB" w:rsidRPr="000F18FB" w:rsidRDefault="000F18FB" w:rsidP="00B52D31">
            <w:pPr>
              <w:spacing w:after="0" w:line="240" w:lineRule="auto"/>
              <w:jc w:val="both"/>
              <w:rPr>
                <w:rFonts w:ascii="Times New Roman" w:eastAsia="Times New Roman" w:hAnsi="Times New Roman" w:cs="Times New Roman"/>
                <w:b/>
                <w:bCs/>
                <w:iCs/>
                <w:sz w:val="24"/>
                <w:szCs w:val="24"/>
                <w:lang w:eastAsia="sk-SK"/>
              </w:rPr>
            </w:pPr>
            <w:r w:rsidRPr="000F18FB">
              <w:rPr>
                <w:rFonts w:ascii="Times New Roman" w:eastAsia="Times New Roman" w:hAnsi="Times New Roman" w:cs="Times New Roman"/>
                <w:b/>
                <w:bCs/>
                <w:iCs/>
                <w:sz w:val="24"/>
                <w:szCs w:val="24"/>
                <w:lang w:eastAsia="sk-SK"/>
              </w:rPr>
              <w:t>0</w:t>
            </w:r>
          </w:p>
        </w:tc>
        <w:tc>
          <w:tcPr>
            <w:tcW w:w="1388" w:type="dxa"/>
            <w:noWrap/>
            <w:vAlign w:val="center"/>
          </w:tcPr>
          <w:p w:rsidR="000F18FB" w:rsidRPr="000F18FB" w:rsidRDefault="000F18FB" w:rsidP="00B52D31">
            <w:pPr>
              <w:spacing w:after="0" w:line="240" w:lineRule="auto"/>
              <w:jc w:val="both"/>
              <w:rPr>
                <w:rFonts w:ascii="Times New Roman" w:eastAsia="Times New Roman" w:hAnsi="Times New Roman" w:cs="Times New Roman"/>
                <w:bCs/>
                <w:iCs/>
                <w:sz w:val="24"/>
                <w:szCs w:val="24"/>
                <w:lang w:eastAsia="sk-SK"/>
              </w:rPr>
            </w:pPr>
            <w:r w:rsidRPr="000F18FB">
              <w:rPr>
                <w:rFonts w:ascii="Times New Roman" w:eastAsia="Times New Roman" w:hAnsi="Times New Roman" w:cs="Times New Roman"/>
                <w:bCs/>
                <w:iCs/>
                <w:sz w:val="24"/>
                <w:szCs w:val="24"/>
                <w:lang w:eastAsia="sk-SK"/>
              </w:rPr>
              <w:t>0</w:t>
            </w:r>
          </w:p>
        </w:tc>
        <w:tc>
          <w:tcPr>
            <w:tcW w:w="1267" w:type="dxa"/>
            <w:noWrap/>
            <w:vAlign w:val="center"/>
          </w:tcPr>
          <w:p w:rsidR="000F18FB" w:rsidRPr="000F18FB" w:rsidRDefault="000F18FB" w:rsidP="00B52D31">
            <w:pPr>
              <w:spacing w:after="0" w:line="240" w:lineRule="auto"/>
              <w:jc w:val="both"/>
              <w:rPr>
                <w:rFonts w:ascii="Times New Roman" w:eastAsia="Times New Roman" w:hAnsi="Times New Roman" w:cs="Times New Roman"/>
                <w:b/>
                <w:bCs/>
                <w:iCs/>
                <w:sz w:val="24"/>
                <w:szCs w:val="24"/>
                <w:lang w:eastAsia="sk-SK"/>
              </w:rPr>
            </w:pPr>
            <w:r w:rsidRPr="000F18FB">
              <w:rPr>
                <w:rFonts w:ascii="Times New Roman" w:eastAsia="Times New Roman" w:hAnsi="Times New Roman" w:cs="Times New Roman"/>
                <w:b/>
                <w:bCs/>
                <w:iCs/>
                <w:sz w:val="24"/>
                <w:szCs w:val="24"/>
                <w:lang w:eastAsia="sk-SK"/>
              </w:rPr>
              <w:t>0</w:t>
            </w:r>
          </w:p>
        </w:tc>
        <w:tc>
          <w:tcPr>
            <w:tcW w:w="1267" w:type="dxa"/>
            <w:noWrap/>
            <w:vAlign w:val="center"/>
          </w:tcPr>
          <w:p w:rsidR="000F18FB" w:rsidRPr="000F18FB" w:rsidRDefault="000F18FB" w:rsidP="00B52D31">
            <w:pPr>
              <w:spacing w:after="0" w:line="240" w:lineRule="auto"/>
              <w:jc w:val="both"/>
              <w:rPr>
                <w:rFonts w:ascii="Times New Roman" w:eastAsia="Times New Roman" w:hAnsi="Times New Roman" w:cs="Times New Roman"/>
                <w:b/>
                <w:bCs/>
                <w:iCs/>
                <w:sz w:val="24"/>
                <w:szCs w:val="24"/>
                <w:lang w:eastAsia="sk-SK"/>
              </w:rPr>
            </w:pPr>
            <w:r w:rsidRPr="000F18FB">
              <w:rPr>
                <w:rFonts w:ascii="Times New Roman" w:eastAsia="Times New Roman" w:hAnsi="Times New Roman" w:cs="Times New Roman"/>
                <w:b/>
                <w:bCs/>
                <w:iCs/>
                <w:sz w:val="24"/>
                <w:szCs w:val="24"/>
                <w:lang w:eastAsia="sk-SK"/>
              </w:rPr>
              <w:t>0</w:t>
            </w:r>
          </w:p>
        </w:tc>
      </w:tr>
      <w:tr w:rsidR="000F18FB" w:rsidRPr="00B52D31" w:rsidTr="000F18FB">
        <w:trPr>
          <w:trHeight w:val="70"/>
          <w:jc w:val="center"/>
        </w:trPr>
        <w:tc>
          <w:tcPr>
            <w:tcW w:w="4661" w:type="dxa"/>
            <w:shd w:val="clear" w:color="auto" w:fill="BFBFBF"/>
            <w:noWrap/>
            <w:vAlign w:val="center"/>
          </w:tcPr>
          <w:p w:rsidR="000F18FB" w:rsidRPr="000F18FB" w:rsidRDefault="000F18FB" w:rsidP="00B52D31">
            <w:pPr>
              <w:spacing w:after="0" w:line="240" w:lineRule="auto"/>
              <w:jc w:val="both"/>
              <w:rPr>
                <w:rFonts w:ascii="Times New Roman" w:eastAsia="Times New Roman" w:hAnsi="Times New Roman" w:cs="Times New Roman"/>
                <w:b/>
                <w:sz w:val="24"/>
                <w:szCs w:val="24"/>
                <w:lang w:eastAsia="sk-SK"/>
              </w:rPr>
            </w:pPr>
            <w:r w:rsidRPr="000F18FB">
              <w:rPr>
                <w:rFonts w:ascii="Times New Roman" w:eastAsia="Times New Roman" w:hAnsi="Times New Roman" w:cs="Times New Roman"/>
                <w:b/>
                <w:sz w:val="24"/>
                <w:szCs w:val="24"/>
                <w:lang w:eastAsia="sk-SK"/>
              </w:rPr>
              <w:t>Vplyv na mzdové výdavky</w:t>
            </w:r>
          </w:p>
        </w:tc>
        <w:tc>
          <w:tcPr>
            <w:tcW w:w="1398" w:type="dxa"/>
            <w:shd w:val="clear" w:color="auto" w:fill="BFBFBF"/>
            <w:noWrap/>
            <w:vAlign w:val="center"/>
          </w:tcPr>
          <w:p w:rsidR="000F18FB" w:rsidRPr="000F18FB" w:rsidRDefault="000F18FB" w:rsidP="00B52D31">
            <w:pPr>
              <w:spacing w:after="0" w:line="240" w:lineRule="auto"/>
              <w:jc w:val="both"/>
              <w:rPr>
                <w:rFonts w:ascii="Times New Roman" w:eastAsia="Times New Roman" w:hAnsi="Times New Roman" w:cs="Times New Roman"/>
                <w:b/>
                <w:sz w:val="24"/>
                <w:szCs w:val="24"/>
                <w:lang w:eastAsia="sk-SK"/>
              </w:rPr>
            </w:pPr>
            <w:r w:rsidRPr="000F18FB">
              <w:rPr>
                <w:rFonts w:ascii="Times New Roman" w:eastAsia="Times New Roman" w:hAnsi="Times New Roman" w:cs="Times New Roman"/>
                <w:b/>
                <w:sz w:val="24"/>
                <w:szCs w:val="24"/>
                <w:lang w:eastAsia="sk-SK"/>
              </w:rPr>
              <w:t>0</w:t>
            </w:r>
          </w:p>
        </w:tc>
        <w:tc>
          <w:tcPr>
            <w:tcW w:w="1388" w:type="dxa"/>
            <w:shd w:val="clear" w:color="auto" w:fill="BFBFBF"/>
            <w:noWrap/>
            <w:vAlign w:val="center"/>
          </w:tcPr>
          <w:p w:rsidR="000F18FB" w:rsidRPr="000F18FB" w:rsidRDefault="000F18FB" w:rsidP="00B52D31">
            <w:pPr>
              <w:spacing w:after="0" w:line="240" w:lineRule="auto"/>
              <w:jc w:val="both"/>
              <w:rPr>
                <w:rFonts w:ascii="Times New Roman" w:eastAsia="Times New Roman" w:hAnsi="Times New Roman" w:cs="Times New Roman"/>
                <w:b/>
                <w:sz w:val="24"/>
                <w:szCs w:val="24"/>
                <w:lang w:eastAsia="sk-SK"/>
              </w:rPr>
            </w:pPr>
            <w:r w:rsidRPr="000F18FB">
              <w:rPr>
                <w:rFonts w:ascii="Times New Roman" w:eastAsia="Times New Roman" w:hAnsi="Times New Roman" w:cs="Times New Roman"/>
                <w:b/>
                <w:bCs/>
                <w:sz w:val="24"/>
                <w:szCs w:val="24"/>
                <w:lang w:eastAsia="sk-SK"/>
              </w:rPr>
              <w:t>0</w:t>
            </w:r>
          </w:p>
        </w:tc>
        <w:tc>
          <w:tcPr>
            <w:tcW w:w="1267" w:type="dxa"/>
            <w:shd w:val="clear" w:color="auto" w:fill="BFBFBF"/>
            <w:noWrap/>
            <w:vAlign w:val="center"/>
          </w:tcPr>
          <w:p w:rsidR="000F18FB" w:rsidRPr="000F18FB" w:rsidRDefault="000F18FB" w:rsidP="00B52D31">
            <w:pPr>
              <w:spacing w:after="0" w:line="240" w:lineRule="auto"/>
              <w:jc w:val="both"/>
              <w:rPr>
                <w:rFonts w:ascii="Times New Roman" w:eastAsia="Times New Roman" w:hAnsi="Times New Roman" w:cs="Times New Roman"/>
                <w:b/>
                <w:sz w:val="24"/>
                <w:szCs w:val="24"/>
                <w:lang w:eastAsia="sk-SK"/>
              </w:rPr>
            </w:pPr>
            <w:r w:rsidRPr="000F18FB">
              <w:rPr>
                <w:rFonts w:ascii="Times New Roman" w:eastAsia="Times New Roman" w:hAnsi="Times New Roman" w:cs="Times New Roman"/>
                <w:b/>
                <w:bCs/>
                <w:sz w:val="24"/>
                <w:szCs w:val="24"/>
                <w:lang w:eastAsia="sk-SK"/>
              </w:rPr>
              <w:t>0</w:t>
            </w:r>
          </w:p>
        </w:tc>
        <w:tc>
          <w:tcPr>
            <w:tcW w:w="1267" w:type="dxa"/>
            <w:shd w:val="clear" w:color="auto" w:fill="BFBFBF"/>
            <w:noWrap/>
            <w:vAlign w:val="center"/>
          </w:tcPr>
          <w:p w:rsidR="000F18FB" w:rsidRPr="000F18FB" w:rsidRDefault="000F18FB" w:rsidP="00B52D31">
            <w:pPr>
              <w:spacing w:after="0" w:line="240" w:lineRule="auto"/>
              <w:jc w:val="both"/>
              <w:rPr>
                <w:rFonts w:ascii="Times New Roman" w:eastAsia="Times New Roman" w:hAnsi="Times New Roman" w:cs="Times New Roman"/>
                <w:b/>
                <w:sz w:val="24"/>
                <w:szCs w:val="24"/>
                <w:lang w:eastAsia="sk-SK"/>
              </w:rPr>
            </w:pPr>
            <w:r w:rsidRPr="000F18FB">
              <w:rPr>
                <w:rFonts w:ascii="Times New Roman" w:eastAsia="Times New Roman" w:hAnsi="Times New Roman" w:cs="Times New Roman"/>
                <w:b/>
                <w:bCs/>
                <w:sz w:val="24"/>
                <w:szCs w:val="24"/>
                <w:lang w:eastAsia="sk-SK"/>
              </w:rPr>
              <w:t>0</w:t>
            </w:r>
          </w:p>
        </w:tc>
      </w:tr>
      <w:tr w:rsidR="000F18FB" w:rsidRPr="00B52D31" w:rsidTr="000F18FB">
        <w:trPr>
          <w:trHeight w:val="70"/>
          <w:jc w:val="center"/>
        </w:trPr>
        <w:tc>
          <w:tcPr>
            <w:tcW w:w="4661" w:type="dxa"/>
            <w:shd w:val="clear" w:color="auto" w:fill="BFBFBF"/>
            <w:noWrap/>
            <w:vAlign w:val="center"/>
          </w:tcPr>
          <w:p w:rsidR="000F18FB" w:rsidRPr="000F18FB" w:rsidRDefault="000F18FB" w:rsidP="00B52D31">
            <w:pPr>
              <w:spacing w:after="0" w:line="240" w:lineRule="auto"/>
              <w:jc w:val="both"/>
              <w:rPr>
                <w:rFonts w:ascii="Times New Roman" w:eastAsia="Times New Roman" w:hAnsi="Times New Roman" w:cs="Times New Roman"/>
                <w:b/>
                <w:sz w:val="24"/>
                <w:szCs w:val="24"/>
                <w:lang w:eastAsia="sk-SK"/>
              </w:rPr>
            </w:pPr>
            <w:r w:rsidRPr="000F18FB">
              <w:rPr>
                <w:rFonts w:ascii="Times New Roman" w:eastAsia="Times New Roman" w:hAnsi="Times New Roman" w:cs="Times New Roman"/>
                <w:b/>
                <w:sz w:val="24"/>
                <w:szCs w:val="24"/>
                <w:lang w:eastAsia="sk-SK"/>
              </w:rPr>
              <w:t xml:space="preserve">v tom: </w:t>
            </w:r>
          </w:p>
        </w:tc>
        <w:tc>
          <w:tcPr>
            <w:tcW w:w="1398" w:type="dxa"/>
            <w:shd w:val="clear" w:color="auto" w:fill="BFBFBF"/>
            <w:noWrap/>
            <w:vAlign w:val="center"/>
          </w:tcPr>
          <w:p w:rsidR="000F18FB" w:rsidRPr="000F18FB" w:rsidRDefault="000F18FB" w:rsidP="00B52D31">
            <w:pPr>
              <w:spacing w:after="0" w:line="240" w:lineRule="auto"/>
              <w:jc w:val="both"/>
              <w:rPr>
                <w:rFonts w:ascii="Times New Roman" w:eastAsia="Times New Roman" w:hAnsi="Times New Roman" w:cs="Times New Roman"/>
                <w:b/>
                <w:sz w:val="24"/>
                <w:szCs w:val="24"/>
                <w:lang w:eastAsia="sk-SK"/>
              </w:rPr>
            </w:pPr>
            <w:r w:rsidRPr="000F18FB">
              <w:rPr>
                <w:rFonts w:ascii="Times New Roman" w:eastAsia="Times New Roman" w:hAnsi="Times New Roman" w:cs="Times New Roman"/>
                <w:b/>
                <w:sz w:val="24"/>
                <w:szCs w:val="24"/>
                <w:lang w:eastAsia="sk-SK"/>
              </w:rPr>
              <w:t>0</w:t>
            </w:r>
          </w:p>
        </w:tc>
        <w:tc>
          <w:tcPr>
            <w:tcW w:w="1388" w:type="dxa"/>
            <w:shd w:val="clear" w:color="auto" w:fill="BFBFBF"/>
            <w:noWrap/>
            <w:vAlign w:val="center"/>
          </w:tcPr>
          <w:p w:rsidR="000F18FB" w:rsidRPr="000F18FB" w:rsidRDefault="000F18FB" w:rsidP="00B52D31">
            <w:pPr>
              <w:spacing w:after="0" w:line="240" w:lineRule="auto"/>
              <w:jc w:val="both"/>
              <w:rPr>
                <w:rFonts w:ascii="Times New Roman" w:eastAsia="Times New Roman" w:hAnsi="Times New Roman" w:cs="Times New Roman"/>
                <w:b/>
                <w:sz w:val="24"/>
                <w:szCs w:val="24"/>
                <w:lang w:eastAsia="sk-SK"/>
              </w:rPr>
            </w:pPr>
            <w:r w:rsidRPr="000F18FB">
              <w:rPr>
                <w:rFonts w:ascii="Times New Roman" w:eastAsia="Times New Roman" w:hAnsi="Times New Roman" w:cs="Times New Roman"/>
                <w:b/>
                <w:bCs/>
                <w:sz w:val="24"/>
                <w:szCs w:val="24"/>
                <w:lang w:eastAsia="sk-SK"/>
              </w:rPr>
              <w:t>0</w:t>
            </w:r>
          </w:p>
        </w:tc>
        <w:tc>
          <w:tcPr>
            <w:tcW w:w="1267" w:type="dxa"/>
            <w:shd w:val="clear" w:color="auto" w:fill="BFBFBF"/>
            <w:noWrap/>
            <w:vAlign w:val="center"/>
          </w:tcPr>
          <w:p w:rsidR="000F18FB" w:rsidRPr="000F18FB" w:rsidRDefault="000F18FB" w:rsidP="00B52D31">
            <w:pPr>
              <w:spacing w:after="0" w:line="240" w:lineRule="auto"/>
              <w:jc w:val="both"/>
              <w:rPr>
                <w:rFonts w:ascii="Times New Roman" w:eastAsia="Times New Roman" w:hAnsi="Times New Roman" w:cs="Times New Roman"/>
                <w:b/>
                <w:sz w:val="24"/>
                <w:szCs w:val="24"/>
                <w:lang w:eastAsia="sk-SK"/>
              </w:rPr>
            </w:pPr>
            <w:r w:rsidRPr="000F18FB">
              <w:rPr>
                <w:rFonts w:ascii="Times New Roman" w:eastAsia="Times New Roman" w:hAnsi="Times New Roman" w:cs="Times New Roman"/>
                <w:b/>
                <w:bCs/>
                <w:sz w:val="24"/>
                <w:szCs w:val="24"/>
                <w:lang w:eastAsia="sk-SK"/>
              </w:rPr>
              <w:t>0</w:t>
            </w:r>
          </w:p>
        </w:tc>
        <w:tc>
          <w:tcPr>
            <w:tcW w:w="1267" w:type="dxa"/>
            <w:shd w:val="clear" w:color="auto" w:fill="BFBFBF"/>
            <w:noWrap/>
            <w:vAlign w:val="center"/>
          </w:tcPr>
          <w:p w:rsidR="000F18FB" w:rsidRPr="000F18FB" w:rsidRDefault="000F18FB" w:rsidP="00B52D31">
            <w:pPr>
              <w:spacing w:after="0" w:line="240" w:lineRule="auto"/>
              <w:jc w:val="both"/>
              <w:rPr>
                <w:rFonts w:ascii="Times New Roman" w:eastAsia="Times New Roman" w:hAnsi="Times New Roman" w:cs="Times New Roman"/>
                <w:b/>
                <w:sz w:val="24"/>
                <w:szCs w:val="24"/>
                <w:lang w:eastAsia="sk-SK"/>
              </w:rPr>
            </w:pPr>
            <w:r w:rsidRPr="000F18FB">
              <w:rPr>
                <w:rFonts w:ascii="Times New Roman" w:eastAsia="Times New Roman" w:hAnsi="Times New Roman" w:cs="Times New Roman"/>
                <w:b/>
                <w:bCs/>
                <w:sz w:val="24"/>
                <w:szCs w:val="24"/>
                <w:lang w:eastAsia="sk-SK"/>
              </w:rPr>
              <w:t>0</w:t>
            </w:r>
          </w:p>
        </w:tc>
      </w:tr>
      <w:tr w:rsidR="000F18FB" w:rsidRPr="000F18FB" w:rsidTr="007E5887">
        <w:trPr>
          <w:trHeight w:val="70"/>
          <w:jc w:val="center"/>
        </w:trPr>
        <w:tc>
          <w:tcPr>
            <w:tcW w:w="4661" w:type="dxa"/>
            <w:noWrap/>
            <w:vAlign w:val="center"/>
          </w:tcPr>
          <w:p w:rsidR="000F18FB" w:rsidRPr="000F18FB" w:rsidRDefault="000F18FB" w:rsidP="00B52D31">
            <w:pPr>
              <w:spacing w:after="0" w:line="240" w:lineRule="auto"/>
              <w:jc w:val="both"/>
              <w:rPr>
                <w:rFonts w:ascii="Times New Roman" w:eastAsia="Times New Roman" w:hAnsi="Times New Roman" w:cs="Times New Roman"/>
                <w:b/>
                <w:bCs/>
                <w:i/>
                <w:iCs/>
                <w:sz w:val="24"/>
                <w:szCs w:val="24"/>
                <w:lang w:eastAsia="sk-SK"/>
              </w:rPr>
            </w:pPr>
            <w:r w:rsidRPr="000F18FB">
              <w:rPr>
                <w:rFonts w:ascii="Times New Roman" w:eastAsia="Times New Roman" w:hAnsi="Times New Roman" w:cs="Times New Roman"/>
                <w:b/>
                <w:bCs/>
                <w:i/>
                <w:iCs/>
                <w:sz w:val="24"/>
                <w:szCs w:val="24"/>
                <w:lang w:eastAsia="sk-SK"/>
              </w:rPr>
              <w:t>- vplyv na ŠR</w:t>
            </w:r>
          </w:p>
        </w:tc>
        <w:tc>
          <w:tcPr>
            <w:tcW w:w="1398" w:type="dxa"/>
            <w:noWrap/>
            <w:vAlign w:val="center"/>
          </w:tcPr>
          <w:p w:rsidR="000F18FB" w:rsidRPr="000F18FB" w:rsidRDefault="000F18FB" w:rsidP="00B52D31">
            <w:pPr>
              <w:spacing w:after="0" w:line="240" w:lineRule="auto"/>
              <w:jc w:val="both"/>
              <w:rPr>
                <w:rFonts w:ascii="Times New Roman" w:eastAsia="Times New Roman" w:hAnsi="Times New Roman" w:cs="Times New Roman"/>
                <w:b/>
                <w:bCs/>
                <w:iCs/>
                <w:sz w:val="24"/>
                <w:szCs w:val="24"/>
                <w:lang w:eastAsia="sk-SK"/>
              </w:rPr>
            </w:pPr>
            <w:r w:rsidRPr="000F18FB">
              <w:rPr>
                <w:rFonts w:ascii="Times New Roman" w:eastAsia="Times New Roman" w:hAnsi="Times New Roman" w:cs="Times New Roman"/>
                <w:b/>
                <w:bCs/>
                <w:iCs/>
                <w:sz w:val="24"/>
                <w:szCs w:val="24"/>
                <w:lang w:eastAsia="sk-SK"/>
              </w:rPr>
              <w:t>0</w:t>
            </w:r>
          </w:p>
        </w:tc>
        <w:tc>
          <w:tcPr>
            <w:tcW w:w="1388" w:type="dxa"/>
            <w:noWrap/>
            <w:vAlign w:val="center"/>
          </w:tcPr>
          <w:p w:rsidR="000F18FB" w:rsidRPr="000F18FB" w:rsidRDefault="000F18FB" w:rsidP="00B52D31">
            <w:pPr>
              <w:spacing w:after="0" w:line="240" w:lineRule="auto"/>
              <w:jc w:val="both"/>
              <w:rPr>
                <w:rFonts w:ascii="Times New Roman" w:eastAsia="Times New Roman" w:hAnsi="Times New Roman" w:cs="Times New Roman"/>
                <w:b/>
                <w:bCs/>
                <w:iCs/>
                <w:sz w:val="24"/>
                <w:szCs w:val="24"/>
                <w:lang w:eastAsia="sk-SK"/>
              </w:rPr>
            </w:pPr>
            <w:r w:rsidRPr="000F18FB">
              <w:rPr>
                <w:rFonts w:ascii="Times New Roman" w:eastAsia="Times New Roman" w:hAnsi="Times New Roman" w:cs="Times New Roman"/>
                <w:b/>
                <w:bCs/>
                <w:sz w:val="24"/>
                <w:szCs w:val="24"/>
                <w:lang w:eastAsia="sk-SK"/>
              </w:rPr>
              <w:t>0</w:t>
            </w:r>
          </w:p>
        </w:tc>
        <w:tc>
          <w:tcPr>
            <w:tcW w:w="1267" w:type="dxa"/>
            <w:noWrap/>
            <w:vAlign w:val="center"/>
          </w:tcPr>
          <w:p w:rsidR="000F18FB" w:rsidRPr="000F18FB" w:rsidRDefault="000F18FB" w:rsidP="00B52D31">
            <w:pPr>
              <w:spacing w:after="0" w:line="240" w:lineRule="auto"/>
              <w:jc w:val="both"/>
              <w:rPr>
                <w:rFonts w:ascii="Times New Roman" w:eastAsia="Times New Roman" w:hAnsi="Times New Roman" w:cs="Times New Roman"/>
                <w:b/>
                <w:bCs/>
                <w:iCs/>
                <w:sz w:val="24"/>
                <w:szCs w:val="24"/>
                <w:lang w:eastAsia="sk-SK"/>
              </w:rPr>
            </w:pPr>
            <w:r w:rsidRPr="000F18FB">
              <w:rPr>
                <w:rFonts w:ascii="Times New Roman" w:eastAsia="Times New Roman" w:hAnsi="Times New Roman" w:cs="Times New Roman"/>
                <w:b/>
                <w:bCs/>
                <w:sz w:val="24"/>
                <w:szCs w:val="24"/>
                <w:lang w:eastAsia="sk-SK"/>
              </w:rPr>
              <w:t>0</w:t>
            </w:r>
          </w:p>
        </w:tc>
        <w:tc>
          <w:tcPr>
            <w:tcW w:w="1267" w:type="dxa"/>
            <w:noWrap/>
            <w:vAlign w:val="center"/>
          </w:tcPr>
          <w:p w:rsidR="000F18FB" w:rsidRPr="000F18FB" w:rsidRDefault="000F18FB" w:rsidP="00B52D31">
            <w:pPr>
              <w:spacing w:after="0" w:line="240" w:lineRule="auto"/>
              <w:jc w:val="both"/>
              <w:rPr>
                <w:rFonts w:ascii="Times New Roman" w:eastAsia="Times New Roman" w:hAnsi="Times New Roman" w:cs="Times New Roman"/>
                <w:b/>
                <w:bCs/>
                <w:iCs/>
                <w:sz w:val="24"/>
                <w:szCs w:val="24"/>
                <w:lang w:eastAsia="sk-SK"/>
              </w:rPr>
            </w:pPr>
            <w:r w:rsidRPr="000F18FB">
              <w:rPr>
                <w:rFonts w:ascii="Times New Roman" w:eastAsia="Times New Roman" w:hAnsi="Times New Roman" w:cs="Times New Roman"/>
                <w:b/>
                <w:bCs/>
                <w:sz w:val="24"/>
                <w:szCs w:val="24"/>
                <w:lang w:eastAsia="sk-SK"/>
              </w:rPr>
              <w:t>0</w:t>
            </w:r>
          </w:p>
        </w:tc>
      </w:tr>
      <w:tr w:rsidR="000F18FB" w:rsidRPr="000F18FB" w:rsidTr="007E5887">
        <w:trPr>
          <w:trHeight w:val="70"/>
          <w:jc w:val="center"/>
        </w:trPr>
        <w:tc>
          <w:tcPr>
            <w:tcW w:w="4661" w:type="dxa"/>
            <w:shd w:val="clear" w:color="auto" w:fill="C0C0C0"/>
            <w:noWrap/>
            <w:vAlign w:val="center"/>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Financovanie zabezpečené v rozpočte</w:t>
            </w:r>
          </w:p>
        </w:tc>
        <w:tc>
          <w:tcPr>
            <w:tcW w:w="1398" w:type="dxa"/>
            <w:shd w:val="clear" w:color="auto" w:fill="C0C0C0"/>
            <w:noWrap/>
            <w:vAlign w:val="center"/>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0</w:t>
            </w:r>
          </w:p>
        </w:tc>
        <w:tc>
          <w:tcPr>
            <w:tcW w:w="1388" w:type="dxa"/>
            <w:shd w:val="clear" w:color="auto" w:fill="C0C0C0"/>
            <w:noWrap/>
            <w:vAlign w:val="center"/>
          </w:tcPr>
          <w:p w:rsidR="000F18FB" w:rsidRPr="000F18FB" w:rsidRDefault="000F18FB" w:rsidP="00B52D31">
            <w:pPr>
              <w:spacing w:after="0" w:line="240" w:lineRule="auto"/>
              <w:jc w:val="both"/>
              <w:rPr>
                <w:rFonts w:ascii="Times New Roman" w:eastAsia="Times New Roman" w:hAnsi="Times New Roman" w:cs="Times New Roman"/>
                <w:b/>
                <w:bCs/>
                <w:iCs/>
                <w:sz w:val="24"/>
                <w:szCs w:val="24"/>
                <w:lang w:eastAsia="sk-SK"/>
              </w:rPr>
            </w:pPr>
            <w:r w:rsidRPr="000F18FB">
              <w:rPr>
                <w:rFonts w:ascii="Times New Roman" w:eastAsia="Times New Roman" w:hAnsi="Times New Roman" w:cs="Times New Roman"/>
                <w:b/>
                <w:bCs/>
                <w:iCs/>
                <w:sz w:val="24"/>
                <w:szCs w:val="24"/>
                <w:lang w:eastAsia="sk-SK"/>
              </w:rPr>
              <w:t>0</w:t>
            </w:r>
          </w:p>
        </w:tc>
        <w:tc>
          <w:tcPr>
            <w:tcW w:w="1267" w:type="dxa"/>
            <w:shd w:val="clear" w:color="auto" w:fill="C0C0C0"/>
            <w:noWrap/>
            <w:vAlign w:val="center"/>
          </w:tcPr>
          <w:p w:rsidR="000F18FB" w:rsidRPr="000F18FB" w:rsidRDefault="000F18FB" w:rsidP="00B52D31">
            <w:pPr>
              <w:spacing w:after="0" w:line="240" w:lineRule="auto"/>
              <w:jc w:val="both"/>
              <w:rPr>
                <w:rFonts w:ascii="Times New Roman" w:eastAsia="Times New Roman" w:hAnsi="Times New Roman" w:cs="Times New Roman"/>
                <w:b/>
                <w:bCs/>
                <w:iCs/>
                <w:sz w:val="24"/>
                <w:szCs w:val="24"/>
                <w:lang w:eastAsia="sk-SK"/>
              </w:rPr>
            </w:pPr>
            <w:r w:rsidRPr="000F18FB">
              <w:rPr>
                <w:rFonts w:ascii="Times New Roman" w:eastAsia="Times New Roman" w:hAnsi="Times New Roman" w:cs="Times New Roman"/>
                <w:b/>
                <w:bCs/>
                <w:iCs/>
                <w:sz w:val="24"/>
                <w:szCs w:val="24"/>
                <w:lang w:eastAsia="sk-SK"/>
              </w:rPr>
              <w:t>0</w:t>
            </w:r>
          </w:p>
        </w:tc>
        <w:tc>
          <w:tcPr>
            <w:tcW w:w="1267" w:type="dxa"/>
            <w:shd w:val="clear" w:color="auto" w:fill="C0C0C0"/>
            <w:noWrap/>
            <w:vAlign w:val="center"/>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0</w:t>
            </w:r>
          </w:p>
        </w:tc>
      </w:tr>
      <w:tr w:rsidR="000F18FB" w:rsidRPr="000F18FB" w:rsidTr="007E5887">
        <w:trPr>
          <w:trHeight w:val="70"/>
          <w:jc w:val="center"/>
        </w:trPr>
        <w:tc>
          <w:tcPr>
            <w:tcW w:w="4661" w:type="dxa"/>
            <w:noWrap/>
            <w:vAlign w:val="center"/>
          </w:tcPr>
          <w:p w:rsidR="000F18FB" w:rsidRPr="000F18FB" w:rsidRDefault="000F18FB" w:rsidP="00B52D31">
            <w:pPr>
              <w:spacing w:after="0" w:line="240" w:lineRule="auto"/>
              <w:jc w:val="both"/>
              <w:rPr>
                <w:rFonts w:ascii="Times New Roman" w:eastAsia="Times New Roman" w:hAnsi="Times New Roman" w:cs="Times New Roman"/>
                <w:sz w:val="24"/>
                <w:szCs w:val="24"/>
                <w:lang w:eastAsia="sk-SK"/>
              </w:rPr>
            </w:pPr>
            <w:r w:rsidRPr="000F18FB">
              <w:rPr>
                <w:rFonts w:ascii="Times New Roman" w:eastAsia="Times New Roman" w:hAnsi="Times New Roman" w:cs="Times New Roman"/>
                <w:sz w:val="24"/>
                <w:szCs w:val="24"/>
                <w:lang w:eastAsia="sk-SK"/>
              </w:rPr>
              <w:t xml:space="preserve">v tom: </w:t>
            </w:r>
          </w:p>
        </w:tc>
        <w:tc>
          <w:tcPr>
            <w:tcW w:w="1398" w:type="dxa"/>
            <w:noWrap/>
            <w:vAlign w:val="center"/>
          </w:tcPr>
          <w:p w:rsidR="000F18FB" w:rsidRPr="000F18FB" w:rsidRDefault="000F18FB" w:rsidP="00B52D31">
            <w:pPr>
              <w:spacing w:after="0" w:line="240" w:lineRule="auto"/>
              <w:jc w:val="both"/>
              <w:rPr>
                <w:rFonts w:ascii="Times New Roman" w:eastAsia="Times New Roman" w:hAnsi="Times New Roman" w:cs="Times New Roman"/>
                <w:sz w:val="24"/>
                <w:szCs w:val="24"/>
                <w:lang w:eastAsia="sk-SK"/>
              </w:rPr>
            </w:pPr>
            <w:r w:rsidRPr="000F18FB">
              <w:rPr>
                <w:rFonts w:ascii="Times New Roman" w:eastAsia="Times New Roman" w:hAnsi="Times New Roman" w:cs="Times New Roman"/>
                <w:sz w:val="24"/>
                <w:szCs w:val="24"/>
                <w:lang w:eastAsia="sk-SK"/>
              </w:rPr>
              <w:t>0</w:t>
            </w:r>
          </w:p>
        </w:tc>
        <w:tc>
          <w:tcPr>
            <w:tcW w:w="1388" w:type="dxa"/>
            <w:noWrap/>
            <w:vAlign w:val="center"/>
          </w:tcPr>
          <w:p w:rsidR="000F18FB" w:rsidRPr="000F18FB" w:rsidRDefault="000F18FB" w:rsidP="00B52D31">
            <w:pPr>
              <w:spacing w:after="0" w:line="240" w:lineRule="auto"/>
              <w:jc w:val="both"/>
              <w:rPr>
                <w:rFonts w:ascii="Times New Roman" w:eastAsia="Times New Roman" w:hAnsi="Times New Roman" w:cs="Times New Roman"/>
                <w:bCs/>
                <w:iCs/>
                <w:sz w:val="24"/>
                <w:szCs w:val="24"/>
                <w:lang w:eastAsia="sk-SK"/>
              </w:rPr>
            </w:pPr>
            <w:r w:rsidRPr="000F18FB">
              <w:rPr>
                <w:rFonts w:ascii="Times New Roman" w:eastAsia="Times New Roman" w:hAnsi="Times New Roman" w:cs="Times New Roman"/>
                <w:bCs/>
                <w:iCs/>
                <w:sz w:val="24"/>
                <w:szCs w:val="24"/>
                <w:lang w:eastAsia="sk-SK"/>
              </w:rPr>
              <w:t>0</w:t>
            </w:r>
          </w:p>
        </w:tc>
        <w:tc>
          <w:tcPr>
            <w:tcW w:w="1267" w:type="dxa"/>
            <w:noWrap/>
            <w:vAlign w:val="center"/>
          </w:tcPr>
          <w:p w:rsidR="000F18FB" w:rsidRPr="000F18FB" w:rsidRDefault="000F18FB" w:rsidP="00B52D31">
            <w:pPr>
              <w:spacing w:after="0" w:line="240" w:lineRule="auto"/>
              <w:jc w:val="both"/>
              <w:rPr>
                <w:rFonts w:ascii="Times New Roman" w:eastAsia="Times New Roman" w:hAnsi="Times New Roman" w:cs="Times New Roman"/>
                <w:bCs/>
                <w:iCs/>
                <w:sz w:val="24"/>
                <w:szCs w:val="24"/>
                <w:lang w:eastAsia="sk-SK"/>
              </w:rPr>
            </w:pPr>
            <w:r w:rsidRPr="000F18FB">
              <w:rPr>
                <w:rFonts w:ascii="Times New Roman" w:eastAsia="Times New Roman" w:hAnsi="Times New Roman" w:cs="Times New Roman"/>
                <w:bCs/>
                <w:iCs/>
                <w:sz w:val="24"/>
                <w:szCs w:val="24"/>
                <w:lang w:eastAsia="sk-SK"/>
              </w:rPr>
              <w:t>0</w:t>
            </w:r>
          </w:p>
        </w:tc>
        <w:tc>
          <w:tcPr>
            <w:tcW w:w="1267" w:type="dxa"/>
            <w:noWrap/>
            <w:vAlign w:val="center"/>
          </w:tcPr>
          <w:p w:rsidR="000F18FB" w:rsidRPr="000F18FB" w:rsidRDefault="000F18FB" w:rsidP="00B52D31">
            <w:pPr>
              <w:spacing w:after="0" w:line="240" w:lineRule="auto"/>
              <w:jc w:val="both"/>
              <w:rPr>
                <w:rFonts w:ascii="Times New Roman" w:eastAsia="Times New Roman" w:hAnsi="Times New Roman" w:cs="Times New Roman"/>
                <w:bCs/>
                <w:sz w:val="24"/>
                <w:szCs w:val="24"/>
                <w:lang w:eastAsia="sk-SK"/>
              </w:rPr>
            </w:pPr>
            <w:r w:rsidRPr="000F18FB">
              <w:rPr>
                <w:rFonts w:ascii="Times New Roman" w:eastAsia="Times New Roman" w:hAnsi="Times New Roman" w:cs="Times New Roman"/>
                <w:bCs/>
                <w:sz w:val="24"/>
                <w:szCs w:val="24"/>
                <w:lang w:eastAsia="sk-SK"/>
              </w:rPr>
              <w:t>0</w:t>
            </w:r>
          </w:p>
        </w:tc>
      </w:tr>
      <w:tr w:rsidR="000F18FB" w:rsidRPr="00B52D31" w:rsidTr="000F18FB">
        <w:trPr>
          <w:trHeight w:val="70"/>
          <w:jc w:val="center"/>
        </w:trPr>
        <w:tc>
          <w:tcPr>
            <w:tcW w:w="4661" w:type="dxa"/>
            <w:shd w:val="clear" w:color="auto" w:fill="BFBFBF"/>
            <w:noWrap/>
            <w:vAlign w:val="center"/>
          </w:tcPr>
          <w:p w:rsidR="000F18FB" w:rsidRPr="000F18FB" w:rsidRDefault="000F18FB" w:rsidP="00B52D31">
            <w:pPr>
              <w:spacing w:after="0" w:line="240" w:lineRule="auto"/>
              <w:jc w:val="both"/>
              <w:rPr>
                <w:rFonts w:ascii="Times New Roman" w:eastAsia="Times New Roman" w:hAnsi="Times New Roman" w:cs="Times New Roman"/>
                <w:b/>
                <w:sz w:val="24"/>
                <w:szCs w:val="24"/>
                <w:lang w:eastAsia="sk-SK"/>
              </w:rPr>
            </w:pPr>
            <w:r w:rsidRPr="000F18FB">
              <w:rPr>
                <w:rFonts w:ascii="Times New Roman" w:eastAsia="Times New Roman" w:hAnsi="Times New Roman" w:cs="Times New Roman"/>
                <w:b/>
                <w:sz w:val="24"/>
                <w:szCs w:val="24"/>
                <w:lang w:eastAsia="sk-SK"/>
              </w:rPr>
              <w:t>Iné ako rozpočtové zdroje</w:t>
            </w:r>
          </w:p>
        </w:tc>
        <w:tc>
          <w:tcPr>
            <w:tcW w:w="1398" w:type="dxa"/>
            <w:shd w:val="clear" w:color="auto" w:fill="BFBFBF"/>
            <w:noWrap/>
            <w:vAlign w:val="center"/>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0</w:t>
            </w:r>
          </w:p>
        </w:tc>
        <w:tc>
          <w:tcPr>
            <w:tcW w:w="1388" w:type="dxa"/>
            <w:shd w:val="clear" w:color="auto" w:fill="BFBFBF"/>
            <w:noWrap/>
            <w:vAlign w:val="center"/>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0</w:t>
            </w:r>
          </w:p>
        </w:tc>
        <w:tc>
          <w:tcPr>
            <w:tcW w:w="1267" w:type="dxa"/>
            <w:shd w:val="clear" w:color="auto" w:fill="BFBFBF"/>
            <w:noWrap/>
            <w:vAlign w:val="center"/>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0</w:t>
            </w:r>
          </w:p>
        </w:tc>
        <w:tc>
          <w:tcPr>
            <w:tcW w:w="1267" w:type="dxa"/>
            <w:shd w:val="clear" w:color="auto" w:fill="BFBFBF"/>
            <w:noWrap/>
            <w:vAlign w:val="center"/>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0</w:t>
            </w:r>
          </w:p>
        </w:tc>
      </w:tr>
      <w:tr w:rsidR="000F18FB" w:rsidRPr="00B52D31" w:rsidTr="000F18FB">
        <w:trPr>
          <w:trHeight w:val="70"/>
          <w:jc w:val="center"/>
        </w:trPr>
        <w:tc>
          <w:tcPr>
            <w:tcW w:w="4661" w:type="dxa"/>
            <w:shd w:val="clear" w:color="auto" w:fill="A6A6A6"/>
            <w:noWrap/>
            <w:vAlign w:val="center"/>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Rozpočtovo nekrytý vplyv / úspora</w:t>
            </w:r>
          </w:p>
        </w:tc>
        <w:tc>
          <w:tcPr>
            <w:tcW w:w="1398" w:type="dxa"/>
            <w:shd w:val="clear" w:color="auto" w:fill="A6A6A6"/>
            <w:noWrap/>
            <w:vAlign w:val="center"/>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0</w:t>
            </w:r>
          </w:p>
        </w:tc>
        <w:tc>
          <w:tcPr>
            <w:tcW w:w="1388" w:type="dxa"/>
            <w:shd w:val="clear" w:color="auto" w:fill="A6A6A6"/>
            <w:noWrap/>
            <w:vAlign w:val="center"/>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0</w:t>
            </w:r>
          </w:p>
        </w:tc>
        <w:tc>
          <w:tcPr>
            <w:tcW w:w="1267" w:type="dxa"/>
            <w:shd w:val="clear" w:color="auto" w:fill="A6A6A6"/>
            <w:noWrap/>
            <w:vAlign w:val="center"/>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0</w:t>
            </w:r>
          </w:p>
        </w:tc>
        <w:tc>
          <w:tcPr>
            <w:tcW w:w="1267" w:type="dxa"/>
            <w:shd w:val="clear" w:color="auto" w:fill="A6A6A6"/>
            <w:noWrap/>
            <w:vAlign w:val="center"/>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0</w:t>
            </w:r>
          </w:p>
        </w:tc>
      </w:tr>
      <w:bookmarkEnd w:id="0"/>
    </w:tbl>
    <w:p w:rsidR="000F18FB" w:rsidRPr="000F18FB" w:rsidRDefault="000F18FB" w:rsidP="00B52D31">
      <w:pPr>
        <w:spacing w:after="200" w:line="276"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br w:type="page"/>
      </w:r>
      <w:r w:rsidRPr="000F18FB">
        <w:rPr>
          <w:rFonts w:ascii="Times New Roman" w:eastAsia="Times New Roman" w:hAnsi="Times New Roman" w:cs="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rsidR="000F18FB" w:rsidRPr="000F18FB" w:rsidRDefault="000F18FB" w:rsidP="00B52D31">
      <w:pPr>
        <w:pBdr>
          <w:top w:val="single" w:sz="4" w:space="1" w:color="auto"/>
          <w:left w:val="single" w:sz="4" w:space="4" w:color="auto"/>
          <w:bottom w:val="single" w:sz="4" w:space="14" w:color="auto"/>
          <w:right w:val="single" w:sz="4" w:space="4" w:color="auto"/>
        </w:pBdr>
        <w:spacing w:before="120" w:after="0" w:line="240" w:lineRule="auto"/>
        <w:jc w:val="both"/>
        <w:rPr>
          <w:rFonts w:ascii="Times New Roman" w:eastAsia="Times New Roman" w:hAnsi="Times New Roman" w:cs="Times New Roman"/>
          <w:sz w:val="24"/>
          <w:szCs w:val="24"/>
        </w:rPr>
      </w:pPr>
      <w:r w:rsidRPr="000F18FB">
        <w:rPr>
          <w:rFonts w:ascii="Times New Roman" w:eastAsia="Times New Roman" w:hAnsi="Times New Roman" w:cs="Times New Roman"/>
          <w:sz w:val="24"/>
          <w:szCs w:val="24"/>
        </w:rPr>
        <w:t>Návrh zákona, ktorým sa mení a dopĺňa zákon č. 106/2018 Z. z. o prevádzke vozidiel v cestnej premávke a o zmene a doplnení niektorých zákonov v znení neskorších predpisov a ktorým sa menia a dopĺňajú niektoré zákony (ďalej len „návrh zákona“) predpokladá pozitívny a negatívny vplyv na rozpočet verejnej správy.</w:t>
      </w:r>
    </w:p>
    <w:p w:rsidR="000F18FB" w:rsidRPr="000F18FB" w:rsidRDefault="000F18FB" w:rsidP="00B52D31">
      <w:pPr>
        <w:pBdr>
          <w:top w:val="single" w:sz="4" w:space="1" w:color="auto"/>
          <w:left w:val="single" w:sz="4" w:space="4" w:color="auto"/>
          <w:bottom w:val="single" w:sz="4" w:space="14" w:color="auto"/>
          <w:right w:val="single" w:sz="4" w:space="4" w:color="auto"/>
        </w:pBdr>
        <w:spacing w:before="120" w:after="0" w:line="240" w:lineRule="auto"/>
        <w:jc w:val="both"/>
        <w:rPr>
          <w:rFonts w:ascii="Times New Roman" w:eastAsia="Times New Roman" w:hAnsi="Times New Roman" w:cs="Times New Roman"/>
          <w:sz w:val="24"/>
          <w:szCs w:val="24"/>
        </w:rPr>
      </w:pPr>
      <w:r w:rsidRPr="000F18FB">
        <w:rPr>
          <w:rFonts w:ascii="Times New Roman" w:eastAsia="Times New Roman" w:hAnsi="Times New Roman" w:cs="Times New Roman"/>
          <w:sz w:val="24"/>
          <w:szCs w:val="24"/>
        </w:rPr>
        <w:t>Návrhom zákona dochádza aj k úprave správnych poplatkov. Navrhuje sa nový poplatok v súvislosti s vydávaním poverenia na vykonávanie určitých činností podľa dohody ADR a so zvýšením správneho poplatku v súvislosti s vydávaním povolenia na zriadenie stanice technickej kontroly. Pri novom poplatku v súvislosti s vydávaním poverenia na vykonávanie určitých činností podľa dohody ADR nepredpokladáme zvýšený záujem o toto poverenie. V súčasnosti je vydané jedno poverenie, ktorého platnosť končí v roku 2022 a pravdepodobne bude tento subjekt žiadať o predĺženie platnosti. Plus predpokladáme, že o túto činnosť prejaví záujem ešte jeden subjekt. Preto v roku 2022 odhaduje príjem vo výške 400 eur. Čo sa týka zvýšenia správneho poplatku v súvislosti s vydávaním povolenia na zriadenie stanice technickej kontroly, tak predpokladáme, že zmenou zákona nedôjde k nárastu možných miest staníc technickej kontroly nad rámec existujúcej siete, preto nepredpokladáme zvýšený príjmy v tejto oblasti.</w:t>
      </w:r>
    </w:p>
    <w:p w:rsidR="000F18FB" w:rsidRPr="000F18FB" w:rsidRDefault="000F18FB" w:rsidP="00B52D31">
      <w:pPr>
        <w:pBdr>
          <w:top w:val="single" w:sz="4" w:space="1" w:color="auto"/>
          <w:left w:val="single" w:sz="4" w:space="4" w:color="auto"/>
          <w:bottom w:val="single" w:sz="4" w:space="14" w:color="auto"/>
          <w:right w:val="single" w:sz="4" w:space="4" w:color="auto"/>
        </w:pBdr>
        <w:spacing w:before="120" w:after="0" w:line="240" w:lineRule="auto"/>
        <w:jc w:val="both"/>
        <w:rPr>
          <w:rFonts w:ascii="Times New Roman" w:eastAsia="Times New Roman" w:hAnsi="Times New Roman" w:cs="Times New Roman"/>
          <w:sz w:val="24"/>
          <w:szCs w:val="24"/>
        </w:rPr>
      </w:pPr>
      <w:r w:rsidRPr="000F18FB">
        <w:rPr>
          <w:rFonts w:ascii="Times New Roman" w:eastAsia="Times New Roman" w:hAnsi="Times New Roman" w:cs="Times New Roman"/>
          <w:sz w:val="24"/>
          <w:szCs w:val="24"/>
        </w:rPr>
        <w:t>Pri úprave informačného systému evidencie vozidiel sa predpokladá s dopadom vo výške 125 000,- eur s DPH, pričom táto suma je krytá v schválenom rozpočte v kapitole Ministerstva vnútra SR na rok 2021 a nezakladá zvýšené nároky na štátny rozpočet.</w:t>
      </w:r>
    </w:p>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p>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2.2. Popis a charakteristika návrhu</w:t>
      </w:r>
    </w:p>
    <w:p w:rsidR="000F18FB" w:rsidRPr="000F18FB" w:rsidRDefault="000F18FB" w:rsidP="00B52D31">
      <w:pPr>
        <w:spacing w:after="0" w:line="240" w:lineRule="auto"/>
        <w:jc w:val="both"/>
        <w:rPr>
          <w:rFonts w:ascii="Times New Roman" w:eastAsia="Times New Roman" w:hAnsi="Times New Roman" w:cs="Times New Roman"/>
          <w:sz w:val="24"/>
          <w:szCs w:val="24"/>
          <w:lang w:eastAsia="sk-SK"/>
        </w:rPr>
      </w:pPr>
    </w:p>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2.2.1. Popis návrhu:</w:t>
      </w:r>
    </w:p>
    <w:p w:rsidR="000F18FB" w:rsidRPr="000F18FB" w:rsidRDefault="000F18FB" w:rsidP="00B52D31">
      <w:pPr>
        <w:spacing w:after="0" w:line="240" w:lineRule="auto"/>
        <w:jc w:val="both"/>
        <w:rPr>
          <w:rFonts w:ascii="Times New Roman" w:eastAsia="Times New Roman" w:hAnsi="Times New Roman" w:cs="Times New Roman"/>
          <w:sz w:val="24"/>
          <w:szCs w:val="24"/>
        </w:rPr>
      </w:pPr>
      <w:r w:rsidRPr="000F18FB">
        <w:rPr>
          <w:rFonts w:ascii="Times New Roman" w:eastAsia="Times New Roman" w:hAnsi="Times New Roman" w:cs="Times New Roman"/>
          <w:sz w:val="24"/>
          <w:szCs w:val="24"/>
        </w:rPr>
        <w:t>Cieľom návrhu zákona je implementácia dvoch európskych nariadení a to:</w:t>
      </w:r>
    </w:p>
    <w:p w:rsidR="000F18FB" w:rsidRPr="000F18FB" w:rsidRDefault="000F18FB" w:rsidP="00B52D31">
      <w:pPr>
        <w:numPr>
          <w:ilvl w:val="0"/>
          <w:numId w:val="14"/>
        </w:numPr>
        <w:spacing w:after="0" w:line="240" w:lineRule="auto"/>
        <w:ind w:left="426" w:hanging="426"/>
        <w:contextualSpacing/>
        <w:jc w:val="both"/>
        <w:rPr>
          <w:rFonts w:ascii="Times New Roman" w:eastAsia="Times New Roman" w:hAnsi="Times New Roman" w:cs="Times New Roman"/>
          <w:sz w:val="24"/>
          <w:szCs w:val="24"/>
        </w:rPr>
      </w:pPr>
      <w:r w:rsidRPr="000F18FB">
        <w:rPr>
          <w:rFonts w:ascii="Times New Roman" w:eastAsia="Times New Roman" w:hAnsi="Times New Roman" w:cs="Times New Roman"/>
          <w:sz w:val="24"/>
          <w:szCs w:val="24"/>
        </w:rPr>
        <w:t>nariadenia Európskeho parlamentu a Rady (EÚ) 2019/2144 z 27. novembra 2019 o požiadavkách na typové schvaľovanie motorových vozidiel a ich prípojných vozidiel a systémov, komponentov a samostatných technických jednotiek určených pre tieto vozidlá, pokiaľ ide o ich všeobecnú bezpečnosť a ochranu cestujúcich vo vozidle a zraniteľných účastníkov cestnej premávky, ktorým sa mení nariadenie Európskeho parlamentu a Rady (EÚ) 2018/858 a ktorým sa zrušujú nariadenia Európskeho parlamentu a Rady (ES) č. 78/2009, (ES) č. 79/2009 a (ES) č. 661/2009 a nariadenia Komisie (ES) č. 631/2009, (EÚ) č. 406/2010, (EÚ) č. 672/2010, (EÚ) č. 1003/2010, (EÚ) č. 1005/2010, (EÚ) č. 1008/2010, (EÚ) č. 1009/2010, (EÚ) č. 19/2011, (EÚ) č. 109/2011, (EÚ) č. 458/2011, (EÚ) č. 65/2012, (EÚ) č. 130/2012, (EÚ) č. 347/2012, (EÚ) č. 351/2012, (EÚ) č. 1230/2012 a (EÚ) 2015/166 (Ú.  v. EÚ L 325, 16.12.2019) a</w:t>
      </w:r>
    </w:p>
    <w:p w:rsidR="000F18FB" w:rsidRPr="000F18FB" w:rsidRDefault="000F18FB" w:rsidP="00B52D31">
      <w:pPr>
        <w:numPr>
          <w:ilvl w:val="0"/>
          <w:numId w:val="14"/>
        </w:numPr>
        <w:spacing w:after="0" w:line="240" w:lineRule="auto"/>
        <w:ind w:left="426" w:hanging="426"/>
        <w:contextualSpacing/>
        <w:jc w:val="both"/>
        <w:rPr>
          <w:rFonts w:ascii="Times New Roman" w:eastAsia="Times New Roman" w:hAnsi="Times New Roman" w:cs="Times New Roman"/>
          <w:sz w:val="24"/>
          <w:szCs w:val="24"/>
        </w:rPr>
      </w:pPr>
      <w:r w:rsidRPr="000F18FB">
        <w:rPr>
          <w:rFonts w:ascii="Times New Roman" w:eastAsia="Times New Roman" w:hAnsi="Times New Roman" w:cs="Times New Roman"/>
          <w:sz w:val="24"/>
          <w:szCs w:val="24"/>
        </w:rPr>
        <w:t>nariadenia Európskeho parlamentu a Rady (EÚ) 2020/740 z 25. mája 2020 o označovaní pneumatík vzhľadom na palivovú úspornosť a iné parametre, ktorým sa mení nariadenie (EÚ) 2017/1369 a zrušuje nariadenie (ES) č. 1222/2009 (Ú. v. EÚ L 177, 5. 6. 2020).</w:t>
      </w:r>
    </w:p>
    <w:p w:rsidR="000F18FB" w:rsidRPr="000F18FB" w:rsidRDefault="000F18FB" w:rsidP="00B52D31">
      <w:pPr>
        <w:spacing w:before="120" w:after="0" w:line="240" w:lineRule="auto"/>
        <w:jc w:val="both"/>
        <w:rPr>
          <w:rFonts w:ascii="Times New Roman" w:eastAsia="Times New Roman" w:hAnsi="Times New Roman" w:cs="Times New Roman"/>
          <w:sz w:val="24"/>
          <w:szCs w:val="24"/>
        </w:rPr>
      </w:pPr>
      <w:r w:rsidRPr="000F18FB">
        <w:rPr>
          <w:rFonts w:ascii="Times New Roman" w:eastAsia="Times New Roman" w:hAnsi="Times New Roman" w:cs="Times New Roman"/>
          <w:sz w:val="24"/>
          <w:szCs w:val="24"/>
        </w:rPr>
        <w:t xml:space="preserve">Ďalším cieľom sú úpravy a doplnenia vyplývajúce z aplikácie zákona č. 106/2018 Z. z. o prevádzke vozidiel v cestnej premávke a o zmene a doplnení niektorých zákonov v znení neskorších predpisov v praxi, najmä: </w:t>
      </w:r>
    </w:p>
    <w:p w:rsidR="000F18FB" w:rsidRPr="000F18FB" w:rsidRDefault="000F18FB" w:rsidP="00B52D31">
      <w:pPr>
        <w:numPr>
          <w:ilvl w:val="0"/>
          <w:numId w:val="13"/>
        </w:numPr>
        <w:spacing w:after="0" w:line="276" w:lineRule="auto"/>
        <w:jc w:val="both"/>
        <w:rPr>
          <w:rFonts w:ascii="Times New Roman" w:eastAsia="Times New Roman" w:hAnsi="Times New Roman" w:cs="Times New Roman"/>
          <w:sz w:val="24"/>
          <w:szCs w:val="24"/>
        </w:rPr>
      </w:pPr>
      <w:r w:rsidRPr="000F18FB">
        <w:rPr>
          <w:rFonts w:ascii="Times New Roman" w:eastAsia="Times New Roman" w:hAnsi="Times New Roman" w:cs="Times New Roman"/>
          <w:sz w:val="24"/>
          <w:szCs w:val="24"/>
        </w:rPr>
        <w:t xml:space="preserve">v rámci zníženia administratívnej záťaže opravovní vozidiel sa navrhuje zrušenie certifikácie opravovní a v súvislosti s tým sa vypúšťajú ustanovenia týkajúce sa certifikovaných miest opravy; pri ťažkých dopravných nehodách, ktoré mali vplyv </w:t>
      </w:r>
      <w:r w:rsidRPr="000F18FB">
        <w:rPr>
          <w:rFonts w:ascii="Times New Roman" w:eastAsia="Times New Roman" w:hAnsi="Times New Roman" w:cs="Times New Roman"/>
          <w:sz w:val="24"/>
          <w:szCs w:val="24"/>
        </w:rPr>
        <w:lastRenderedPageBreak/>
        <w:t xml:space="preserve">na hlavné bezpečnostné prvky vozidla, ktorými sú zavesenie kolies, deformačné zóny, systémy </w:t>
      </w:r>
      <w:proofErr w:type="spellStart"/>
      <w:r w:rsidRPr="000F18FB">
        <w:rPr>
          <w:rFonts w:ascii="Times New Roman" w:eastAsia="Times New Roman" w:hAnsi="Times New Roman" w:cs="Times New Roman"/>
          <w:sz w:val="24"/>
          <w:szCs w:val="24"/>
        </w:rPr>
        <w:t>airbagov</w:t>
      </w:r>
      <w:proofErr w:type="spellEnd"/>
      <w:r w:rsidRPr="000F18FB">
        <w:rPr>
          <w:rFonts w:ascii="Times New Roman" w:eastAsia="Times New Roman" w:hAnsi="Times New Roman" w:cs="Times New Roman"/>
          <w:sz w:val="24"/>
          <w:szCs w:val="24"/>
        </w:rPr>
        <w:t>, riadenie alebo brzdy, bude postačovať, aby oprava vozidla bola vykoná na základe informácií od výrobcu s príslušným technologickým vybavením,</w:t>
      </w:r>
    </w:p>
    <w:p w:rsidR="000F18FB" w:rsidRPr="000F18FB" w:rsidRDefault="000F18FB" w:rsidP="00B52D31">
      <w:pPr>
        <w:numPr>
          <w:ilvl w:val="0"/>
          <w:numId w:val="13"/>
        </w:numPr>
        <w:spacing w:after="0" w:line="276" w:lineRule="auto"/>
        <w:jc w:val="both"/>
        <w:rPr>
          <w:rFonts w:ascii="Times New Roman" w:eastAsia="Times New Roman" w:hAnsi="Times New Roman" w:cs="Times New Roman"/>
          <w:sz w:val="24"/>
          <w:szCs w:val="24"/>
        </w:rPr>
      </w:pPr>
      <w:r w:rsidRPr="000F18FB">
        <w:rPr>
          <w:rFonts w:ascii="Times New Roman" w:eastAsia="Times New Roman" w:hAnsi="Times New Roman" w:cs="Times New Roman"/>
          <w:sz w:val="24"/>
          <w:szCs w:val="24"/>
        </w:rPr>
        <w:t>v súvislosti s činnosťou technickej služby technickej kontroly, technickej služby emisnej kontroly, technickej služby kontroly originality a technickej služby montáže plynových zariadení sa navrhuje predĺžiť platnosť poverenia s tým, že po ukončení činnosti technickej služby do začiatku fungovania novej technickej služby bude potrebné odovzdať typovému schvaľovaciemu orgánu informačný systém,</w:t>
      </w:r>
    </w:p>
    <w:p w:rsidR="000F18FB" w:rsidRPr="000F18FB" w:rsidRDefault="000F18FB" w:rsidP="00B52D31">
      <w:pPr>
        <w:numPr>
          <w:ilvl w:val="0"/>
          <w:numId w:val="13"/>
        </w:numPr>
        <w:spacing w:after="0" w:line="276" w:lineRule="auto"/>
        <w:jc w:val="both"/>
        <w:rPr>
          <w:rFonts w:ascii="Times New Roman" w:eastAsia="Times New Roman" w:hAnsi="Times New Roman" w:cs="Times New Roman"/>
          <w:sz w:val="24"/>
          <w:szCs w:val="24"/>
        </w:rPr>
      </w:pPr>
      <w:r w:rsidRPr="000F18FB">
        <w:rPr>
          <w:rFonts w:ascii="Times New Roman" w:eastAsia="Times New Roman" w:hAnsi="Times New Roman" w:cs="Times New Roman"/>
          <w:sz w:val="24"/>
          <w:szCs w:val="24"/>
        </w:rPr>
        <w:t>v súvislosti so zriaďovaním staníc technickej kontroly nad rámec existujúcej siete, sa navrhujú zaviesť viaceré obmedzenia pre tých držiteľov povolení, ktorí reálne dané pracoviská nestavajú a mnohokrát iba zámerne blokujú miesto v existujúcej sieti,</w:t>
      </w:r>
    </w:p>
    <w:p w:rsidR="000F18FB" w:rsidRPr="000F18FB" w:rsidRDefault="000F18FB" w:rsidP="00B52D31">
      <w:pPr>
        <w:numPr>
          <w:ilvl w:val="0"/>
          <w:numId w:val="13"/>
        </w:numPr>
        <w:spacing w:after="0" w:line="276" w:lineRule="auto"/>
        <w:jc w:val="both"/>
        <w:rPr>
          <w:rFonts w:ascii="Times New Roman" w:eastAsia="Times New Roman" w:hAnsi="Times New Roman" w:cs="Times New Roman"/>
          <w:sz w:val="24"/>
          <w:szCs w:val="24"/>
        </w:rPr>
      </w:pPr>
      <w:r w:rsidRPr="000F18FB">
        <w:rPr>
          <w:rFonts w:ascii="Times New Roman" w:eastAsia="Times New Roman" w:hAnsi="Times New Roman" w:cs="Times New Roman"/>
          <w:sz w:val="24"/>
          <w:szCs w:val="24"/>
        </w:rPr>
        <w:t>navrhuje sa upraviť niektoré parametre pre výpočet ďalšej kontrolnej linky v súvislosti so zriaďovaním staníc technickej kontroly nad rámec existujúcej siete, ktoré vychádzajú zo zaznamenaných údajov v informačných systémoch.</w:t>
      </w:r>
    </w:p>
    <w:p w:rsidR="000F18FB" w:rsidRPr="000F18FB" w:rsidRDefault="000F18FB" w:rsidP="00B52D31">
      <w:pPr>
        <w:spacing w:after="0" w:line="240" w:lineRule="auto"/>
        <w:jc w:val="both"/>
        <w:rPr>
          <w:rFonts w:ascii="Times New Roman" w:eastAsia="Times New Roman" w:hAnsi="Times New Roman" w:cs="Times New Roman"/>
          <w:sz w:val="24"/>
          <w:szCs w:val="24"/>
        </w:rPr>
      </w:pPr>
    </w:p>
    <w:p w:rsidR="000F18FB" w:rsidRPr="000F18FB" w:rsidRDefault="000F18FB" w:rsidP="00B52D31">
      <w:pPr>
        <w:spacing w:after="0" w:line="240" w:lineRule="auto"/>
        <w:jc w:val="both"/>
        <w:rPr>
          <w:rFonts w:ascii="Times New Roman" w:eastAsia="Times New Roman" w:hAnsi="Times New Roman" w:cs="Times New Roman"/>
          <w:sz w:val="24"/>
          <w:szCs w:val="24"/>
        </w:rPr>
      </w:pPr>
    </w:p>
    <w:p w:rsidR="000F18FB" w:rsidRPr="000F18FB" w:rsidRDefault="000F18FB" w:rsidP="00B52D31">
      <w:pPr>
        <w:spacing w:after="0" w:line="240" w:lineRule="auto"/>
        <w:jc w:val="both"/>
        <w:rPr>
          <w:rFonts w:ascii="Times New Roman" w:eastAsia="Times New Roman" w:hAnsi="Times New Roman" w:cs="Times New Roman"/>
          <w:sz w:val="24"/>
          <w:szCs w:val="24"/>
          <w:lang w:eastAsia="sk-SK"/>
        </w:rPr>
      </w:pPr>
      <w:r w:rsidRPr="000F18FB">
        <w:rPr>
          <w:rFonts w:ascii="Times New Roman" w:eastAsia="Times New Roman" w:hAnsi="Times New Roman" w:cs="Times New Roman"/>
          <w:sz w:val="24"/>
          <w:szCs w:val="24"/>
          <w:lang w:eastAsia="sk-SK"/>
        </w:rPr>
        <w:t>.......................................................................................................................................................</w:t>
      </w:r>
    </w:p>
    <w:p w:rsidR="000F18FB" w:rsidRPr="000F18FB" w:rsidRDefault="000F18FB" w:rsidP="00B52D31">
      <w:pPr>
        <w:spacing w:after="0" w:line="240" w:lineRule="auto"/>
        <w:jc w:val="both"/>
        <w:rPr>
          <w:rFonts w:ascii="Times New Roman" w:eastAsia="Times New Roman" w:hAnsi="Times New Roman" w:cs="Times New Roman"/>
          <w:sz w:val="24"/>
          <w:szCs w:val="24"/>
          <w:lang w:eastAsia="sk-SK"/>
        </w:rPr>
      </w:pPr>
    </w:p>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2.2.2. Charakteristika návrhu:</w:t>
      </w:r>
    </w:p>
    <w:p w:rsidR="000F18FB" w:rsidRPr="000F18FB" w:rsidRDefault="000F18FB" w:rsidP="00B52D31">
      <w:pPr>
        <w:spacing w:after="0" w:line="240" w:lineRule="auto"/>
        <w:jc w:val="both"/>
        <w:rPr>
          <w:rFonts w:ascii="Times New Roman" w:eastAsia="Times New Roman" w:hAnsi="Times New Roman" w:cs="Times New Roman"/>
          <w:sz w:val="24"/>
          <w:szCs w:val="24"/>
          <w:lang w:eastAsia="sk-SK"/>
        </w:rPr>
      </w:pPr>
    </w:p>
    <w:p w:rsidR="000F18FB" w:rsidRPr="000F18FB" w:rsidRDefault="000F18FB" w:rsidP="00B52D31">
      <w:pPr>
        <w:spacing w:after="0" w:line="240" w:lineRule="auto"/>
        <w:jc w:val="both"/>
        <w:rPr>
          <w:rFonts w:ascii="Times New Roman" w:eastAsia="Times New Roman" w:hAnsi="Times New Roman" w:cs="Times New Roman"/>
          <w:sz w:val="24"/>
          <w:szCs w:val="24"/>
          <w:lang w:eastAsia="sk-SK"/>
        </w:rPr>
      </w:pPr>
      <w:r w:rsidRPr="000F18FB">
        <w:rPr>
          <w:rFonts w:ascii="Times New Roman" w:eastAsia="Times New Roman" w:hAnsi="Times New Roman" w:cs="Times New Roman"/>
          <w:b/>
          <w:sz w:val="24"/>
          <w:szCs w:val="24"/>
          <w:bdr w:val="single" w:sz="4" w:space="0" w:color="auto"/>
          <w:lang w:eastAsia="sk-SK"/>
        </w:rPr>
        <w:t xml:space="preserve"> </w:t>
      </w:r>
      <w:r w:rsidRPr="000F18FB">
        <w:rPr>
          <w:rFonts w:ascii="Times New Roman" w:eastAsia="Times New Roman" w:hAnsi="Times New Roman" w:cs="Times New Roman"/>
          <w:sz w:val="24"/>
          <w:szCs w:val="24"/>
          <w:bdr w:val="single" w:sz="4" w:space="0" w:color="auto"/>
          <w:lang w:eastAsia="sk-SK"/>
        </w:rPr>
        <w:t xml:space="preserve">x </w:t>
      </w:r>
      <w:r w:rsidRPr="000F18FB">
        <w:rPr>
          <w:rFonts w:ascii="Times New Roman" w:eastAsia="Times New Roman" w:hAnsi="Times New Roman" w:cs="Times New Roman"/>
          <w:b/>
          <w:sz w:val="24"/>
          <w:szCs w:val="24"/>
          <w:bdr w:val="single" w:sz="4" w:space="0" w:color="auto"/>
          <w:lang w:eastAsia="sk-SK"/>
        </w:rPr>
        <w:t xml:space="preserve"> </w:t>
      </w:r>
      <w:r w:rsidRPr="000F18FB">
        <w:rPr>
          <w:rFonts w:ascii="Times New Roman" w:eastAsia="Times New Roman" w:hAnsi="Times New Roman" w:cs="Times New Roman"/>
          <w:b/>
          <w:sz w:val="24"/>
          <w:szCs w:val="24"/>
          <w:lang w:eastAsia="sk-SK"/>
        </w:rPr>
        <w:t xml:space="preserve">  </w:t>
      </w:r>
      <w:r w:rsidRPr="000F18FB">
        <w:rPr>
          <w:rFonts w:ascii="Times New Roman" w:eastAsia="Times New Roman" w:hAnsi="Times New Roman" w:cs="Times New Roman"/>
          <w:sz w:val="24"/>
          <w:szCs w:val="24"/>
          <w:lang w:eastAsia="sk-SK"/>
        </w:rPr>
        <w:t>zmena sadzby</w:t>
      </w:r>
    </w:p>
    <w:p w:rsidR="000F18FB" w:rsidRPr="000F18FB" w:rsidRDefault="000F18FB" w:rsidP="00B52D31">
      <w:pPr>
        <w:spacing w:after="0" w:line="240" w:lineRule="auto"/>
        <w:jc w:val="both"/>
        <w:rPr>
          <w:rFonts w:ascii="Times New Roman" w:eastAsia="Times New Roman" w:hAnsi="Times New Roman" w:cs="Times New Roman"/>
          <w:sz w:val="24"/>
          <w:szCs w:val="24"/>
          <w:lang w:eastAsia="sk-SK"/>
        </w:rPr>
      </w:pPr>
      <w:r w:rsidRPr="000F18FB">
        <w:rPr>
          <w:rFonts w:ascii="Times New Roman" w:eastAsia="Times New Roman" w:hAnsi="Times New Roman" w:cs="Times New Roman"/>
          <w:sz w:val="24"/>
          <w:szCs w:val="24"/>
          <w:bdr w:val="single" w:sz="4" w:space="0" w:color="auto"/>
          <w:lang w:eastAsia="sk-SK"/>
        </w:rPr>
        <w:t xml:space="preserve">     </w:t>
      </w:r>
      <w:r w:rsidRPr="000F18FB">
        <w:rPr>
          <w:rFonts w:ascii="Times New Roman" w:eastAsia="Times New Roman" w:hAnsi="Times New Roman" w:cs="Times New Roman"/>
          <w:sz w:val="24"/>
          <w:szCs w:val="24"/>
          <w:lang w:eastAsia="sk-SK"/>
        </w:rPr>
        <w:t xml:space="preserve">  zmena v nároku</w:t>
      </w:r>
    </w:p>
    <w:p w:rsidR="000F18FB" w:rsidRPr="000F18FB" w:rsidRDefault="000F18FB" w:rsidP="00B52D31">
      <w:pPr>
        <w:spacing w:after="0" w:line="240" w:lineRule="auto"/>
        <w:jc w:val="both"/>
        <w:rPr>
          <w:rFonts w:ascii="Times New Roman" w:eastAsia="Times New Roman" w:hAnsi="Times New Roman" w:cs="Times New Roman"/>
          <w:sz w:val="24"/>
          <w:szCs w:val="24"/>
          <w:lang w:eastAsia="sk-SK"/>
        </w:rPr>
      </w:pPr>
      <w:r w:rsidRPr="000F18FB">
        <w:rPr>
          <w:rFonts w:ascii="Times New Roman" w:eastAsia="Times New Roman" w:hAnsi="Times New Roman" w:cs="Times New Roman"/>
          <w:sz w:val="24"/>
          <w:szCs w:val="24"/>
          <w:bdr w:val="single" w:sz="4" w:space="0" w:color="auto"/>
          <w:lang w:eastAsia="sk-SK"/>
        </w:rPr>
        <w:t xml:space="preserve"> x  </w:t>
      </w:r>
      <w:r w:rsidRPr="000F18FB">
        <w:rPr>
          <w:rFonts w:ascii="Times New Roman" w:eastAsia="Times New Roman" w:hAnsi="Times New Roman" w:cs="Times New Roman"/>
          <w:sz w:val="24"/>
          <w:szCs w:val="24"/>
          <w:lang w:eastAsia="sk-SK"/>
        </w:rPr>
        <w:t xml:space="preserve">  nová služba alebo nariadenie (alebo ich zrušenie)</w:t>
      </w:r>
    </w:p>
    <w:p w:rsidR="000F18FB" w:rsidRPr="000F18FB" w:rsidRDefault="000F18FB" w:rsidP="00B52D31">
      <w:pPr>
        <w:spacing w:after="0" w:line="240" w:lineRule="auto"/>
        <w:jc w:val="both"/>
        <w:rPr>
          <w:rFonts w:ascii="Times New Roman" w:eastAsia="Times New Roman" w:hAnsi="Times New Roman" w:cs="Times New Roman"/>
          <w:sz w:val="24"/>
          <w:szCs w:val="24"/>
          <w:lang w:eastAsia="sk-SK"/>
        </w:rPr>
      </w:pPr>
      <w:r w:rsidRPr="000F18FB">
        <w:rPr>
          <w:rFonts w:ascii="Times New Roman" w:eastAsia="Times New Roman" w:hAnsi="Times New Roman" w:cs="Times New Roman"/>
          <w:sz w:val="24"/>
          <w:szCs w:val="24"/>
          <w:bdr w:val="single" w:sz="4" w:space="0" w:color="auto"/>
          <w:lang w:eastAsia="sk-SK"/>
        </w:rPr>
        <w:t xml:space="preserve">     </w:t>
      </w:r>
      <w:r w:rsidRPr="000F18FB">
        <w:rPr>
          <w:rFonts w:ascii="Times New Roman" w:eastAsia="Times New Roman" w:hAnsi="Times New Roman" w:cs="Times New Roman"/>
          <w:sz w:val="24"/>
          <w:szCs w:val="24"/>
          <w:lang w:eastAsia="sk-SK"/>
        </w:rPr>
        <w:t xml:space="preserve">  kombinovaný návrh</w:t>
      </w:r>
    </w:p>
    <w:p w:rsidR="000F18FB" w:rsidRPr="000F18FB" w:rsidRDefault="000F18FB" w:rsidP="00B52D31">
      <w:pPr>
        <w:spacing w:after="0" w:line="240" w:lineRule="auto"/>
        <w:jc w:val="both"/>
        <w:rPr>
          <w:rFonts w:ascii="Times New Roman" w:eastAsia="Times New Roman" w:hAnsi="Times New Roman" w:cs="Times New Roman"/>
          <w:sz w:val="24"/>
          <w:szCs w:val="24"/>
          <w:lang w:eastAsia="sk-SK"/>
        </w:rPr>
      </w:pPr>
      <w:r w:rsidRPr="000F18FB">
        <w:rPr>
          <w:rFonts w:ascii="Times New Roman" w:eastAsia="Times New Roman" w:hAnsi="Times New Roman" w:cs="Times New Roman"/>
          <w:sz w:val="24"/>
          <w:szCs w:val="24"/>
          <w:bdr w:val="single" w:sz="4" w:space="0" w:color="auto"/>
          <w:lang w:eastAsia="sk-SK"/>
        </w:rPr>
        <w:t xml:space="preserve"> x  </w:t>
      </w:r>
      <w:r w:rsidRPr="000F18FB">
        <w:rPr>
          <w:rFonts w:ascii="Times New Roman" w:eastAsia="Times New Roman" w:hAnsi="Times New Roman" w:cs="Times New Roman"/>
          <w:sz w:val="24"/>
          <w:szCs w:val="24"/>
          <w:lang w:eastAsia="sk-SK"/>
        </w:rPr>
        <w:t xml:space="preserve">  iné </w:t>
      </w:r>
    </w:p>
    <w:p w:rsidR="000F18FB" w:rsidRPr="000F18FB" w:rsidRDefault="000F18FB" w:rsidP="00B52D31">
      <w:pPr>
        <w:spacing w:after="0" w:line="240" w:lineRule="auto"/>
        <w:jc w:val="both"/>
        <w:rPr>
          <w:rFonts w:ascii="Times New Roman" w:eastAsia="Times New Roman" w:hAnsi="Times New Roman" w:cs="Times New Roman"/>
          <w:sz w:val="24"/>
          <w:szCs w:val="24"/>
          <w:lang w:eastAsia="sk-SK"/>
        </w:rPr>
      </w:pPr>
    </w:p>
    <w:p w:rsidR="000F18FB" w:rsidRPr="000F18FB" w:rsidRDefault="000F18FB" w:rsidP="00B52D31">
      <w:pPr>
        <w:spacing w:after="0" w:line="240" w:lineRule="auto"/>
        <w:jc w:val="both"/>
        <w:rPr>
          <w:rFonts w:ascii="Times New Roman" w:eastAsia="Times New Roman" w:hAnsi="Times New Roman" w:cs="Times New Roman"/>
          <w:sz w:val="24"/>
          <w:szCs w:val="24"/>
          <w:lang w:eastAsia="sk-SK"/>
        </w:rPr>
      </w:pPr>
    </w:p>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2.2.4. Výpočty vplyvov na verejné financie</w:t>
      </w:r>
    </w:p>
    <w:p w:rsidR="000F18FB" w:rsidRPr="000F18FB" w:rsidRDefault="000F18FB" w:rsidP="00B52D31">
      <w:pPr>
        <w:spacing w:after="0" w:line="240" w:lineRule="auto"/>
        <w:jc w:val="both"/>
        <w:rPr>
          <w:rFonts w:ascii="Times New Roman" w:eastAsia="Times New Roman" w:hAnsi="Times New Roman" w:cs="Times New Roman"/>
          <w:sz w:val="24"/>
          <w:szCs w:val="24"/>
          <w:lang w:eastAsia="sk-SK"/>
        </w:rPr>
      </w:pPr>
    </w:p>
    <w:p w:rsidR="000F18FB" w:rsidRPr="000F18FB" w:rsidRDefault="000F18FB" w:rsidP="00B52D3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F18FB">
        <w:rPr>
          <w:rFonts w:ascii="Times New Roman" w:eastAsia="Times New Roman" w:hAnsi="Times New Roman" w:cs="Times New Roman"/>
          <w:sz w:val="24"/>
          <w:szCs w:val="24"/>
        </w:rPr>
        <w:t xml:space="preserve">Návrh zákona predpokladá pozitívny a negatívny vplyv na rozpočet verejnej správy. </w:t>
      </w:r>
    </w:p>
    <w:p w:rsidR="000F18FB" w:rsidRPr="000F18FB" w:rsidRDefault="000F18FB" w:rsidP="00B52D3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
    <w:p w:rsidR="000F18FB" w:rsidRPr="000F18FB" w:rsidRDefault="000F18FB" w:rsidP="00B52D3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u w:val="single"/>
        </w:rPr>
      </w:pPr>
      <w:r w:rsidRPr="000F18FB">
        <w:rPr>
          <w:rFonts w:ascii="Times New Roman" w:eastAsia="Times New Roman" w:hAnsi="Times New Roman" w:cs="Times New Roman"/>
          <w:sz w:val="24"/>
          <w:szCs w:val="24"/>
          <w:u w:val="single"/>
        </w:rPr>
        <w:t>Pozitívne vplyvy na rozpočet verejnej správy</w:t>
      </w:r>
    </w:p>
    <w:p w:rsidR="000F18FB" w:rsidRPr="000F18FB" w:rsidRDefault="000F18FB" w:rsidP="00B52D3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F18FB">
        <w:rPr>
          <w:rFonts w:ascii="Times New Roman" w:eastAsia="Times New Roman" w:hAnsi="Times New Roman" w:cs="Times New Roman"/>
          <w:sz w:val="24"/>
          <w:szCs w:val="24"/>
        </w:rPr>
        <w:t xml:space="preserve">Návrhom zákona dochádza k úprave správnych poplatkov. Navrhuje sa nový poplatok v súvislosti s vydávaním poverenia na vykonávanie určitých činností podľa dohody ADR a so zvýšením správneho poplatku v súvislosti s vydávaním povolenia na zriadenie stanice technickej kontroly. </w:t>
      </w:r>
    </w:p>
    <w:p w:rsidR="000F18FB" w:rsidRPr="000F18FB" w:rsidRDefault="000F18FB" w:rsidP="00B52D3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F18FB">
        <w:rPr>
          <w:rFonts w:ascii="Times New Roman" w:eastAsia="Times New Roman" w:hAnsi="Times New Roman" w:cs="Times New Roman"/>
          <w:sz w:val="24"/>
          <w:szCs w:val="24"/>
        </w:rPr>
        <w:t xml:space="preserve">Pri novom poplatku v súvislosti s vydávaním poverenia na vykonávanie určitých činností podľa dohody ADR nepredpokladáme zvýšený záujem o toto poverenie. V súčasnosti je vydané jedno poverenie, ktorého platnosť končí v roku 2022 a pravdepodobne bude tento subjekt žiadať o predĺženie platnosti. Plus predpokladáme, že o túto činnosť prejaví záujem ešte jeden subjekt. Preto v roku 2022 odhaduje príjem vo výške 400 eur. </w:t>
      </w:r>
    </w:p>
    <w:p w:rsidR="000F18FB" w:rsidRPr="000F18FB" w:rsidRDefault="000F18FB" w:rsidP="00B52D3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F18FB">
        <w:rPr>
          <w:rFonts w:ascii="Times New Roman" w:eastAsia="Times New Roman" w:hAnsi="Times New Roman" w:cs="Times New Roman"/>
          <w:sz w:val="24"/>
          <w:szCs w:val="24"/>
        </w:rPr>
        <w:t>Čo sa týka zvýšenia správneho poplatku v súvislosti s vydávaním povolenia na zriadenie stanice technickej kontroly, tak predpokladáme, že zmenou zákona nedôjde k nárastu možných miest staníc technickej kontroly nad rámec existujúcej siete, preto nepredpokladáme zvýšený príjmy v tejto oblasti.</w:t>
      </w:r>
    </w:p>
    <w:p w:rsidR="000F18FB" w:rsidRPr="000F18FB" w:rsidRDefault="000F18FB" w:rsidP="00B52D3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u w:val="single"/>
        </w:rPr>
      </w:pPr>
    </w:p>
    <w:p w:rsidR="000F18FB" w:rsidRPr="000F18FB" w:rsidRDefault="000F18FB" w:rsidP="00B52D3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u w:val="single"/>
        </w:rPr>
      </w:pPr>
      <w:r w:rsidRPr="000F18FB">
        <w:rPr>
          <w:rFonts w:ascii="Times New Roman" w:eastAsia="Times New Roman" w:hAnsi="Times New Roman" w:cs="Times New Roman"/>
          <w:sz w:val="24"/>
          <w:szCs w:val="24"/>
          <w:u w:val="single"/>
        </w:rPr>
        <w:t>Negatívne vplyvy na rozpočet verejnej správy</w:t>
      </w:r>
    </w:p>
    <w:p w:rsidR="000F18FB" w:rsidRPr="000F18FB" w:rsidRDefault="000F18FB" w:rsidP="00B52D3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F18FB">
        <w:rPr>
          <w:rFonts w:ascii="Times New Roman" w:eastAsia="Times New Roman" w:hAnsi="Times New Roman" w:cs="Times New Roman"/>
          <w:sz w:val="24"/>
          <w:szCs w:val="24"/>
        </w:rPr>
        <w:lastRenderedPageBreak/>
        <w:t xml:space="preserve">V súvislosti s rozšírením pôsobnosti obcí realizovať porušenia povinností držiteľa vozidla v oblasti parkovania sa predpokladá masívnejšie využívanie tohto inštitútu. Dokumentovanie porušenia zákazu zastavenia a státia je náročná činnosť, navyše každý dôkaz musí byť vyhotovený v takej kvalite, ktorá zabezpečí okamžitý záver, že skutok sa stal; skutok sa pri vyvodzovaní objektívnej zodpovednosti držiteľa vozidla neobjasňuje (len dokumentuje). </w:t>
      </w:r>
    </w:p>
    <w:p w:rsidR="000F18FB" w:rsidRPr="000F18FB" w:rsidRDefault="000F18FB" w:rsidP="00B52D3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F18FB">
        <w:rPr>
          <w:rFonts w:ascii="Times New Roman" w:eastAsia="Times New Roman" w:hAnsi="Times New Roman" w:cs="Times New Roman"/>
          <w:sz w:val="24"/>
          <w:szCs w:val="24"/>
        </w:rPr>
        <w:t xml:space="preserve">Z uvedeného dôvodu návrh zákona predpokladá úpravu informačného systému evidencie vozidiel, do ktorého budú orgány Policajného zboru, po povolení výnimky z dopravnej značky označujúcej zákaz vjazdu, zákaz zastavenia, zákaz státia, zóny zákazu státia, parkovaciu zónu, pešiu zónu, obytnú zónu a školskú zónu, túto skutočnosť zapisovať. V prípade zapísania tejto skutočnosti do karty konkrétneho vozidla sa stane bezpredmetnou možná pochybnosť, či vozidlo malo na viditeľnom mieste doklad o povolení výnimky (zamedzenie možných špekulácii, respektíve zbytočne podaných odporov zo strany držiteľa vozidla). </w:t>
      </w:r>
    </w:p>
    <w:p w:rsidR="000F18FB" w:rsidRPr="000F18FB" w:rsidRDefault="000F18FB" w:rsidP="00B52D3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F18FB">
        <w:rPr>
          <w:rFonts w:ascii="Times New Roman" w:eastAsia="Times New Roman" w:hAnsi="Times New Roman" w:cs="Times New Roman"/>
          <w:sz w:val="24"/>
          <w:szCs w:val="24"/>
        </w:rPr>
        <w:t xml:space="preserve">Navrhuje sa teda rozšírenie údajov, ktoré sa v evidencii vozidiel vedú o údaje o povolení výnimky podľa § 140 ods. 1 písm. b) zákona o cestnej premávke. Súčasne sa upravuje s odkazom na prijatie vyhlášky Ministerstva vnútra Slovenskej republiky č. 30/2020 Z. z. o dopravnom  značení, ktorou sa zmenil význam, zobrazenie alebo aj názvy niektorých dopravných značiek, aj taxatívny výpočet dopravných značiek, z ktorých významu (zákazu) sa môže výnimka povoliť. </w:t>
      </w:r>
    </w:p>
    <w:p w:rsidR="000F18FB" w:rsidRPr="000F18FB" w:rsidRDefault="000F18FB" w:rsidP="00B52D3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F18FB">
        <w:rPr>
          <w:rFonts w:ascii="Times New Roman" w:eastAsia="Times New Roman" w:hAnsi="Times New Roman" w:cs="Times New Roman"/>
          <w:sz w:val="24"/>
          <w:szCs w:val="24"/>
        </w:rPr>
        <w:t xml:space="preserve">V neposlednom rade sa navrhuje upraviť aj spôsob povolenia výnimky z § 140 ods. 1 písm. b) zákona o cestnej premávke, a to tak, že doteraz vydávaný papierový doklad o povolení výnimky nahradí len vydanie upovedomenia o povolení výnimky a povolenie výnimky zapíše orgán Policajného zboru, ktorý výnimku povolil, do evidencie vozidiel. Uvedenou zmenou sa zjednoduší, zefektívni úkon povoľovania výnimky, súčasne sa tiež toto konanie </w:t>
      </w:r>
      <w:proofErr w:type="spellStart"/>
      <w:r w:rsidRPr="000F18FB">
        <w:rPr>
          <w:rFonts w:ascii="Times New Roman" w:eastAsia="Times New Roman" w:hAnsi="Times New Roman" w:cs="Times New Roman"/>
          <w:sz w:val="24"/>
          <w:szCs w:val="24"/>
        </w:rPr>
        <w:t>zelektronizuje</w:t>
      </w:r>
      <w:proofErr w:type="spellEnd"/>
      <w:r w:rsidRPr="000F18FB">
        <w:rPr>
          <w:rFonts w:ascii="Times New Roman" w:eastAsia="Times New Roman" w:hAnsi="Times New Roman" w:cs="Times New Roman"/>
          <w:sz w:val="24"/>
          <w:szCs w:val="24"/>
        </w:rPr>
        <w:t xml:space="preserve"> (dnes nemožno posielať fyzický doklad s ochrannými prvkami, odtlačkom pečiatky a podpisom v originálnej podobe elektronicky, v budúcnosti sa zašle elektronicky len neformálne upovedomenie).</w:t>
      </w:r>
    </w:p>
    <w:p w:rsidR="000F18FB" w:rsidRPr="000F18FB" w:rsidRDefault="000F18FB" w:rsidP="00B52D3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F18FB">
        <w:rPr>
          <w:rFonts w:ascii="Times New Roman" w:eastAsia="Times New Roman" w:hAnsi="Times New Roman" w:cs="Times New Roman"/>
          <w:sz w:val="24"/>
          <w:szCs w:val="24"/>
        </w:rPr>
        <w:t>V tejto súvislosti bude potrebné upraviť evidenciu vozidiel v rozsahu</w:t>
      </w:r>
    </w:p>
    <w:p w:rsidR="000F18FB" w:rsidRPr="000F18FB" w:rsidRDefault="000F18FB" w:rsidP="00B52D3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F18FB">
        <w:rPr>
          <w:rFonts w:ascii="Times New Roman" w:eastAsia="Times New Roman" w:hAnsi="Times New Roman" w:cs="Times New Roman"/>
          <w:sz w:val="24"/>
          <w:szCs w:val="24"/>
        </w:rPr>
        <w:t>- zápis – zaevidovanie výnimky, so zadaním najmä územného rozsahu výnimky, dôvodu povolenia výnimky, platnosti;</w:t>
      </w:r>
    </w:p>
    <w:p w:rsidR="000F18FB" w:rsidRPr="000F18FB" w:rsidRDefault="000F18FB" w:rsidP="00B52D3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F18FB">
        <w:rPr>
          <w:rFonts w:ascii="Times New Roman" w:eastAsia="Times New Roman" w:hAnsi="Times New Roman" w:cs="Times New Roman"/>
          <w:sz w:val="24"/>
          <w:szCs w:val="24"/>
        </w:rPr>
        <w:t>- zrušenie výnimky – automatizované zrušenie predovšetkým po dátume platnosti;</w:t>
      </w:r>
    </w:p>
    <w:p w:rsidR="000F18FB" w:rsidRPr="000F18FB" w:rsidRDefault="000F18FB" w:rsidP="00B52D3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F18FB">
        <w:rPr>
          <w:rFonts w:ascii="Times New Roman" w:eastAsia="Times New Roman" w:hAnsi="Times New Roman" w:cs="Times New Roman"/>
          <w:sz w:val="24"/>
          <w:szCs w:val="24"/>
        </w:rPr>
        <w:t>- zobrazenie výnimky v samostatnej sekcii v systéme aj na karte vozidla.</w:t>
      </w:r>
    </w:p>
    <w:p w:rsidR="000F18FB" w:rsidRPr="000F18FB" w:rsidRDefault="000F18FB" w:rsidP="00B52D3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F18FB">
        <w:rPr>
          <w:rFonts w:ascii="Times New Roman" w:eastAsia="Times New Roman" w:hAnsi="Times New Roman" w:cs="Times New Roman"/>
          <w:sz w:val="24"/>
          <w:szCs w:val="24"/>
        </w:rPr>
        <w:t>Predložený návrh zákona bude mať negatívny vplyv na rozpočet verejnej správy vo výške 125 000,- eur s DPH (MV SR v roku 2021) pri úprave informačného systému evidencie vozidiel. Uvedená suma je krytá v schválenom rozpočte v kapitole Ministerstva vnútra SR na rok 2021 a nezakladá zvýšené nároky na štátny rozpočet.</w:t>
      </w:r>
    </w:p>
    <w:p w:rsidR="000F18FB" w:rsidRPr="000F18FB" w:rsidRDefault="000F18FB" w:rsidP="00B52D31">
      <w:pPr>
        <w:tabs>
          <w:tab w:val="num" w:pos="1080"/>
        </w:tabs>
        <w:spacing w:after="0" w:line="240" w:lineRule="auto"/>
        <w:jc w:val="both"/>
        <w:rPr>
          <w:rFonts w:ascii="Times New Roman" w:eastAsia="Times New Roman" w:hAnsi="Times New Roman" w:cs="Times New Roman"/>
          <w:bCs/>
          <w:sz w:val="24"/>
          <w:szCs w:val="20"/>
          <w:lang w:eastAsia="sk-SK"/>
        </w:rPr>
      </w:pPr>
    </w:p>
    <w:p w:rsidR="000F18FB" w:rsidRPr="000F18FB" w:rsidRDefault="000F18FB" w:rsidP="00B52D31">
      <w:pPr>
        <w:tabs>
          <w:tab w:val="num" w:pos="1080"/>
        </w:tabs>
        <w:spacing w:after="0" w:line="240" w:lineRule="auto"/>
        <w:jc w:val="both"/>
        <w:rPr>
          <w:rFonts w:ascii="Times New Roman" w:eastAsia="Times New Roman" w:hAnsi="Times New Roman" w:cs="Times New Roman"/>
          <w:bCs/>
          <w:sz w:val="24"/>
          <w:szCs w:val="20"/>
          <w:lang w:eastAsia="sk-SK"/>
        </w:rPr>
      </w:pPr>
    </w:p>
    <w:p w:rsidR="000F18FB" w:rsidRPr="000F18FB" w:rsidRDefault="000F18FB" w:rsidP="00B52D31">
      <w:pPr>
        <w:tabs>
          <w:tab w:val="num" w:pos="1080"/>
        </w:tabs>
        <w:spacing w:after="0" w:line="240" w:lineRule="auto"/>
        <w:jc w:val="both"/>
        <w:rPr>
          <w:rFonts w:ascii="Times New Roman" w:eastAsia="Times New Roman" w:hAnsi="Times New Roman" w:cs="Times New Roman"/>
          <w:bCs/>
          <w:sz w:val="24"/>
          <w:szCs w:val="20"/>
          <w:lang w:eastAsia="sk-SK"/>
        </w:rPr>
        <w:sectPr w:rsidR="000F18FB" w:rsidRPr="000F18FB" w:rsidSect="003D76D5">
          <w:headerReference w:type="even" r:id="rId9"/>
          <w:footerReference w:type="even" r:id="rId10"/>
          <w:footerReference w:type="default" r:id="rId11"/>
          <w:footerReference w:type="first" r:id="rId12"/>
          <w:pgSz w:w="11906" w:h="16838"/>
          <w:pgMar w:top="1418" w:right="1418" w:bottom="1418" w:left="1418" w:header="709" w:footer="709" w:gutter="0"/>
          <w:pgNumType w:start="1"/>
          <w:cols w:space="708"/>
          <w:docGrid w:linePitch="360"/>
        </w:sectPr>
      </w:pPr>
    </w:p>
    <w:p w:rsidR="000F18FB" w:rsidRPr="000F18FB" w:rsidRDefault="000F18FB" w:rsidP="00B52D31">
      <w:pPr>
        <w:tabs>
          <w:tab w:val="num" w:pos="1080"/>
        </w:tabs>
        <w:spacing w:after="0" w:line="240" w:lineRule="auto"/>
        <w:ind w:right="-578"/>
        <w:jc w:val="both"/>
        <w:rPr>
          <w:rFonts w:ascii="Times New Roman" w:eastAsia="Times New Roman" w:hAnsi="Times New Roman" w:cs="Times New Roman"/>
          <w:bCs/>
          <w:sz w:val="24"/>
          <w:szCs w:val="24"/>
          <w:lang w:eastAsia="sk-SK"/>
        </w:rPr>
      </w:pPr>
    </w:p>
    <w:p w:rsidR="000F18FB" w:rsidRPr="000F18FB" w:rsidRDefault="000F18FB" w:rsidP="00B52D31">
      <w:pPr>
        <w:tabs>
          <w:tab w:val="num" w:pos="1080"/>
        </w:tabs>
        <w:spacing w:after="0" w:line="240" w:lineRule="auto"/>
        <w:jc w:val="both"/>
        <w:rPr>
          <w:rFonts w:ascii="Times New Roman" w:eastAsia="Times New Roman" w:hAnsi="Times New Roman" w:cs="Times New Roman"/>
          <w:bCs/>
          <w:sz w:val="24"/>
          <w:szCs w:val="24"/>
          <w:lang w:eastAsia="sk-SK"/>
        </w:rPr>
      </w:pPr>
      <w:r w:rsidRPr="000F18FB">
        <w:rPr>
          <w:rFonts w:ascii="Times New Roman" w:eastAsia="Times New Roman" w:hAnsi="Times New Roman" w:cs="Times New Roman"/>
          <w:bCs/>
          <w:sz w:val="24"/>
          <w:szCs w:val="24"/>
          <w:lang w:eastAsia="sk-SK"/>
        </w:rPr>
        <w:t>Ministerstvo dopravy a výstavby SR</w:t>
      </w:r>
      <w:r w:rsidRPr="000F18FB">
        <w:rPr>
          <w:rFonts w:ascii="Times New Roman" w:eastAsia="Times New Roman" w:hAnsi="Times New Roman" w:cs="Times New Roman"/>
          <w:bCs/>
          <w:sz w:val="24"/>
          <w:szCs w:val="24"/>
          <w:lang w:eastAsia="sk-SK"/>
        </w:rPr>
        <w:tab/>
      </w:r>
      <w:r w:rsidRPr="000F18FB">
        <w:rPr>
          <w:rFonts w:ascii="Times New Roman" w:eastAsia="Times New Roman" w:hAnsi="Times New Roman" w:cs="Times New Roman"/>
          <w:bCs/>
          <w:sz w:val="24"/>
          <w:szCs w:val="24"/>
          <w:lang w:eastAsia="sk-SK"/>
        </w:rPr>
        <w:tab/>
      </w:r>
      <w:r w:rsidRPr="000F18FB">
        <w:rPr>
          <w:rFonts w:ascii="Times New Roman" w:eastAsia="Times New Roman" w:hAnsi="Times New Roman" w:cs="Times New Roman"/>
          <w:bCs/>
          <w:sz w:val="24"/>
          <w:szCs w:val="24"/>
          <w:lang w:eastAsia="sk-SK"/>
        </w:rPr>
        <w:tab/>
      </w:r>
      <w:r w:rsidRPr="000F18FB">
        <w:rPr>
          <w:rFonts w:ascii="Times New Roman" w:eastAsia="Times New Roman" w:hAnsi="Times New Roman" w:cs="Times New Roman"/>
          <w:bCs/>
          <w:sz w:val="24"/>
          <w:szCs w:val="24"/>
          <w:lang w:eastAsia="sk-SK"/>
        </w:rPr>
        <w:tab/>
      </w:r>
      <w:r w:rsidRPr="000F18FB">
        <w:rPr>
          <w:rFonts w:ascii="Times New Roman" w:eastAsia="Times New Roman" w:hAnsi="Times New Roman" w:cs="Times New Roman"/>
          <w:bCs/>
          <w:sz w:val="24"/>
          <w:szCs w:val="24"/>
          <w:lang w:eastAsia="sk-SK"/>
        </w:rPr>
        <w:tab/>
      </w:r>
      <w:r w:rsidRPr="000F18FB">
        <w:rPr>
          <w:rFonts w:ascii="Times New Roman" w:eastAsia="Times New Roman" w:hAnsi="Times New Roman" w:cs="Times New Roman"/>
          <w:bCs/>
          <w:sz w:val="24"/>
          <w:szCs w:val="24"/>
          <w:lang w:eastAsia="sk-SK"/>
        </w:rPr>
        <w:tab/>
      </w:r>
      <w:r w:rsidRPr="000F18FB">
        <w:rPr>
          <w:rFonts w:ascii="Times New Roman" w:eastAsia="Times New Roman" w:hAnsi="Times New Roman" w:cs="Times New Roman"/>
          <w:bCs/>
          <w:sz w:val="24"/>
          <w:szCs w:val="24"/>
          <w:lang w:eastAsia="sk-SK"/>
        </w:rPr>
        <w:tab/>
      </w:r>
      <w:r w:rsidRPr="000F18FB">
        <w:rPr>
          <w:rFonts w:ascii="Times New Roman" w:eastAsia="Times New Roman" w:hAnsi="Times New Roman" w:cs="Times New Roman"/>
          <w:bCs/>
          <w:sz w:val="24"/>
          <w:szCs w:val="24"/>
          <w:lang w:eastAsia="sk-SK"/>
        </w:rPr>
        <w:tab/>
      </w:r>
      <w:r w:rsidRPr="000F18FB">
        <w:rPr>
          <w:rFonts w:ascii="Times New Roman" w:eastAsia="Times New Roman" w:hAnsi="Times New Roman" w:cs="Times New Roman"/>
          <w:bCs/>
          <w:sz w:val="24"/>
          <w:szCs w:val="24"/>
          <w:lang w:eastAsia="sk-SK"/>
        </w:rPr>
        <w:tab/>
      </w:r>
      <w:r w:rsidRPr="000F18FB">
        <w:rPr>
          <w:rFonts w:ascii="Times New Roman" w:eastAsia="Times New Roman" w:hAnsi="Times New Roman" w:cs="Times New Roman"/>
          <w:bCs/>
          <w:sz w:val="24"/>
          <w:szCs w:val="24"/>
          <w:lang w:eastAsia="sk-SK"/>
        </w:rPr>
        <w:tab/>
      </w:r>
      <w:r w:rsidRPr="000F18FB">
        <w:rPr>
          <w:rFonts w:ascii="Times New Roman" w:eastAsia="Times New Roman" w:hAnsi="Times New Roman" w:cs="Times New Roman"/>
          <w:bCs/>
          <w:sz w:val="24"/>
          <w:szCs w:val="24"/>
          <w:lang w:eastAsia="sk-SK"/>
        </w:rPr>
        <w:tab/>
      </w:r>
      <w:r w:rsidRPr="000F18FB">
        <w:rPr>
          <w:rFonts w:ascii="Times New Roman" w:eastAsia="Times New Roman" w:hAnsi="Times New Roman" w:cs="Times New Roman"/>
          <w:bCs/>
          <w:sz w:val="24"/>
          <w:szCs w:val="24"/>
          <w:lang w:eastAsia="sk-SK"/>
        </w:rPr>
        <w:tab/>
      </w:r>
      <w:r w:rsidRPr="000F18FB">
        <w:rPr>
          <w:rFonts w:ascii="Times New Roman" w:eastAsia="Times New Roman" w:hAnsi="Times New Roman" w:cs="Times New Roman"/>
          <w:bCs/>
          <w:sz w:val="24"/>
          <w:szCs w:val="24"/>
          <w:lang w:eastAsia="sk-SK"/>
        </w:rPr>
        <w:tab/>
      </w:r>
      <w:r w:rsidRPr="000F18FB">
        <w:rPr>
          <w:rFonts w:ascii="Times New Roman" w:eastAsia="Times New Roman" w:hAnsi="Times New Roman" w:cs="Times New Roman"/>
          <w:bCs/>
          <w:sz w:val="24"/>
          <w:szCs w:val="24"/>
          <w:lang w:eastAsia="sk-SK"/>
        </w:rPr>
        <w:tab/>
        <w:t xml:space="preserve">Tabuľka č. 3 </w:t>
      </w:r>
    </w:p>
    <w:p w:rsidR="000F18FB" w:rsidRPr="000F18FB" w:rsidRDefault="000F18FB" w:rsidP="00B52D31">
      <w:pPr>
        <w:tabs>
          <w:tab w:val="num" w:pos="1080"/>
        </w:tabs>
        <w:spacing w:after="0" w:line="240" w:lineRule="auto"/>
        <w:jc w:val="both"/>
        <w:rPr>
          <w:rFonts w:ascii="Times New Roman" w:eastAsia="Times New Roman" w:hAnsi="Times New Roman" w:cs="Times New Roman"/>
          <w:bCs/>
          <w:sz w:val="24"/>
          <w:szCs w:val="20"/>
          <w:lang w:eastAsia="sk-SK"/>
        </w:rPr>
      </w:pPr>
    </w:p>
    <w:p w:rsidR="000F18FB" w:rsidRPr="000F18FB" w:rsidRDefault="000F18FB" w:rsidP="00B52D31">
      <w:pPr>
        <w:tabs>
          <w:tab w:val="num" w:pos="1080"/>
        </w:tabs>
        <w:spacing w:after="0" w:line="240" w:lineRule="auto"/>
        <w:jc w:val="both"/>
        <w:rPr>
          <w:rFonts w:ascii="Times New Roman" w:eastAsia="Times New Roman" w:hAnsi="Times New Roman" w:cs="Times New Roman"/>
          <w:bCs/>
          <w:sz w:val="24"/>
          <w:szCs w:val="20"/>
          <w:lang w:eastAsia="sk-SK"/>
        </w:rPr>
      </w:pPr>
    </w:p>
    <w:p w:rsidR="000F18FB" w:rsidRPr="000F18FB" w:rsidRDefault="000F18FB" w:rsidP="00B52D31">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0F18FB" w:rsidRPr="00B52D31" w:rsidTr="000F18FB">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poznámka</w:t>
            </w:r>
          </w:p>
        </w:tc>
      </w:tr>
      <w:tr w:rsidR="000F18FB" w:rsidRPr="00B52D31" w:rsidTr="000F18FB">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BFBFBF"/>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2021</w:t>
            </w:r>
          </w:p>
        </w:tc>
        <w:tc>
          <w:tcPr>
            <w:tcW w:w="1500" w:type="dxa"/>
            <w:tcBorders>
              <w:top w:val="nil"/>
              <w:left w:val="nil"/>
              <w:bottom w:val="single" w:sz="4" w:space="0" w:color="auto"/>
              <w:right w:val="single" w:sz="4" w:space="0" w:color="auto"/>
            </w:tcBorders>
            <w:shd w:val="clear" w:color="auto" w:fill="BFBFBF"/>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2022</w:t>
            </w:r>
          </w:p>
        </w:tc>
        <w:tc>
          <w:tcPr>
            <w:tcW w:w="1500" w:type="dxa"/>
            <w:tcBorders>
              <w:top w:val="nil"/>
              <w:left w:val="nil"/>
              <w:bottom w:val="single" w:sz="4" w:space="0" w:color="auto"/>
              <w:right w:val="single" w:sz="4" w:space="0" w:color="auto"/>
            </w:tcBorders>
            <w:shd w:val="clear" w:color="auto" w:fill="BFBFBF"/>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2023</w:t>
            </w:r>
          </w:p>
        </w:tc>
        <w:tc>
          <w:tcPr>
            <w:tcW w:w="1500" w:type="dxa"/>
            <w:tcBorders>
              <w:top w:val="nil"/>
              <w:left w:val="nil"/>
              <w:bottom w:val="single" w:sz="4" w:space="0" w:color="auto"/>
              <w:right w:val="single" w:sz="4" w:space="0" w:color="auto"/>
            </w:tcBorders>
            <w:shd w:val="clear" w:color="auto" w:fill="BFBFBF"/>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2024</w:t>
            </w:r>
          </w:p>
        </w:tc>
        <w:tc>
          <w:tcPr>
            <w:tcW w:w="3000" w:type="dxa"/>
            <w:vMerge/>
            <w:tcBorders>
              <w:top w:val="single" w:sz="4" w:space="0" w:color="auto"/>
              <w:left w:val="single" w:sz="4" w:space="0" w:color="auto"/>
              <w:bottom w:val="single" w:sz="4" w:space="0" w:color="auto"/>
              <w:right w:val="single" w:sz="4" w:space="0" w:color="auto"/>
            </w:tcBorders>
            <w:vAlign w:val="center"/>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p>
        </w:tc>
      </w:tr>
      <w:tr w:rsidR="000F18FB" w:rsidRPr="000F18FB" w:rsidTr="007E5887">
        <w:trPr>
          <w:trHeight w:val="255"/>
        </w:trPr>
        <w:tc>
          <w:tcPr>
            <w:tcW w:w="4950" w:type="dxa"/>
            <w:tcBorders>
              <w:top w:val="nil"/>
              <w:left w:val="single" w:sz="4" w:space="0" w:color="auto"/>
              <w:bottom w:val="single" w:sz="4" w:space="0" w:color="auto"/>
              <w:right w:val="single" w:sz="4" w:space="0" w:color="auto"/>
            </w:tcBorders>
          </w:tcPr>
          <w:p w:rsidR="000F18FB" w:rsidRPr="000F18FB" w:rsidRDefault="000F18FB" w:rsidP="00B52D31">
            <w:pPr>
              <w:spacing w:after="0" w:line="240" w:lineRule="auto"/>
              <w:jc w:val="both"/>
              <w:rPr>
                <w:rFonts w:ascii="Times New Roman" w:eastAsia="Times New Roman" w:hAnsi="Times New Roman" w:cs="Times New Roman"/>
                <w:b/>
                <w:bCs/>
                <w:sz w:val="24"/>
                <w:szCs w:val="24"/>
                <w:vertAlign w:val="superscript"/>
                <w:lang w:eastAsia="sk-SK"/>
              </w:rPr>
            </w:pPr>
            <w:r w:rsidRPr="000F18FB">
              <w:rPr>
                <w:rFonts w:ascii="Times New Roman" w:eastAsia="Times New Roman" w:hAnsi="Times New Roman" w:cs="Times New Roman"/>
                <w:b/>
                <w:bCs/>
                <w:sz w:val="24"/>
                <w:szCs w:val="24"/>
                <w:lang w:eastAsia="sk-SK"/>
              </w:rPr>
              <w:t>Daňové príjmy (100)</w:t>
            </w:r>
            <w:r w:rsidRPr="000F18FB">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0F18FB" w:rsidRPr="000F18FB" w:rsidRDefault="000F18FB" w:rsidP="00B52D31">
            <w:pPr>
              <w:spacing w:after="0" w:line="240" w:lineRule="auto"/>
              <w:jc w:val="both"/>
              <w:rPr>
                <w:rFonts w:ascii="Times New Roman" w:eastAsia="Times New Roman" w:hAnsi="Times New Roman" w:cs="Times New Roman"/>
                <w:sz w:val="24"/>
                <w:szCs w:val="24"/>
                <w:lang w:eastAsia="sk-SK"/>
              </w:rPr>
            </w:pPr>
            <w:r w:rsidRPr="000F18FB">
              <w:rPr>
                <w:rFonts w:ascii="Times New Roman" w:eastAsia="Times New Roman" w:hAnsi="Times New Roman" w:cs="Times New Roman"/>
                <w:sz w:val="24"/>
                <w:szCs w:val="24"/>
                <w:lang w:eastAsia="sk-SK"/>
              </w:rPr>
              <w:t> </w:t>
            </w:r>
          </w:p>
        </w:tc>
      </w:tr>
      <w:tr w:rsidR="000F18FB" w:rsidRPr="000F18FB" w:rsidTr="007E5887">
        <w:trPr>
          <w:trHeight w:val="255"/>
        </w:trPr>
        <w:tc>
          <w:tcPr>
            <w:tcW w:w="4950" w:type="dxa"/>
            <w:tcBorders>
              <w:top w:val="nil"/>
              <w:left w:val="single" w:sz="4" w:space="0" w:color="auto"/>
              <w:bottom w:val="single" w:sz="4" w:space="0" w:color="auto"/>
              <w:right w:val="single" w:sz="4" w:space="0" w:color="auto"/>
            </w:tcBorders>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Nedaňové príjmy (200)</w:t>
            </w:r>
            <w:r w:rsidRPr="000F18FB">
              <w:rPr>
                <w:rFonts w:ascii="Times New Roman" w:eastAsia="Times New Roman" w:hAnsi="Times New Roman" w:cs="Times New Roman"/>
                <w:b/>
                <w:bCs/>
                <w:sz w:val="24"/>
                <w:szCs w:val="24"/>
                <w:vertAlign w:val="superscript"/>
                <w:lang w:eastAsia="sk-SK"/>
              </w:rPr>
              <w:t>1</w:t>
            </w:r>
          </w:p>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221004 – ostatné poplatky</w:t>
            </w:r>
          </w:p>
        </w:tc>
        <w:tc>
          <w:tcPr>
            <w:tcW w:w="1500" w:type="dxa"/>
            <w:tcBorders>
              <w:top w:val="nil"/>
              <w:left w:val="nil"/>
              <w:bottom w:val="single" w:sz="4" w:space="0" w:color="auto"/>
              <w:right w:val="single" w:sz="4" w:space="0" w:color="auto"/>
            </w:tcBorders>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400</w:t>
            </w:r>
          </w:p>
        </w:tc>
        <w:tc>
          <w:tcPr>
            <w:tcW w:w="1500" w:type="dxa"/>
            <w:tcBorders>
              <w:top w:val="nil"/>
              <w:left w:val="nil"/>
              <w:bottom w:val="single" w:sz="4" w:space="0" w:color="auto"/>
              <w:right w:val="single" w:sz="4" w:space="0" w:color="auto"/>
            </w:tcBorders>
          </w:tcPr>
          <w:p w:rsidR="000F18FB" w:rsidRPr="000F18FB" w:rsidRDefault="000F18FB" w:rsidP="00B52D31">
            <w:pPr>
              <w:spacing w:after="200" w:line="276"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0F18FB" w:rsidRPr="000F18FB" w:rsidRDefault="000F18FB" w:rsidP="00B52D31">
            <w:pPr>
              <w:spacing w:after="200" w:line="276"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rsidR="000F18FB" w:rsidRPr="000F18FB" w:rsidRDefault="000F18FB" w:rsidP="00B52D31">
            <w:pPr>
              <w:spacing w:after="0" w:line="240" w:lineRule="auto"/>
              <w:jc w:val="both"/>
              <w:rPr>
                <w:rFonts w:ascii="Times New Roman" w:eastAsia="Times New Roman" w:hAnsi="Times New Roman" w:cs="Times New Roman"/>
                <w:sz w:val="24"/>
                <w:szCs w:val="24"/>
                <w:lang w:eastAsia="sk-SK"/>
              </w:rPr>
            </w:pPr>
            <w:r w:rsidRPr="000F18FB">
              <w:rPr>
                <w:rFonts w:ascii="Times New Roman" w:eastAsia="Times New Roman" w:hAnsi="Times New Roman" w:cs="Times New Roman"/>
                <w:sz w:val="24"/>
                <w:szCs w:val="24"/>
                <w:lang w:eastAsia="sk-SK"/>
              </w:rPr>
              <w:t> </w:t>
            </w:r>
          </w:p>
        </w:tc>
      </w:tr>
      <w:tr w:rsidR="000F18FB" w:rsidRPr="000F18FB" w:rsidTr="007E5887">
        <w:trPr>
          <w:trHeight w:val="255"/>
        </w:trPr>
        <w:tc>
          <w:tcPr>
            <w:tcW w:w="4950" w:type="dxa"/>
            <w:tcBorders>
              <w:top w:val="nil"/>
              <w:left w:val="single" w:sz="4" w:space="0" w:color="auto"/>
              <w:bottom w:val="single" w:sz="4" w:space="0" w:color="auto"/>
              <w:right w:val="single" w:sz="4" w:space="0" w:color="auto"/>
            </w:tcBorders>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Granty a transfery (300)</w:t>
            </w:r>
            <w:r w:rsidRPr="000F18FB">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0F18FB" w:rsidRPr="000F18FB" w:rsidRDefault="000F18FB" w:rsidP="00B52D31">
            <w:pPr>
              <w:spacing w:after="0" w:line="240" w:lineRule="auto"/>
              <w:jc w:val="both"/>
              <w:rPr>
                <w:rFonts w:ascii="Times New Roman" w:eastAsia="Times New Roman" w:hAnsi="Times New Roman" w:cs="Times New Roman"/>
                <w:sz w:val="24"/>
                <w:szCs w:val="24"/>
                <w:lang w:eastAsia="sk-SK"/>
              </w:rPr>
            </w:pPr>
            <w:r w:rsidRPr="000F18FB">
              <w:rPr>
                <w:rFonts w:ascii="Times New Roman" w:eastAsia="Times New Roman" w:hAnsi="Times New Roman" w:cs="Times New Roman"/>
                <w:sz w:val="24"/>
                <w:szCs w:val="24"/>
                <w:lang w:eastAsia="sk-SK"/>
              </w:rPr>
              <w:t> </w:t>
            </w:r>
          </w:p>
        </w:tc>
      </w:tr>
      <w:tr w:rsidR="000F18FB" w:rsidRPr="000F18FB" w:rsidTr="007E5887">
        <w:trPr>
          <w:trHeight w:val="255"/>
        </w:trPr>
        <w:tc>
          <w:tcPr>
            <w:tcW w:w="4950" w:type="dxa"/>
            <w:tcBorders>
              <w:top w:val="nil"/>
              <w:left w:val="single" w:sz="4" w:space="0" w:color="auto"/>
              <w:bottom w:val="single" w:sz="4" w:space="0" w:color="auto"/>
              <w:right w:val="single" w:sz="4" w:space="0" w:color="auto"/>
            </w:tcBorders>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FFFF99"/>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FFFF99"/>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0F18FB" w:rsidRPr="000F18FB" w:rsidRDefault="000F18FB" w:rsidP="00B52D31">
            <w:pPr>
              <w:spacing w:after="0" w:line="240" w:lineRule="auto"/>
              <w:jc w:val="both"/>
              <w:rPr>
                <w:rFonts w:ascii="Times New Roman" w:eastAsia="Times New Roman" w:hAnsi="Times New Roman" w:cs="Times New Roman"/>
                <w:sz w:val="24"/>
                <w:szCs w:val="24"/>
                <w:lang w:eastAsia="sk-SK"/>
              </w:rPr>
            </w:pPr>
            <w:r w:rsidRPr="000F18FB">
              <w:rPr>
                <w:rFonts w:ascii="Times New Roman" w:eastAsia="Times New Roman" w:hAnsi="Times New Roman" w:cs="Times New Roman"/>
                <w:sz w:val="24"/>
                <w:szCs w:val="24"/>
                <w:lang w:eastAsia="sk-SK"/>
              </w:rPr>
              <w:t> </w:t>
            </w:r>
          </w:p>
        </w:tc>
      </w:tr>
      <w:tr w:rsidR="000F18FB" w:rsidRPr="000F18FB" w:rsidTr="007E5887">
        <w:trPr>
          <w:trHeight w:val="255"/>
        </w:trPr>
        <w:tc>
          <w:tcPr>
            <w:tcW w:w="4950" w:type="dxa"/>
            <w:tcBorders>
              <w:top w:val="nil"/>
              <w:left w:val="single" w:sz="4" w:space="0" w:color="auto"/>
              <w:bottom w:val="single" w:sz="4" w:space="0" w:color="auto"/>
              <w:right w:val="single" w:sz="4" w:space="0" w:color="auto"/>
            </w:tcBorders>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FFFF99"/>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FFFF99"/>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0F18FB" w:rsidRPr="000F18FB" w:rsidRDefault="000F18FB" w:rsidP="00B52D31">
            <w:pPr>
              <w:spacing w:after="0" w:line="240" w:lineRule="auto"/>
              <w:jc w:val="both"/>
              <w:rPr>
                <w:rFonts w:ascii="Times New Roman" w:eastAsia="Times New Roman" w:hAnsi="Times New Roman" w:cs="Times New Roman"/>
                <w:sz w:val="24"/>
                <w:szCs w:val="24"/>
                <w:lang w:eastAsia="sk-SK"/>
              </w:rPr>
            </w:pPr>
            <w:r w:rsidRPr="000F18FB">
              <w:rPr>
                <w:rFonts w:ascii="Times New Roman" w:eastAsia="Times New Roman" w:hAnsi="Times New Roman" w:cs="Times New Roman"/>
                <w:sz w:val="24"/>
                <w:szCs w:val="24"/>
                <w:lang w:eastAsia="sk-SK"/>
              </w:rPr>
              <w:t> </w:t>
            </w:r>
          </w:p>
        </w:tc>
      </w:tr>
      <w:tr w:rsidR="000F18FB" w:rsidRPr="00B52D31" w:rsidTr="000F18FB">
        <w:trPr>
          <w:trHeight w:val="255"/>
        </w:trPr>
        <w:tc>
          <w:tcPr>
            <w:tcW w:w="4950" w:type="dxa"/>
            <w:tcBorders>
              <w:top w:val="nil"/>
              <w:left w:val="single" w:sz="4" w:space="0" w:color="auto"/>
              <w:bottom w:val="single" w:sz="4" w:space="0" w:color="auto"/>
              <w:right w:val="single" w:sz="4" w:space="0" w:color="auto"/>
            </w:tcBorders>
            <w:shd w:val="clear" w:color="auto" w:fill="BFBFBF"/>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rsidR="000F18FB" w:rsidRPr="000F18FB" w:rsidRDefault="000F18FB" w:rsidP="00B52D31">
            <w:pPr>
              <w:spacing w:after="0" w:line="240" w:lineRule="auto"/>
              <w:jc w:val="both"/>
              <w:rPr>
                <w:rFonts w:ascii="Times New Roman" w:eastAsia="Times New Roman" w:hAnsi="Times New Roman" w:cs="Times New Roman"/>
                <w:b/>
                <w:bCs/>
                <w:sz w:val="24"/>
                <w:szCs w:val="24"/>
                <w:lang w:eastAsia="sk-SK"/>
              </w:rPr>
            </w:pPr>
            <w:r w:rsidRPr="000F18FB">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noWrap/>
            <w:vAlign w:val="bottom"/>
          </w:tcPr>
          <w:p w:rsidR="000F18FB" w:rsidRPr="000F18FB" w:rsidRDefault="000F18FB" w:rsidP="00B52D31">
            <w:pPr>
              <w:spacing w:after="0" w:line="240" w:lineRule="auto"/>
              <w:jc w:val="both"/>
              <w:rPr>
                <w:rFonts w:ascii="Times New Roman" w:eastAsia="Times New Roman" w:hAnsi="Times New Roman" w:cs="Times New Roman"/>
                <w:sz w:val="24"/>
                <w:szCs w:val="24"/>
                <w:lang w:eastAsia="sk-SK"/>
              </w:rPr>
            </w:pPr>
            <w:r w:rsidRPr="000F18FB">
              <w:rPr>
                <w:rFonts w:ascii="Times New Roman" w:eastAsia="Times New Roman" w:hAnsi="Times New Roman" w:cs="Times New Roman"/>
                <w:sz w:val="24"/>
                <w:szCs w:val="24"/>
                <w:lang w:eastAsia="sk-SK"/>
              </w:rPr>
              <w:t> </w:t>
            </w:r>
          </w:p>
        </w:tc>
      </w:tr>
    </w:tbl>
    <w:p w:rsidR="000F18FB" w:rsidRPr="000F18FB" w:rsidRDefault="000F18FB" w:rsidP="00B52D31">
      <w:pPr>
        <w:tabs>
          <w:tab w:val="num" w:pos="1080"/>
        </w:tabs>
        <w:spacing w:after="0" w:line="240" w:lineRule="auto"/>
        <w:jc w:val="both"/>
        <w:rPr>
          <w:rFonts w:ascii="Times New Roman" w:eastAsia="Times New Roman" w:hAnsi="Times New Roman" w:cs="Times New Roman"/>
          <w:bCs/>
          <w:sz w:val="20"/>
          <w:szCs w:val="20"/>
          <w:lang w:eastAsia="sk-SK"/>
        </w:rPr>
      </w:pPr>
      <w:r w:rsidRPr="000F18FB">
        <w:rPr>
          <w:rFonts w:ascii="Times New Roman" w:eastAsia="Times New Roman" w:hAnsi="Times New Roman" w:cs="Times New Roman"/>
          <w:bCs/>
          <w:sz w:val="20"/>
          <w:szCs w:val="20"/>
          <w:lang w:eastAsia="sk-SK"/>
        </w:rPr>
        <w:t>1 –  príjmy rozpísať až do položiek platnej ekonomickej klasifikácie</w:t>
      </w:r>
    </w:p>
    <w:p w:rsidR="000F18FB" w:rsidRPr="000F18FB" w:rsidRDefault="000F18FB" w:rsidP="00B52D31">
      <w:pPr>
        <w:tabs>
          <w:tab w:val="num" w:pos="1080"/>
        </w:tabs>
        <w:spacing w:after="0" w:line="240" w:lineRule="auto"/>
        <w:jc w:val="both"/>
        <w:rPr>
          <w:rFonts w:ascii="Times New Roman" w:eastAsia="Times New Roman" w:hAnsi="Times New Roman" w:cs="Times New Roman"/>
          <w:bCs/>
          <w:sz w:val="24"/>
          <w:szCs w:val="20"/>
          <w:lang w:eastAsia="sk-SK"/>
        </w:rPr>
      </w:pPr>
    </w:p>
    <w:p w:rsidR="000F18FB" w:rsidRPr="000F18FB" w:rsidRDefault="000F18FB" w:rsidP="00B52D31">
      <w:pPr>
        <w:tabs>
          <w:tab w:val="num" w:pos="1080"/>
        </w:tabs>
        <w:spacing w:after="0" w:line="240" w:lineRule="auto"/>
        <w:jc w:val="both"/>
        <w:rPr>
          <w:rFonts w:ascii="Times New Roman" w:eastAsia="Times New Roman" w:hAnsi="Times New Roman" w:cs="Times New Roman"/>
          <w:b/>
          <w:bCs/>
          <w:sz w:val="24"/>
          <w:szCs w:val="20"/>
          <w:lang w:eastAsia="sk-SK"/>
        </w:rPr>
      </w:pPr>
      <w:r w:rsidRPr="000F18FB">
        <w:rPr>
          <w:rFonts w:ascii="Times New Roman" w:eastAsia="Times New Roman" w:hAnsi="Times New Roman" w:cs="Times New Roman"/>
          <w:b/>
          <w:bCs/>
          <w:sz w:val="24"/>
          <w:szCs w:val="20"/>
          <w:lang w:eastAsia="sk-SK"/>
        </w:rPr>
        <w:t>Poznámka:</w:t>
      </w:r>
    </w:p>
    <w:p w:rsidR="000F18FB" w:rsidRPr="000F18FB" w:rsidRDefault="000F18FB" w:rsidP="00B52D31">
      <w:pPr>
        <w:tabs>
          <w:tab w:val="num" w:pos="1080"/>
        </w:tabs>
        <w:spacing w:after="0" w:line="240" w:lineRule="auto"/>
        <w:jc w:val="both"/>
        <w:rPr>
          <w:rFonts w:ascii="Times New Roman" w:eastAsia="Times New Roman" w:hAnsi="Times New Roman" w:cs="Times New Roman"/>
          <w:bCs/>
          <w:sz w:val="24"/>
          <w:szCs w:val="20"/>
          <w:lang w:eastAsia="sk-SK"/>
        </w:rPr>
      </w:pPr>
      <w:r w:rsidRPr="000F18FB">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0F18FB" w:rsidRPr="00B52D31" w:rsidRDefault="000F18F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sectPr w:rsidR="000F18FB" w:rsidRPr="00B52D31" w:rsidSect="000F18FB">
          <w:footerReference w:type="default" r:id="rId13"/>
          <w:footerReference w:type="first" r:id="rId14"/>
          <w:pgSz w:w="16838" w:h="11906" w:orient="landscape"/>
          <w:pgMar w:top="1417" w:right="1417" w:bottom="1417" w:left="1417" w:header="708" w:footer="708" w:gutter="0"/>
          <w:cols w:space="708"/>
          <w:titlePg/>
          <w:docGrid w:linePitch="360"/>
        </w:sectPr>
      </w:pPr>
    </w:p>
    <w:tbl>
      <w:tblPr>
        <w:tblStyle w:val="Mriekatabuky1"/>
        <w:tblW w:w="0" w:type="auto"/>
        <w:tblLook w:val="04A0" w:firstRow="1" w:lastRow="0" w:firstColumn="1" w:lastColumn="0" w:noHBand="0" w:noVBand="1"/>
      </w:tblPr>
      <w:tblGrid>
        <w:gridCol w:w="9060"/>
      </w:tblGrid>
      <w:tr w:rsidR="000F393A" w:rsidRPr="000F393A" w:rsidTr="000F393A">
        <w:trPr>
          <w:trHeight w:val="567"/>
        </w:trPr>
        <w:tc>
          <w:tcPr>
            <w:tcW w:w="9212" w:type="dxa"/>
            <w:shd w:val="clear" w:color="auto" w:fill="D9D9D9"/>
          </w:tcPr>
          <w:p w:rsidR="000F393A" w:rsidRPr="000F393A" w:rsidRDefault="000F393A" w:rsidP="00B52D31">
            <w:pPr>
              <w:jc w:val="both"/>
              <w:rPr>
                <w:rFonts w:ascii="Times New Roman" w:hAnsi="Times New Roman"/>
                <w:b/>
                <w:sz w:val="24"/>
                <w:szCs w:val="20"/>
                <w:lang w:eastAsia="sk-SK"/>
              </w:rPr>
            </w:pPr>
            <w:r w:rsidRPr="000F393A">
              <w:rPr>
                <w:rFonts w:ascii="Times New Roman" w:hAnsi="Times New Roman"/>
                <w:b/>
                <w:sz w:val="28"/>
                <w:szCs w:val="20"/>
                <w:lang w:eastAsia="sk-SK"/>
              </w:rPr>
              <w:lastRenderedPageBreak/>
              <w:t>Analýza vplyvov na podnikateľské prostredie</w:t>
            </w:r>
          </w:p>
          <w:p w:rsidR="000F393A" w:rsidRPr="000F393A" w:rsidRDefault="000F393A" w:rsidP="00B52D31">
            <w:pPr>
              <w:jc w:val="both"/>
              <w:rPr>
                <w:rFonts w:ascii="Times New Roman" w:hAnsi="Times New Roman"/>
                <w:b/>
                <w:sz w:val="20"/>
                <w:szCs w:val="20"/>
                <w:lang w:eastAsia="sk-SK"/>
              </w:rPr>
            </w:pPr>
            <w:r w:rsidRPr="000F393A">
              <w:rPr>
                <w:rFonts w:ascii="Times New Roman" w:hAnsi="Times New Roman"/>
                <w:b/>
                <w:sz w:val="24"/>
                <w:szCs w:val="20"/>
                <w:lang w:eastAsia="sk-SK"/>
              </w:rPr>
              <w:t>(vrátane testu MSP)</w:t>
            </w:r>
          </w:p>
        </w:tc>
      </w:tr>
      <w:tr w:rsidR="000F393A" w:rsidRPr="000F393A" w:rsidTr="000F393A">
        <w:trPr>
          <w:trHeight w:val="567"/>
        </w:trPr>
        <w:tc>
          <w:tcPr>
            <w:tcW w:w="9212" w:type="dxa"/>
            <w:shd w:val="clear" w:color="auto" w:fill="D9D9D9"/>
          </w:tcPr>
          <w:p w:rsidR="000F393A" w:rsidRPr="000F393A" w:rsidRDefault="000F393A" w:rsidP="00B52D31">
            <w:pPr>
              <w:jc w:val="both"/>
              <w:rPr>
                <w:rFonts w:ascii="Times New Roman" w:hAnsi="Times New Roman"/>
                <w:b/>
                <w:sz w:val="24"/>
                <w:szCs w:val="20"/>
                <w:lang w:eastAsia="sk-SK"/>
              </w:rPr>
            </w:pPr>
            <w:r w:rsidRPr="000F393A">
              <w:rPr>
                <w:rFonts w:ascii="Times New Roman" w:hAnsi="Times New Roman"/>
                <w:b/>
                <w:sz w:val="24"/>
                <w:szCs w:val="20"/>
                <w:lang w:eastAsia="sk-SK"/>
              </w:rPr>
              <w:t>Materiál bude mať vplyv s ohľadom na veľkostnú kategóriu podnikov:</w:t>
            </w:r>
          </w:p>
        </w:tc>
      </w:tr>
      <w:tr w:rsidR="000F393A" w:rsidRPr="000F393A" w:rsidTr="007E5887">
        <w:trPr>
          <w:trHeight w:val="567"/>
        </w:trPr>
        <w:tc>
          <w:tcPr>
            <w:tcW w:w="9212" w:type="dxa"/>
          </w:tcPr>
          <w:tbl>
            <w:tblPr>
              <w:tblStyle w:val="Mriekatabu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8409"/>
            </w:tblGrid>
            <w:tr w:rsidR="000F393A" w:rsidRPr="000F393A" w:rsidTr="007E5887">
              <w:tc>
                <w:tcPr>
                  <w:tcW w:w="436" w:type="dxa"/>
                  <w:tcBorders>
                    <w:top w:val="nil"/>
                    <w:left w:val="nil"/>
                    <w:bottom w:val="nil"/>
                    <w:right w:val="nil"/>
                  </w:tcBorders>
                </w:tcPr>
                <w:p w:rsidR="000F393A" w:rsidRPr="000F393A" w:rsidRDefault="000F393A" w:rsidP="00B52D31">
                  <w:pPr>
                    <w:jc w:val="both"/>
                    <w:rPr>
                      <w:rFonts w:ascii="Times New Roman" w:hAnsi="Times New Roman"/>
                      <w:sz w:val="20"/>
                      <w:szCs w:val="20"/>
                      <w:lang w:eastAsia="sk-SK"/>
                    </w:rPr>
                  </w:pPr>
                  <w:r w:rsidRPr="000F393A">
                    <w:rPr>
                      <w:rFonts w:ascii="Segoe UI Symbol" w:eastAsia="MS Mincho" w:hAnsi="Segoe UI Symbol" w:cs="Segoe UI Symbol"/>
                      <w:sz w:val="20"/>
                      <w:szCs w:val="20"/>
                      <w:lang w:eastAsia="sk-SK"/>
                    </w:rPr>
                    <w:t>☐</w:t>
                  </w:r>
                </w:p>
              </w:tc>
              <w:tc>
                <w:tcPr>
                  <w:tcW w:w="8545" w:type="dxa"/>
                  <w:tcBorders>
                    <w:top w:val="nil"/>
                    <w:left w:val="nil"/>
                    <w:bottom w:val="nil"/>
                    <w:right w:val="nil"/>
                  </w:tcBorders>
                </w:tcPr>
                <w:p w:rsidR="000F393A" w:rsidRPr="000F393A" w:rsidRDefault="000F393A" w:rsidP="00B52D31">
                  <w:pPr>
                    <w:jc w:val="both"/>
                    <w:rPr>
                      <w:rFonts w:ascii="Times New Roman" w:hAnsi="Times New Roman"/>
                      <w:b/>
                      <w:sz w:val="24"/>
                      <w:szCs w:val="24"/>
                      <w:lang w:eastAsia="sk-SK"/>
                    </w:rPr>
                  </w:pPr>
                  <w:r w:rsidRPr="000F393A">
                    <w:rPr>
                      <w:rFonts w:ascii="Times New Roman" w:hAnsi="Times New Roman"/>
                      <w:b/>
                      <w:sz w:val="24"/>
                      <w:szCs w:val="24"/>
                      <w:lang w:eastAsia="sk-SK"/>
                    </w:rPr>
                    <w:t xml:space="preserve">iba na MSP (0 - 249 zamestnancov) </w:t>
                  </w:r>
                </w:p>
              </w:tc>
            </w:tr>
            <w:tr w:rsidR="000F393A" w:rsidRPr="000F393A" w:rsidTr="007E5887">
              <w:tc>
                <w:tcPr>
                  <w:tcW w:w="436" w:type="dxa"/>
                  <w:tcBorders>
                    <w:top w:val="nil"/>
                    <w:left w:val="nil"/>
                    <w:bottom w:val="nil"/>
                    <w:right w:val="nil"/>
                  </w:tcBorders>
                </w:tcPr>
                <w:p w:rsidR="000F393A" w:rsidRPr="000F393A" w:rsidRDefault="000F393A" w:rsidP="00B52D31">
                  <w:pPr>
                    <w:jc w:val="both"/>
                    <w:rPr>
                      <w:rFonts w:ascii="Times New Roman" w:hAnsi="Times New Roman"/>
                      <w:sz w:val="20"/>
                      <w:szCs w:val="20"/>
                      <w:lang w:eastAsia="sk-SK"/>
                    </w:rPr>
                  </w:pPr>
                  <w:r w:rsidRPr="000F393A">
                    <w:rPr>
                      <w:rFonts w:ascii="Segoe UI Symbol" w:eastAsia="MS Mincho" w:hAnsi="Segoe UI Symbol" w:cs="Segoe UI Symbol"/>
                      <w:sz w:val="20"/>
                      <w:szCs w:val="20"/>
                      <w:lang w:eastAsia="sk-SK"/>
                    </w:rPr>
                    <w:t>☐</w:t>
                  </w:r>
                </w:p>
              </w:tc>
              <w:tc>
                <w:tcPr>
                  <w:tcW w:w="8545" w:type="dxa"/>
                  <w:tcBorders>
                    <w:top w:val="nil"/>
                    <w:left w:val="nil"/>
                    <w:bottom w:val="nil"/>
                    <w:right w:val="nil"/>
                  </w:tcBorders>
                </w:tcPr>
                <w:p w:rsidR="000F393A" w:rsidRPr="000F393A" w:rsidRDefault="000F393A" w:rsidP="00B52D31">
                  <w:pPr>
                    <w:jc w:val="both"/>
                    <w:rPr>
                      <w:rFonts w:ascii="Times New Roman" w:hAnsi="Times New Roman"/>
                      <w:b/>
                      <w:sz w:val="24"/>
                      <w:szCs w:val="24"/>
                      <w:lang w:eastAsia="sk-SK"/>
                    </w:rPr>
                  </w:pPr>
                  <w:r w:rsidRPr="000F393A">
                    <w:rPr>
                      <w:rFonts w:ascii="Times New Roman" w:hAnsi="Times New Roman"/>
                      <w:b/>
                      <w:sz w:val="24"/>
                      <w:szCs w:val="24"/>
                      <w:lang w:eastAsia="sk-SK"/>
                    </w:rPr>
                    <w:t>iba na veľké podniky (250 a viac zamestnancov)</w:t>
                  </w:r>
                </w:p>
              </w:tc>
            </w:tr>
            <w:tr w:rsidR="000F393A" w:rsidRPr="000F393A" w:rsidTr="007E5887">
              <w:tc>
                <w:tcPr>
                  <w:tcW w:w="436" w:type="dxa"/>
                  <w:tcBorders>
                    <w:top w:val="nil"/>
                    <w:left w:val="nil"/>
                    <w:bottom w:val="nil"/>
                    <w:right w:val="nil"/>
                  </w:tcBorders>
                </w:tcPr>
                <w:p w:rsidR="000F393A" w:rsidRPr="000F393A" w:rsidRDefault="000F393A" w:rsidP="00B52D31">
                  <w:pPr>
                    <w:jc w:val="both"/>
                    <w:rPr>
                      <w:rFonts w:ascii="Times New Roman" w:hAnsi="Times New Roman"/>
                      <w:sz w:val="20"/>
                      <w:szCs w:val="20"/>
                      <w:lang w:eastAsia="sk-SK"/>
                    </w:rPr>
                  </w:pPr>
                  <w:r w:rsidRPr="000F393A">
                    <w:rPr>
                      <w:rFonts w:ascii="Segoe UI Symbol" w:eastAsia="MS Gothic" w:hAnsi="Segoe UI Symbol" w:cs="Segoe UI Symbol"/>
                      <w:sz w:val="20"/>
                      <w:szCs w:val="20"/>
                      <w:lang w:eastAsia="sk-SK"/>
                    </w:rPr>
                    <w:t>☒</w:t>
                  </w:r>
                </w:p>
              </w:tc>
              <w:tc>
                <w:tcPr>
                  <w:tcW w:w="8545" w:type="dxa"/>
                  <w:tcBorders>
                    <w:top w:val="nil"/>
                    <w:left w:val="nil"/>
                    <w:bottom w:val="nil"/>
                    <w:right w:val="nil"/>
                  </w:tcBorders>
                </w:tcPr>
                <w:p w:rsidR="000F393A" w:rsidRPr="000F393A" w:rsidRDefault="000F393A" w:rsidP="00B52D31">
                  <w:pPr>
                    <w:jc w:val="both"/>
                    <w:rPr>
                      <w:rFonts w:ascii="Times New Roman" w:hAnsi="Times New Roman"/>
                      <w:sz w:val="24"/>
                      <w:szCs w:val="24"/>
                      <w:lang w:eastAsia="sk-SK"/>
                    </w:rPr>
                  </w:pPr>
                  <w:r w:rsidRPr="000F393A">
                    <w:rPr>
                      <w:rFonts w:ascii="Times New Roman" w:hAnsi="Times New Roman"/>
                      <w:b/>
                      <w:sz w:val="24"/>
                      <w:szCs w:val="24"/>
                      <w:lang w:eastAsia="sk-SK"/>
                    </w:rPr>
                    <w:t>na všetky kategórie podnikov</w:t>
                  </w:r>
                </w:p>
              </w:tc>
            </w:tr>
          </w:tbl>
          <w:p w:rsidR="000F393A" w:rsidRPr="000F393A" w:rsidRDefault="000F393A" w:rsidP="00B52D31">
            <w:pPr>
              <w:jc w:val="both"/>
              <w:rPr>
                <w:rFonts w:ascii="Times New Roman" w:hAnsi="Times New Roman"/>
                <w:b/>
                <w:sz w:val="20"/>
                <w:szCs w:val="20"/>
                <w:lang w:eastAsia="sk-SK"/>
              </w:rPr>
            </w:pPr>
          </w:p>
        </w:tc>
      </w:tr>
      <w:tr w:rsidR="000F393A" w:rsidRPr="000F393A" w:rsidTr="000F393A">
        <w:tc>
          <w:tcPr>
            <w:tcW w:w="9212" w:type="dxa"/>
            <w:shd w:val="clear" w:color="auto" w:fill="D9D9D9"/>
          </w:tcPr>
          <w:p w:rsidR="000F393A" w:rsidRPr="000F393A" w:rsidRDefault="000F393A" w:rsidP="00B52D31">
            <w:pPr>
              <w:jc w:val="both"/>
              <w:rPr>
                <w:rFonts w:ascii="Times New Roman" w:hAnsi="Times New Roman"/>
                <w:b/>
                <w:sz w:val="24"/>
                <w:szCs w:val="20"/>
                <w:lang w:eastAsia="sk-SK"/>
              </w:rPr>
            </w:pPr>
            <w:r w:rsidRPr="000F393A">
              <w:rPr>
                <w:rFonts w:ascii="Times New Roman" w:hAnsi="Times New Roman"/>
                <w:b/>
                <w:sz w:val="24"/>
                <w:szCs w:val="20"/>
                <w:lang w:eastAsia="sk-SK"/>
              </w:rPr>
              <w:t>3.1 Dotknuté podnikateľské subjekty</w:t>
            </w:r>
          </w:p>
          <w:p w:rsidR="000F393A" w:rsidRPr="000F393A" w:rsidRDefault="000F393A" w:rsidP="00B52D31">
            <w:pPr>
              <w:ind w:left="284"/>
              <w:jc w:val="both"/>
              <w:rPr>
                <w:rFonts w:ascii="Times New Roman" w:hAnsi="Times New Roman"/>
                <w:b/>
                <w:sz w:val="20"/>
                <w:szCs w:val="20"/>
                <w:lang w:eastAsia="sk-SK"/>
              </w:rPr>
            </w:pPr>
            <w:r w:rsidRPr="000F393A">
              <w:rPr>
                <w:rFonts w:ascii="Times New Roman" w:hAnsi="Times New Roman"/>
                <w:sz w:val="24"/>
                <w:szCs w:val="20"/>
                <w:lang w:eastAsia="sk-SK"/>
              </w:rPr>
              <w:t xml:space="preserve"> - </w:t>
            </w:r>
            <w:r w:rsidRPr="000F393A">
              <w:rPr>
                <w:rFonts w:ascii="Times New Roman" w:hAnsi="Times New Roman"/>
                <w:b/>
                <w:sz w:val="24"/>
                <w:szCs w:val="20"/>
                <w:lang w:eastAsia="sk-SK"/>
              </w:rPr>
              <w:t>z toho MSP</w:t>
            </w:r>
          </w:p>
        </w:tc>
      </w:tr>
      <w:tr w:rsidR="000F393A" w:rsidRPr="000F393A" w:rsidTr="007E5887">
        <w:tc>
          <w:tcPr>
            <w:tcW w:w="9212" w:type="dxa"/>
          </w:tcPr>
          <w:p w:rsidR="000F393A" w:rsidRPr="000F393A" w:rsidRDefault="000F393A" w:rsidP="00B52D31">
            <w:pPr>
              <w:jc w:val="both"/>
              <w:rPr>
                <w:rFonts w:ascii="Times New Roman" w:hAnsi="Times New Roman"/>
                <w:i/>
                <w:sz w:val="20"/>
                <w:szCs w:val="20"/>
                <w:lang w:eastAsia="sk-SK"/>
              </w:rPr>
            </w:pPr>
            <w:r w:rsidRPr="000F393A">
              <w:rPr>
                <w:rFonts w:ascii="Times New Roman" w:hAnsi="Times New Roman"/>
                <w:i/>
                <w:sz w:val="20"/>
                <w:szCs w:val="20"/>
                <w:lang w:eastAsia="sk-SK"/>
              </w:rPr>
              <w:t>Uveďte, aké podnikateľské subjekty budú predkladaným návrhom ovplyvnené.</w:t>
            </w:r>
          </w:p>
          <w:p w:rsidR="000F393A" w:rsidRPr="000F393A" w:rsidRDefault="000F393A" w:rsidP="00B52D31">
            <w:pPr>
              <w:jc w:val="both"/>
              <w:rPr>
                <w:rFonts w:ascii="Times New Roman" w:hAnsi="Times New Roman"/>
                <w:i/>
                <w:sz w:val="20"/>
                <w:szCs w:val="20"/>
                <w:lang w:eastAsia="sk-SK"/>
              </w:rPr>
            </w:pPr>
            <w:r w:rsidRPr="000F393A">
              <w:rPr>
                <w:rFonts w:ascii="Times New Roman" w:hAnsi="Times New Roman"/>
                <w:i/>
                <w:sz w:val="20"/>
                <w:szCs w:val="20"/>
                <w:lang w:eastAsia="sk-SK"/>
              </w:rPr>
              <w:t>Aký je ich počet?</w:t>
            </w:r>
          </w:p>
        </w:tc>
      </w:tr>
      <w:tr w:rsidR="000F393A" w:rsidRPr="000F393A" w:rsidTr="007E5887">
        <w:trPr>
          <w:trHeight w:val="7852"/>
        </w:trPr>
        <w:tc>
          <w:tcPr>
            <w:tcW w:w="9212" w:type="dxa"/>
          </w:tcPr>
          <w:p w:rsidR="000F393A" w:rsidRPr="000F393A" w:rsidRDefault="000F393A" w:rsidP="00B52D31">
            <w:pPr>
              <w:contextualSpacing/>
              <w:jc w:val="both"/>
              <w:rPr>
                <w:rFonts w:ascii="Times New Roman" w:hAnsi="Times New Roman"/>
                <w:lang w:eastAsia="sk-SK"/>
              </w:rPr>
            </w:pPr>
            <w:r w:rsidRPr="000F393A">
              <w:rPr>
                <w:rFonts w:ascii="Times New Roman" w:hAnsi="Times New Roman"/>
                <w:lang w:eastAsia="sk-SK"/>
              </w:rPr>
              <w:t>Zákonom č. 106/2018 Z. z. o prevádzke vozidiel v cestnej premávke a o zmene a doplnení niektorých zákonov sú dotknuté nasledovné podnikateľské subjekty:</w:t>
            </w:r>
          </w:p>
          <w:p w:rsidR="000F393A" w:rsidRPr="000F393A" w:rsidRDefault="000F393A" w:rsidP="00B52D31">
            <w:pPr>
              <w:numPr>
                <w:ilvl w:val="0"/>
                <w:numId w:val="18"/>
              </w:numPr>
              <w:ind w:left="289" w:hanging="289"/>
              <w:jc w:val="both"/>
              <w:rPr>
                <w:rFonts w:ascii="Times New Roman" w:hAnsi="Times New Roman"/>
              </w:rPr>
            </w:pPr>
            <w:r w:rsidRPr="000F393A">
              <w:rPr>
                <w:rFonts w:ascii="Times New Roman" w:hAnsi="Times New Roman"/>
              </w:rPr>
              <w:t>výrobcovia a zástupcovia výrobcu, ktorí vyrábajú typ vozidla alebo vykonávajú hromadné prestavby typu vozidla, vyrábajú typ systému, komponentu alebo samostatnej technickej jednotky (počet výrobcov nie je možné odhadnúť, pretože o udelenie schválenia môže požiadať ktorýkoľvek výrobca na svete, počet zástupcov výrobcov v Slovenskej republike je v súčasnosti registrovaných približne 900),</w:t>
            </w:r>
          </w:p>
          <w:p w:rsidR="000F393A" w:rsidRPr="000F393A" w:rsidRDefault="000F393A" w:rsidP="00B52D31">
            <w:pPr>
              <w:numPr>
                <w:ilvl w:val="0"/>
                <w:numId w:val="18"/>
              </w:numPr>
              <w:ind w:left="289" w:hanging="289"/>
              <w:jc w:val="both"/>
              <w:rPr>
                <w:rFonts w:ascii="Times New Roman" w:hAnsi="Times New Roman"/>
              </w:rPr>
            </w:pPr>
            <w:r w:rsidRPr="000F393A">
              <w:rPr>
                <w:rFonts w:ascii="Times New Roman" w:hAnsi="Times New Roman"/>
              </w:rPr>
              <w:t>prevádzkovatelia vozidla (počet evidovaných vozidiel v Slovenskej republike je takmer 3,3 milióna),</w:t>
            </w:r>
          </w:p>
          <w:p w:rsidR="000F393A" w:rsidRPr="000F393A" w:rsidRDefault="000F393A" w:rsidP="00B52D31">
            <w:pPr>
              <w:numPr>
                <w:ilvl w:val="0"/>
                <w:numId w:val="18"/>
              </w:numPr>
              <w:ind w:left="289" w:hanging="289"/>
              <w:jc w:val="both"/>
              <w:rPr>
                <w:rFonts w:ascii="Times New Roman" w:hAnsi="Times New Roman"/>
              </w:rPr>
            </w:pPr>
            <w:r w:rsidRPr="000F393A">
              <w:rPr>
                <w:rFonts w:ascii="Times New Roman" w:hAnsi="Times New Roman"/>
              </w:rPr>
              <w:t>technické služby overovania, technická služba technickej kontroly, technická služba emisnej kontroly, technická služba kontroly originality, technická služba montáže plynových zariadení (20 technických služieb),</w:t>
            </w:r>
          </w:p>
          <w:p w:rsidR="000F393A" w:rsidRPr="000F393A" w:rsidRDefault="000F393A" w:rsidP="00B52D31">
            <w:pPr>
              <w:numPr>
                <w:ilvl w:val="0"/>
                <w:numId w:val="18"/>
              </w:numPr>
              <w:ind w:left="289" w:hanging="289"/>
              <w:jc w:val="both"/>
              <w:rPr>
                <w:rFonts w:ascii="Times New Roman" w:hAnsi="Times New Roman"/>
              </w:rPr>
            </w:pPr>
            <w:r w:rsidRPr="000F393A">
              <w:rPr>
                <w:rFonts w:ascii="Times New Roman" w:hAnsi="Times New Roman"/>
              </w:rPr>
              <w:t xml:space="preserve">nakladajúce organizácie, osoby </w:t>
            </w:r>
            <w:r w:rsidRPr="000F393A">
              <w:rPr>
                <w:rFonts w:ascii="Times New Roman" w:hAnsi="Times New Roman"/>
                <w:lang w:eastAsia="sk-SK"/>
              </w:rPr>
              <w:t xml:space="preserve">zodpovedné za nakládku vozidiel v nakladajúcej organizácii, odosielatelia </w:t>
            </w:r>
            <w:r w:rsidRPr="000F393A">
              <w:rPr>
                <w:rFonts w:ascii="Times New Roman" w:hAnsi="Times New Roman"/>
              </w:rPr>
              <w:t>(počet nakladajúcich organizácií nie je možné odhadnúť, keďže náklad môže nakladať ktorákoľvek osoba)</w:t>
            </w:r>
            <w:r w:rsidRPr="000F393A">
              <w:rPr>
                <w:rFonts w:ascii="Times New Roman" w:hAnsi="Times New Roman"/>
                <w:lang w:eastAsia="sk-SK"/>
              </w:rPr>
              <w:t>,</w:t>
            </w:r>
          </w:p>
          <w:p w:rsidR="000F393A" w:rsidRPr="000F393A" w:rsidRDefault="000F393A" w:rsidP="00B52D31">
            <w:pPr>
              <w:numPr>
                <w:ilvl w:val="0"/>
                <w:numId w:val="18"/>
              </w:numPr>
              <w:ind w:left="289" w:hanging="289"/>
              <w:jc w:val="both"/>
              <w:rPr>
                <w:rFonts w:ascii="Times New Roman" w:hAnsi="Times New Roman"/>
              </w:rPr>
            </w:pPr>
            <w:r w:rsidRPr="000F393A">
              <w:rPr>
                <w:rFonts w:ascii="Times New Roman" w:hAnsi="Times New Roman"/>
              </w:rPr>
              <w:t>oprávnené osoby technickej kontroly, oprávnené osoby emisnej kontroly, oprávnené osoby kontroly originality, oprávnené osoby montáže plynových zariadení (približne 300 osôb) a ich pracovníkov (technici) (približne 1000 osôb),</w:t>
            </w:r>
          </w:p>
          <w:p w:rsidR="000F393A" w:rsidRPr="000F393A" w:rsidRDefault="000F393A" w:rsidP="00B52D31">
            <w:pPr>
              <w:numPr>
                <w:ilvl w:val="0"/>
                <w:numId w:val="18"/>
              </w:numPr>
              <w:ind w:left="289" w:hanging="289"/>
              <w:jc w:val="both"/>
              <w:rPr>
                <w:rFonts w:ascii="Times New Roman" w:hAnsi="Times New Roman"/>
              </w:rPr>
            </w:pPr>
            <w:r w:rsidRPr="000F393A">
              <w:rPr>
                <w:rFonts w:ascii="Times New Roman" w:hAnsi="Times New Roman"/>
              </w:rPr>
              <w:t xml:space="preserve">osoby </w:t>
            </w:r>
            <w:proofErr w:type="spellStart"/>
            <w:r w:rsidRPr="000F393A">
              <w:rPr>
                <w:rFonts w:ascii="Times New Roman" w:hAnsi="Times New Roman"/>
              </w:rPr>
              <w:t>prispievajúce</w:t>
            </w:r>
            <w:proofErr w:type="spellEnd"/>
            <w:r w:rsidRPr="000F393A">
              <w:rPr>
                <w:rFonts w:ascii="Times New Roman" w:hAnsi="Times New Roman"/>
              </w:rPr>
              <w:t xml:space="preserve"> do registra prevádzkových záznamov (osoby vykonávajúce diagnostiku, opravy alebo údržbu cestných motorových vozidiel alebo vykonávajúce opravy karosérií, osoby vykonávajúce predaj ojazdených cestných motorových vozidiel, poisťovne, leasingové spoločnosti, znalci, osoby vykonávajúce služby v oblasti organizovania a realizácie dražieb cestných motorových vozidiel, osoby vykonávajúce nastavovanie a overovanie tachografov, požičovne cestných motorových vozidiel) (do 10 000),</w:t>
            </w:r>
          </w:p>
          <w:p w:rsidR="000F393A" w:rsidRPr="000F393A" w:rsidRDefault="000F393A" w:rsidP="00B52D31">
            <w:pPr>
              <w:numPr>
                <w:ilvl w:val="0"/>
                <w:numId w:val="18"/>
              </w:numPr>
              <w:ind w:left="289" w:hanging="289"/>
              <w:jc w:val="both"/>
              <w:rPr>
                <w:rFonts w:ascii="Times New Roman" w:hAnsi="Times New Roman"/>
              </w:rPr>
            </w:pPr>
            <w:r w:rsidRPr="000F393A">
              <w:rPr>
                <w:rFonts w:ascii="Times New Roman" w:hAnsi="Times New Roman"/>
              </w:rPr>
              <w:t>orgány štátnej správy: Ministerstvo dopravy a výstavby SR, Ministerstvo vnútra SR, okresné úrady, okresné úrady v sídle kraja, Slovenská obchodná inšpekcia, orgány Policajného zboru, inšpektoráty práce.</w:t>
            </w:r>
          </w:p>
          <w:p w:rsidR="000F393A" w:rsidRPr="000F393A" w:rsidRDefault="000F393A" w:rsidP="00B52D31">
            <w:pPr>
              <w:contextualSpacing/>
              <w:jc w:val="both"/>
              <w:rPr>
                <w:rFonts w:ascii="Times New Roman" w:hAnsi="Times New Roman"/>
              </w:rPr>
            </w:pPr>
            <w:r w:rsidRPr="000F393A">
              <w:rPr>
                <w:rFonts w:ascii="Times New Roman" w:hAnsi="Times New Roman"/>
                <w:lang w:eastAsia="sk-SK"/>
              </w:rPr>
              <w:t xml:space="preserve">Týmto návrhom zákona sa rozširuje okruh osôb </w:t>
            </w:r>
            <w:proofErr w:type="spellStart"/>
            <w:r w:rsidRPr="000F393A">
              <w:rPr>
                <w:rFonts w:ascii="Times New Roman" w:hAnsi="Times New Roman"/>
                <w:lang w:eastAsia="sk-SK"/>
              </w:rPr>
              <w:t>prispievajúcich</w:t>
            </w:r>
            <w:proofErr w:type="spellEnd"/>
            <w:r w:rsidRPr="000F393A">
              <w:rPr>
                <w:rFonts w:ascii="Times New Roman" w:hAnsi="Times New Roman"/>
                <w:lang w:eastAsia="sk-SK"/>
              </w:rPr>
              <w:t xml:space="preserve"> do registra prevádzkových záznamov podľa písmena f) a to o osoby prevádzkujúce webové sídlo s ponukami na predaj a kúpu cestných motorových vozidiel, ktorých odhadujeme na približne 10 osôb a o osoby vykonávajúce nastavovanie alebo iné zásahy v rámci softvéru riadiacej jednotky motorového vozidla, ktorých odhadujeme na približne 32 osôb.</w:t>
            </w:r>
          </w:p>
        </w:tc>
      </w:tr>
      <w:tr w:rsidR="000F393A" w:rsidRPr="000F393A" w:rsidTr="000F393A">
        <w:trPr>
          <w:trHeight w:val="339"/>
        </w:trPr>
        <w:tc>
          <w:tcPr>
            <w:tcW w:w="9212" w:type="dxa"/>
            <w:shd w:val="clear" w:color="auto" w:fill="D9D9D9"/>
          </w:tcPr>
          <w:p w:rsidR="000F393A" w:rsidRPr="000F393A" w:rsidRDefault="000F393A" w:rsidP="00B52D31">
            <w:pPr>
              <w:jc w:val="both"/>
              <w:rPr>
                <w:rFonts w:ascii="Times New Roman" w:hAnsi="Times New Roman"/>
                <w:b/>
                <w:sz w:val="24"/>
                <w:szCs w:val="20"/>
                <w:lang w:eastAsia="sk-SK"/>
              </w:rPr>
            </w:pPr>
            <w:r w:rsidRPr="000F393A">
              <w:rPr>
                <w:rFonts w:ascii="Times New Roman" w:hAnsi="Times New Roman"/>
                <w:b/>
                <w:sz w:val="24"/>
                <w:szCs w:val="20"/>
                <w:lang w:eastAsia="sk-SK"/>
              </w:rPr>
              <w:t>3.2 Vyhodnotenie konzultácií</w:t>
            </w:r>
          </w:p>
          <w:p w:rsidR="000F393A" w:rsidRPr="000F393A" w:rsidRDefault="000F393A" w:rsidP="00B52D31">
            <w:pPr>
              <w:jc w:val="both"/>
              <w:rPr>
                <w:rFonts w:ascii="Times New Roman" w:hAnsi="Times New Roman"/>
                <w:b/>
                <w:sz w:val="20"/>
                <w:szCs w:val="20"/>
                <w:lang w:eastAsia="sk-SK"/>
              </w:rPr>
            </w:pPr>
            <w:r w:rsidRPr="000F393A">
              <w:rPr>
                <w:rFonts w:ascii="Times New Roman" w:hAnsi="Times New Roman"/>
                <w:sz w:val="24"/>
                <w:szCs w:val="20"/>
                <w:lang w:eastAsia="sk-SK"/>
              </w:rPr>
              <w:t xml:space="preserve">       - </w:t>
            </w:r>
            <w:r w:rsidRPr="000F393A">
              <w:rPr>
                <w:rFonts w:ascii="Times New Roman" w:hAnsi="Times New Roman"/>
                <w:b/>
                <w:sz w:val="24"/>
                <w:szCs w:val="20"/>
                <w:lang w:eastAsia="sk-SK"/>
              </w:rPr>
              <w:t>z toho MSP</w:t>
            </w:r>
          </w:p>
        </w:tc>
      </w:tr>
      <w:tr w:rsidR="000F393A" w:rsidRPr="000F393A" w:rsidTr="007E5887">
        <w:trPr>
          <w:trHeight w:val="557"/>
        </w:trPr>
        <w:tc>
          <w:tcPr>
            <w:tcW w:w="9212" w:type="dxa"/>
          </w:tcPr>
          <w:p w:rsidR="000F393A" w:rsidRPr="000F393A" w:rsidRDefault="000F393A" w:rsidP="00B52D31">
            <w:pPr>
              <w:jc w:val="both"/>
              <w:rPr>
                <w:rFonts w:ascii="Times New Roman" w:hAnsi="Times New Roman"/>
                <w:i/>
                <w:sz w:val="20"/>
                <w:szCs w:val="20"/>
                <w:lang w:eastAsia="sk-SK"/>
              </w:rPr>
            </w:pPr>
            <w:r w:rsidRPr="000F393A">
              <w:rPr>
                <w:rFonts w:ascii="Times New Roman" w:hAnsi="Times New Roman"/>
                <w:i/>
                <w:sz w:val="20"/>
                <w:szCs w:val="20"/>
                <w:lang w:eastAsia="sk-SK"/>
              </w:rPr>
              <w:t>Uveďte, akou formou (verejné alebo cielené konzultácie a prečo) a s kým bol návrh konzultovaný.</w:t>
            </w:r>
          </w:p>
          <w:p w:rsidR="000F393A" w:rsidRPr="000F393A" w:rsidRDefault="000F393A" w:rsidP="00B52D31">
            <w:pPr>
              <w:jc w:val="both"/>
              <w:rPr>
                <w:rFonts w:ascii="Times New Roman" w:hAnsi="Times New Roman"/>
                <w:i/>
                <w:sz w:val="20"/>
                <w:szCs w:val="20"/>
                <w:lang w:eastAsia="sk-SK"/>
              </w:rPr>
            </w:pPr>
            <w:r w:rsidRPr="000F393A">
              <w:rPr>
                <w:rFonts w:ascii="Times New Roman" w:hAnsi="Times New Roman"/>
                <w:i/>
                <w:sz w:val="20"/>
                <w:szCs w:val="20"/>
                <w:lang w:eastAsia="sk-SK"/>
              </w:rPr>
              <w:t>Ako dlho trvali konzultácie?</w:t>
            </w:r>
          </w:p>
          <w:p w:rsidR="000F393A" w:rsidRPr="000F393A" w:rsidRDefault="000F393A" w:rsidP="00B52D31">
            <w:pPr>
              <w:jc w:val="both"/>
              <w:rPr>
                <w:rFonts w:ascii="Times New Roman" w:hAnsi="Times New Roman"/>
                <w:i/>
                <w:sz w:val="20"/>
                <w:szCs w:val="20"/>
                <w:lang w:eastAsia="sk-SK"/>
              </w:rPr>
            </w:pPr>
            <w:r w:rsidRPr="000F393A">
              <w:rPr>
                <w:rFonts w:ascii="Times New Roman" w:hAnsi="Times New Roman"/>
                <w:i/>
                <w:sz w:val="20"/>
                <w:szCs w:val="20"/>
                <w:lang w:eastAsia="sk-SK"/>
              </w:rPr>
              <w:t>Uveďte hlavné body konzultácií a výsledky konzultácií.</w:t>
            </w:r>
          </w:p>
        </w:tc>
      </w:tr>
      <w:tr w:rsidR="000F393A" w:rsidRPr="000F393A" w:rsidTr="007E5887">
        <w:trPr>
          <w:trHeight w:val="6081"/>
        </w:trPr>
        <w:tc>
          <w:tcPr>
            <w:tcW w:w="9212" w:type="dxa"/>
          </w:tcPr>
          <w:p w:rsidR="000F393A" w:rsidRPr="000F393A" w:rsidRDefault="000F393A" w:rsidP="00B52D31">
            <w:pPr>
              <w:jc w:val="both"/>
              <w:rPr>
                <w:rFonts w:ascii="Times New Roman" w:hAnsi="Times New Roman"/>
                <w:lang w:eastAsia="sk-SK"/>
              </w:rPr>
            </w:pPr>
            <w:r w:rsidRPr="000F393A">
              <w:rPr>
                <w:rFonts w:ascii="Times New Roman" w:hAnsi="Times New Roman"/>
                <w:lang w:eastAsia="sk-SK"/>
              </w:rPr>
              <w:lastRenderedPageBreak/>
              <w:t>Verejnosť do prípravy návrhu zákona bola zapojená formou možnosti zasielania podnetov. Predbežná informácia (PI/2020/276) bola vypracovaná podľa § 9 zákona č. 400/2015 Z. z. o tvorbe právnych predpisov a o Zbierke zákonov Slovenskej republiky a o zmene a doplnení niektorých zákonov a bola zverejnená na portáli Slov-Lex. Možnosti zasielania podnetov boli v období od 16. decembra 2020 do 1. februára 2021. O konzultácie požiadal Zväz automobilového priemyslu Slovenskej republiky (konzultácia 2. februára 2021) a združenie ČESMAD Slovakia (konzultácia 4. februára 2021).</w:t>
            </w:r>
          </w:p>
          <w:p w:rsidR="000F393A" w:rsidRPr="000F393A" w:rsidRDefault="000F393A" w:rsidP="00B52D31">
            <w:pPr>
              <w:jc w:val="both"/>
              <w:rPr>
                <w:rFonts w:ascii="Times New Roman" w:hAnsi="Times New Roman"/>
                <w:lang w:eastAsia="sk-SK"/>
              </w:rPr>
            </w:pPr>
            <w:r w:rsidRPr="000F393A">
              <w:rPr>
                <w:rFonts w:ascii="Times New Roman" w:hAnsi="Times New Roman"/>
                <w:lang w:eastAsia="sk-SK"/>
              </w:rPr>
              <w:t xml:space="preserve">Ďalšou formou zapojenia verejnosti bude medzirezortné pripomienkové konanie. </w:t>
            </w:r>
          </w:p>
          <w:p w:rsidR="000F393A" w:rsidRPr="000F393A" w:rsidRDefault="000F393A" w:rsidP="00B52D31">
            <w:pPr>
              <w:jc w:val="both"/>
              <w:rPr>
                <w:rFonts w:ascii="Times New Roman" w:hAnsi="Times New Roman"/>
                <w:lang w:eastAsia="sk-SK"/>
              </w:rPr>
            </w:pPr>
            <w:r w:rsidRPr="000F393A">
              <w:rPr>
                <w:rFonts w:ascii="Times New Roman" w:hAnsi="Times New Roman"/>
                <w:lang w:eastAsia="sk-SK"/>
              </w:rPr>
              <w:t>Čiastkovo sa konali priebežne podľa potreby konzultácie s </w:t>
            </w:r>
          </w:p>
          <w:p w:rsidR="000F393A" w:rsidRPr="000F393A" w:rsidRDefault="000F393A" w:rsidP="00B52D31">
            <w:pPr>
              <w:numPr>
                <w:ilvl w:val="0"/>
                <w:numId w:val="21"/>
              </w:numPr>
              <w:ind w:left="284" w:hanging="284"/>
              <w:contextualSpacing/>
              <w:jc w:val="both"/>
              <w:rPr>
                <w:rFonts w:ascii="Times New Roman" w:hAnsi="Times New Roman"/>
              </w:rPr>
            </w:pPr>
            <w:r w:rsidRPr="000F393A">
              <w:rPr>
                <w:rFonts w:ascii="Times New Roman" w:hAnsi="Times New Roman"/>
              </w:rPr>
              <w:t xml:space="preserve">technickou službou technickej kontroly spoločnosťou TESTEK </w:t>
            </w:r>
            <w:proofErr w:type="spellStart"/>
            <w:r w:rsidRPr="000F393A">
              <w:rPr>
                <w:rFonts w:ascii="Times New Roman" w:hAnsi="Times New Roman"/>
              </w:rPr>
              <w:t>a.s</w:t>
            </w:r>
            <w:proofErr w:type="spellEnd"/>
            <w:r w:rsidRPr="000F393A">
              <w:rPr>
                <w:rFonts w:ascii="Times New Roman" w:hAnsi="Times New Roman"/>
              </w:rPr>
              <w:t>.,</w:t>
            </w:r>
          </w:p>
          <w:p w:rsidR="000F393A" w:rsidRPr="000F393A" w:rsidRDefault="000F393A" w:rsidP="00B52D31">
            <w:pPr>
              <w:numPr>
                <w:ilvl w:val="0"/>
                <w:numId w:val="21"/>
              </w:numPr>
              <w:ind w:left="284" w:hanging="284"/>
              <w:contextualSpacing/>
              <w:jc w:val="both"/>
              <w:rPr>
                <w:rFonts w:ascii="Times New Roman" w:hAnsi="Times New Roman"/>
              </w:rPr>
            </w:pPr>
            <w:r w:rsidRPr="000F393A">
              <w:rPr>
                <w:rFonts w:ascii="Times New Roman" w:hAnsi="Times New Roman"/>
              </w:rPr>
              <w:t>technickou službou emisnej kontroly spoločnosťou S-EKA spol. s </w:t>
            </w:r>
            <w:proofErr w:type="spellStart"/>
            <w:r w:rsidRPr="000F393A">
              <w:rPr>
                <w:rFonts w:ascii="Times New Roman" w:hAnsi="Times New Roman"/>
              </w:rPr>
              <w:t>r.o</w:t>
            </w:r>
            <w:proofErr w:type="spellEnd"/>
            <w:r w:rsidRPr="000F393A">
              <w:rPr>
                <w:rFonts w:ascii="Times New Roman" w:hAnsi="Times New Roman"/>
              </w:rPr>
              <w:t>.,</w:t>
            </w:r>
          </w:p>
          <w:p w:rsidR="000F393A" w:rsidRPr="000F393A" w:rsidRDefault="000F393A" w:rsidP="00B52D31">
            <w:pPr>
              <w:numPr>
                <w:ilvl w:val="0"/>
                <w:numId w:val="21"/>
              </w:numPr>
              <w:ind w:left="284" w:hanging="284"/>
              <w:contextualSpacing/>
              <w:jc w:val="both"/>
              <w:rPr>
                <w:rFonts w:ascii="Times New Roman" w:hAnsi="Times New Roman"/>
              </w:rPr>
            </w:pPr>
            <w:r w:rsidRPr="000F393A">
              <w:rPr>
                <w:rFonts w:ascii="Times New Roman" w:hAnsi="Times New Roman"/>
              </w:rPr>
              <w:t xml:space="preserve">technickou službou kontroly originality spoločnosťou Iris </w:t>
            </w:r>
            <w:proofErr w:type="spellStart"/>
            <w:r w:rsidRPr="000F393A">
              <w:rPr>
                <w:rFonts w:ascii="Times New Roman" w:hAnsi="Times New Roman"/>
              </w:rPr>
              <w:t>Ident</w:t>
            </w:r>
            <w:proofErr w:type="spellEnd"/>
            <w:r w:rsidRPr="000F393A">
              <w:rPr>
                <w:rFonts w:ascii="Times New Roman" w:hAnsi="Times New Roman"/>
              </w:rPr>
              <w:t xml:space="preserve"> </w:t>
            </w:r>
            <w:proofErr w:type="spellStart"/>
            <w:r w:rsidRPr="000F393A">
              <w:rPr>
                <w:rFonts w:ascii="Times New Roman" w:hAnsi="Times New Roman"/>
              </w:rPr>
              <w:t>s.r.o</w:t>
            </w:r>
            <w:proofErr w:type="spellEnd"/>
            <w:r w:rsidRPr="000F393A">
              <w:rPr>
                <w:rFonts w:ascii="Times New Roman" w:hAnsi="Times New Roman"/>
              </w:rPr>
              <w:t>.,</w:t>
            </w:r>
          </w:p>
          <w:p w:rsidR="000F393A" w:rsidRPr="000F393A" w:rsidRDefault="000F393A" w:rsidP="00B52D31">
            <w:pPr>
              <w:numPr>
                <w:ilvl w:val="0"/>
                <w:numId w:val="21"/>
              </w:numPr>
              <w:ind w:left="284" w:hanging="284"/>
              <w:contextualSpacing/>
              <w:jc w:val="both"/>
              <w:rPr>
                <w:rFonts w:ascii="Times New Roman" w:hAnsi="Times New Roman"/>
              </w:rPr>
            </w:pPr>
            <w:r w:rsidRPr="000F393A">
              <w:rPr>
                <w:rFonts w:ascii="Times New Roman" w:hAnsi="Times New Roman"/>
              </w:rPr>
              <w:t>vybranými výrobcami vozidiel a ich zástupcami,</w:t>
            </w:r>
          </w:p>
          <w:p w:rsidR="000F393A" w:rsidRPr="000F393A" w:rsidRDefault="000F393A" w:rsidP="00B52D31">
            <w:pPr>
              <w:numPr>
                <w:ilvl w:val="0"/>
                <w:numId w:val="21"/>
              </w:numPr>
              <w:ind w:left="284" w:hanging="284"/>
              <w:contextualSpacing/>
              <w:jc w:val="both"/>
              <w:rPr>
                <w:rFonts w:ascii="Times New Roman" w:hAnsi="Times New Roman"/>
              </w:rPr>
            </w:pPr>
            <w:r w:rsidRPr="000F393A">
              <w:rPr>
                <w:rFonts w:ascii="Times New Roman" w:hAnsi="Times New Roman"/>
              </w:rPr>
              <w:t>vybranými oprávnenými osobami technickej kontroly, oprávnenými osobami emisnej kontroly a oprávnenými osobami kontroly originality,</w:t>
            </w:r>
          </w:p>
          <w:p w:rsidR="000F393A" w:rsidRPr="000F393A" w:rsidRDefault="000F393A" w:rsidP="00B52D31">
            <w:pPr>
              <w:numPr>
                <w:ilvl w:val="0"/>
                <w:numId w:val="21"/>
              </w:numPr>
              <w:ind w:left="284" w:hanging="284"/>
              <w:contextualSpacing/>
              <w:jc w:val="both"/>
              <w:rPr>
                <w:rFonts w:ascii="Times New Roman" w:hAnsi="Times New Roman"/>
              </w:rPr>
            </w:pPr>
            <w:r w:rsidRPr="000F393A">
              <w:rPr>
                <w:rFonts w:ascii="Times New Roman" w:hAnsi="Times New Roman"/>
              </w:rPr>
              <w:t>Národnou asociáciou STK,</w:t>
            </w:r>
          </w:p>
          <w:p w:rsidR="000F393A" w:rsidRPr="000F393A" w:rsidRDefault="000F393A" w:rsidP="00B52D31">
            <w:pPr>
              <w:numPr>
                <w:ilvl w:val="0"/>
                <w:numId w:val="21"/>
              </w:numPr>
              <w:ind w:left="284" w:hanging="284"/>
              <w:contextualSpacing/>
              <w:jc w:val="both"/>
              <w:rPr>
                <w:rFonts w:ascii="Times New Roman" w:hAnsi="Times New Roman"/>
              </w:rPr>
            </w:pPr>
            <w:r w:rsidRPr="000F393A">
              <w:rPr>
                <w:rFonts w:ascii="Times New Roman" w:hAnsi="Times New Roman"/>
              </w:rPr>
              <w:t>Zväzom automobilového priemyslu Slovenskej republiky,</w:t>
            </w:r>
          </w:p>
          <w:p w:rsidR="000F393A" w:rsidRPr="000F393A" w:rsidRDefault="000F393A" w:rsidP="00B52D31">
            <w:pPr>
              <w:numPr>
                <w:ilvl w:val="0"/>
                <w:numId w:val="21"/>
              </w:numPr>
              <w:ind w:left="284" w:hanging="284"/>
              <w:contextualSpacing/>
              <w:jc w:val="both"/>
              <w:rPr>
                <w:rFonts w:ascii="Times New Roman" w:hAnsi="Times New Roman"/>
              </w:rPr>
            </w:pPr>
            <w:r w:rsidRPr="000F393A">
              <w:rPr>
                <w:rFonts w:ascii="Times New Roman" w:hAnsi="Times New Roman"/>
              </w:rPr>
              <w:t>Cechom predajcov a autoservisov Slovenskej republiky,</w:t>
            </w:r>
          </w:p>
          <w:p w:rsidR="000F393A" w:rsidRPr="000F393A" w:rsidRDefault="000F393A" w:rsidP="00B52D31">
            <w:pPr>
              <w:numPr>
                <w:ilvl w:val="0"/>
                <w:numId w:val="21"/>
              </w:numPr>
              <w:ind w:left="284" w:hanging="284"/>
              <w:contextualSpacing/>
              <w:jc w:val="both"/>
              <w:rPr>
                <w:rFonts w:ascii="Times New Roman" w:hAnsi="Times New Roman"/>
              </w:rPr>
            </w:pPr>
            <w:r w:rsidRPr="000F393A">
              <w:rPr>
                <w:rFonts w:ascii="Times New Roman" w:hAnsi="Times New Roman"/>
              </w:rPr>
              <w:t>Zväzom autoservisov Slovenskej republiky,</w:t>
            </w:r>
          </w:p>
          <w:p w:rsidR="000F393A" w:rsidRPr="000F393A" w:rsidRDefault="000F393A" w:rsidP="00B52D31">
            <w:pPr>
              <w:numPr>
                <w:ilvl w:val="0"/>
                <w:numId w:val="21"/>
              </w:numPr>
              <w:ind w:left="284" w:hanging="284"/>
              <w:contextualSpacing/>
              <w:jc w:val="both"/>
              <w:rPr>
                <w:rFonts w:ascii="Times New Roman" w:hAnsi="Times New Roman"/>
              </w:rPr>
            </w:pPr>
            <w:r w:rsidRPr="000F393A">
              <w:rPr>
                <w:rFonts w:ascii="Times New Roman" w:hAnsi="Times New Roman"/>
              </w:rPr>
              <w:t>Asociáciou distribútorov koncernu Volkswagen,</w:t>
            </w:r>
          </w:p>
          <w:p w:rsidR="000F393A" w:rsidRPr="000F393A" w:rsidRDefault="000F393A" w:rsidP="00B52D31">
            <w:pPr>
              <w:numPr>
                <w:ilvl w:val="0"/>
                <w:numId w:val="21"/>
              </w:numPr>
              <w:ind w:left="284" w:hanging="284"/>
              <w:contextualSpacing/>
              <w:jc w:val="both"/>
              <w:rPr>
                <w:rFonts w:ascii="Times New Roman" w:hAnsi="Times New Roman"/>
              </w:rPr>
            </w:pPr>
            <w:r w:rsidRPr="000F393A">
              <w:rPr>
                <w:rFonts w:ascii="Times New Roman" w:hAnsi="Times New Roman"/>
              </w:rPr>
              <w:t>Slovenskou obchodnou inšpekciou,</w:t>
            </w:r>
          </w:p>
          <w:p w:rsidR="000F393A" w:rsidRPr="000F393A" w:rsidRDefault="000F393A" w:rsidP="00B52D31">
            <w:pPr>
              <w:numPr>
                <w:ilvl w:val="0"/>
                <w:numId w:val="21"/>
              </w:numPr>
              <w:ind w:left="284" w:hanging="284"/>
              <w:contextualSpacing/>
              <w:jc w:val="both"/>
              <w:rPr>
                <w:rFonts w:ascii="Times New Roman" w:hAnsi="Times New Roman"/>
              </w:rPr>
            </w:pPr>
            <w:r w:rsidRPr="000F393A">
              <w:rPr>
                <w:rFonts w:ascii="Times New Roman" w:hAnsi="Times New Roman"/>
              </w:rPr>
              <w:t>Ministerstvom hospodárstva Slovenskej republiky, odborom medzinárodných vzťahov v energetike.</w:t>
            </w:r>
          </w:p>
          <w:p w:rsidR="000F393A" w:rsidRPr="000F393A" w:rsidRDefault="000F393A" w:rsidP="00B52D31">
            <w:pPr>
              <w:jc w:val="both"/>
              <w:rPr>
                <w:rFonts w:ascii="Times New Roman" w:hAnsi="Times New Roman"/>
                <w:sz w:val="24"/>
                <w:szCs w:val="24"/>
                <w:lang w:eastAsia="sk-SK"/>
              </w:rPr>
            </w:pPr>
            <w:r w:rsidRPr="000F393A">
              <w:rPr>
                <w:rFonts w:ascii="Times New Roman" w:hAnsi="Times New Roman"/>
                <w:lang w:eastAsia="sk-SK"/>
              </w:rPr>
              <w:t>Čiastkové konzultácie splnili svoj účel a cieľ pre vypracovanie návrhu zákona.</w:t>
            </w:r>
          </w:p>
        </w:tc>
      </w:tr>
      <w:tr w:rsidR="000F393A" w:rsidRPr="000F393A" w:rsidTr="000F393A">
        <w:tc>
          <w:tcPr>
            <w:tcW w:w="9212" w:type="dxa"/>
            <w:shd w:val="clear" w:color="auto" w:fill="D9D9D9"/>
          </w:tcPr>
          <w:p w:rsidR="000F393A" w:rsidRPr="000F393A" w:rsidRDefault="000F393A" w:rsidP="00B52D31">
            <w:pPr>
              <w:jc w:val="both"/>
              <w:rPr>
                <w:rFonts w:ascii="Times New Roman" w:hAnsi="Times New Roman"/>
                <w:b/>
                <w:sz w:val="24"/>
                <w:szCs w:val="20"/>
                <w:lang w:eastAsia="sk-SK"/>
              </w:rPr>
            </w:pPr>
            <w:r w:rsidRPr="000F393A">
              <w:rPr>
                <w:rFonts w:ascii="Times New Roman" w:hAnsi="Times New Roman"/>
                <w:b/>
                <w:sz w:val="24"/>
                <w:szCs w:val="20"/>
                <w:lang w:eastAsia="sk-SK"/>
              </w:rPr>
              <w:t>3.3 Náklady regulácie</w:t>
            </w:r>
          </w:p>
          <w:p w:rsidR="000F393A" w:rsidRPr="000F393A" w:rsidRDefault="000F393A" w:rsidP="00B52D31">
            <w:pPr>
              <w:jc w:val="both"/>
              <w:rPr>
                <w:rFonts w:ascii="Times New Roman" w:hAnsi="Times New Roman"/>
                <w:b/>
                <w:sz w:val="20"/>
                <w:szCs w:val="20"/>
                <w:lang w:eastAsia="sk-SK"/>
              </w:rPr>
            </w:pPr>
            <w:r w:rsidRPr="000F393A">
              <w:rPr>
                <w:rFonts w:ascii="Times New Roman" w:hAnsi="Times New Roman"/>
                <w:sz w:val="24"/>
                <w:szCs w:val="20"/>
                <w:lang w:eastAsia="sk-SK"/>
              </w:rPr>
              <w:t xml:space="preserve">      - </w:t>
            </w:r>
            <w:r w:rsidRPr="000F393A">
              <w:rPr>
                <w:rFonts w:ascii="Times New Roman" w:hAnsi="Times New Roman"/>
                <w:b/>
                <w:sz w:val="24"/>
                <w:szCs w:val="20"/>
                <w:lang w:eastAsia="sk-SK"/>
              </w:rPr>
              <w:t>z toho MSP</w:t>
            </w:r>
          </w:p>
        </w:tc>
      </w:tr>
      <w:tr w:rsidR="000F393A" w:rsidRPr="000F393A" w:rsidTr="007E5887">
        <w:tc>
          <w:tcPr>
            <w:tcW w:w="9212" w:type="dxa"/>
          </w:tcPr>
          <w:p w:rsidR="000F393A" w:rsidRPr="000F393A" w:rsidRDefault="000F393A" w:rsidP="00B52D31">
            <w:pPr>
              <w:jc w:val="both"/>
              <w:rPr>
                <w:rFonts w:ascii="Times New Roman" w:hAnsi="Times New Roman"/>
                <w:b/>
                <w:i/>
                <w:sz w:val="20"/>
                <w:szCs w:val="20"/>
                <w:lang w:eastAsia="sk-SK"/>
              </w:rPr>
            </w:pPr>
            <w:r w:rsidRPr="000F393A">
              <w:rPr>
                <w:rFonts w:ascii="Times New Roman" w:hAnsi="Times New Roman"/>
                <w:b/>
                <w:i/>
                <w:sz w:val="20"/>
                <w:szCs w:val="20"/>
                <w:lang w:eastAsia="sk-SK"/>
              </w:rPr>
              <w:t>3.3.1 Priame finančné náklady</w:t>
            </w:r>
          </w:p>
          <w:p w:rsidR="000F393A" w:rsidRPr="000F393A" w:rsidRDefault="000F393A" w:rsidP="00B52D31">
            <w:pPr>
              <w:jc w:val="both"/>
              <w:rPr>
                <w:rFonts w:ascii="Times New Roman" w:hAnsi="Times New Roman"/>
                <w:i/>
                <w:sz w:val="20"/>
                <w:szCs w:val="20"/>
                <w:lang w:eastAsia="sk-SK"/>
              </w:rPr>
            </w:pPr>
            <w:r w:rsidRPr="000F393A">
              <w:rPr>
                <w:rFonts w:ascii="Times New Roman" w:hAnsi="Times New Roman"/>
                <w:i/>
                <w:sz w:val="20"/>
                <w:szCs w:val="20"/>
                <w:lang w:eastAsia="sk-SK"/>
              </w:rPr>
              <w:t>Dochádza k zvýšeniu/zníženiu priamych finančných nákladov (poplatky, odvody, dane clá...)? Ak áno, popíšte a vyčíslite ich. Uveďte tiež spôsob ich výpočtu</w:t>
            </w:r>
          </w:p>
        </w:tc>
      </w:tr>
      <w:tr w:rsidR="000F393A" w:rsidRPr="000F393A" w:rsidTr="007E5887">
        <w:trPr>
          <w:trHeight w:val="1970"/>
        </w:trPr>
        <w:tc>
          <w:tcPr>
            <w:tcW w:w="9212" w:type="dxa"/>
          </w:tcPr>
          <w:p w:rsidR="000F393A" w:rsidRPr="000F393A" w:rsidRDefault="000F393A" w:rsidP="00B52D31">
            <w:pPr>
              <w:spacing w:before="120"/>
              <w:jc w:val="both"/>
              <w:rPr>
                <w:rFonts w:ascii="Times New Roman" w:hAnsi="Times New Roman"/>
                <w:lang w:eastAsia="sk-SK"/>
              </w:rPr>
            </w:pPr>
            <w:r w:rsidRPr="000F393A">
              <w:rPr>
                <w:rFonts w:ascii="Times New Roman" w:hAnsi="Times New Roman"/>
                <w:lang w:eastAsia="sk-SK"/>
              </w:rPr>
              <w:t>Z dôvodu zrušenia povinnej certifikácie autorizovaných opravovní a nezávislých opravovní na tzv. certifikované miesto opravy dochádza k zrušeniu regulácie a všetkým opravovniam, ktoré sa  uchádzali o túto certifikáciu sa znížia priame náklady na certifikáciu. Ich výšku nie je možné odhadnúť, pretože súčasná certifikácia sa pre autorizované opravovne a nezávislé opravovne prakticky ešte nezačala, keďže platilo prechodné obdobie do konca roka 2021 a až od 1. januára 2022 sa mali všetky opravy vozidiel po ťažkých dopravných nehodách opravovať v certifikovaných autorizovaných opravovniach a nezávislých opravovniach. Pri nákladoch súvisiacich s povinnou certifikáciou by išlo o hypotetické náklady a zrušením tejto povinnej certifikácie by išlo o zníženie hypotetických nákladov, ku ktorým v súčasnosti ešte nedošlo.</w:t>
            </w:r>
          </w:p>
          <w:p w:rsidR="000F393A" w:rsidRPr="000F393A" w:rsidRDefault="000F393A" w:rsidP="00B52D31">
            <w:pPr>
              <w:spacing w:before="120"/>
              <w:jc w:val="both"/>
              <w:rPr>
                <w:rFonts w:ascii="Times New Roman" w:hAnsi="Times New Roman"/>
                <w:lang w:eastAsia="sk-SK"/>
              </w:rPr>
            </w:pPr>
            <w:r w:rsidRPr="000F393A">
              <w:rPr>
                <w:rFonts w:ascii="Times New Roman" w:hAnsi="Times New Roman"/>
                <w:lang w:eastAsia="sk-SK"/>
              </w:rPr>
              <w:t>Návrhom zákona sa súčasne ruší obmedzenie platnosti osvedčenia o evidencii časti I, ktoré už nebude obmedzené na 10 rokov, ale bude mať neobmedzenú platnosť. Z tohto dôvodu pri výmene osvedčenia o evidencii časti I z dôvodu ukončenia platnosti tohto dokladu nebudú vznikať náklady vo výške 6 eur (správny poplatok) potrebné za výmenu tohto dokladu. Úspora týchto nákladov na jedného podnikateľa a tiež na celé podnikateľské prostredie sa nedá odhadnúť, keďže k týmto nákladom by prišlo v budúcnosti a týkalo by sa iba prevádzkovateľov vozidiel a nie všetkých podnikateľov.</w:t>
            </w:r>
          </w:p>
          <w:p w:rsidR="000F393A" w:rsidRPr="000F393A" w:rsidRDefault="000F393A" w:rsidP="00B52D31">
            <w:pPr>
              <w:spacing w:before="120"/>
              <w:jc w:val="both"/>
              <w:rPr>
                <w:rFonts w:ascii="Times New Roman" w:hAnsi="Times New Roman"/>
                <w:lang w:eastAsia="sk-SK"/>
              </w:rPr>
            </w:pPr>
            <w:r w:rsidRPr="000F393A">
              <w:rPr>
                <w:rFonts w:ascii="Times New Roman" w:hAnsi="Times New Roman"/>
                <w:lang w:eastAsia="sk-SK"/>
              </w:rPr>
              <w:t>Návrhom zákona sa zabezpečuje vykonávanie dvoch európskych nariadení v Slovenskej republike (nariadenia o všeobecnej bezpečnosti vozidiel a nariadenie o označovaní pneumatík), ktoré vytvorí zvýšené náklady pre výrobcov vozidiel a výrobcov pneumatík, ale tieto náklady vyplývajú priamo z týchto európskych nariadení, ale nevyplývajú z tejto novely zákona, kde sa vykonáva len nevyhnutná novelizácia so stanovením, že ide o regulačný akt v súvislosti so schvaľovaním vozidiel a so zabezpečením vykonávania dohľadu nad trhom v súvislosti s označovaním pneumatík. Z tohto dôvodu Ministerstvo dopravy a výstavby Slovenskej republiky má za to, že táto nevyhnutná novelizácia nemá žiadny dopad na podnikateľské prostredie.</w:t>
            </w:r>
          </w:p>
          <w:p w:rsidR="000F393A" w:rsidRPr="000F393A" w:rsidRDefault="000F393A" w:rsidP="00B52D31">
            <w:pPr>
              <w:spacing w:before="120"/>
              <w:jc w:val="both"/>
              <w:rPr>
                <w:rFonts w:ascii="Times New Roman" w:hAnsi="Times New Roman"/>
                <w:lang w:eastAsia="sk-SK"/>
              </w:rPr>
            </w:pPr>
            <w:r w:rsidRPr="000F393A">
              <w:rPr>
                <w:rFonts w:ascii="Times New Roman" w:hAnsi="Times New Roman"/>
                <w:lang w:eastAsia="sk-SK"/>
              </w:rPr>
              <w:lastRenderedPageBreak/>
              <w:t xml:space="preserve">Návrh zákona rozširuje medzi osoby povinne </w:t>
            </w:r>
            <w:proofErr w:type="spellStart"/>
            <w:r w:rsidRPr="000F393A">
              <w:rPr>
                <w:rFonts w:ascii="Times New Roman" w:hAnsi="Times New Roman"/>
                <w:lang w:eastAsia="sk-SK"/>
              </w:rPr>
              <w:t>prispievajúce</w:t>
            </w:r>
            <w:proofErr w:type="spellEnd"/>
            <w:r w:rsidRPr="000F393A">
              <w:rPr>
                <w:rFonts w:ascii="Times New Roman" w:hAnsi="Times New Roman"/>
                <w:lang w:eastAsia="sk-SK"/>
              </w:rPr>
              <w:t xml:space="preserve"> do registra prevádzkových nákladov aj osoby prevádzkujúce webové sídlo s ponukami na predaj a kúpu cestných motorových vozidiel, ktorých na Slovensku odhadujeme približne 10 spoločností. Pre tieto osoby vzniknú len jednorazové náklady na integráciu webových služieb registra prevádzkových záznamov vozidiel do produkčných informačných systémov prevádzkovateľov webových sídiel s ponukami na predaj a kúpu cestných motorových vozidiel v rozsahu približne 5 č/h. Priemerná hrubá hodinová mzda IT programátora (12 eur) (5*12) výsledok 60 eur/podnikateľ jednorazovo. Na celé podnikateľské prostredie predpokladáme náklady vo výške 600 eur.</w:t>
            </w:r>
          </w:p>
        </w:tc>
      </w:tr>
      <w:tr w:rsidR="000F393A" w:rsidRPr="000F393A" w:rsidTr="007E5887">
        <w:tc>
          <w:tcPr>
            <w:tcW w:w="9212" w:type="dxa"/>
          </w:tcPr>
          <w:p w:rsidR="000F393A" w:rsidRPr="000F393A" w:rsidRDefault="000F393A" w:rsidP="00B52D31">
            <w:pPr>
              <w:jc w:val="both"/>
              <w:rPr>
                <w:rFonts w:ascii="Times New Roman" w:hAnsi="Times New Roman"/>
                <w:b/>
                <w:i/>
                <w:sz w:val="20"/>
                <w:szCs w:val="20"/>
                <w:lang w:eastAsia="sk-SK"/>
              </w:rPr>
            </w:pPr>
            <w:r w:rsidRPr="000F393A">
              <w:rPr>
                <w:rFonts w:ascii="Times New Roman" w:hAnsi="Times New Roman"/>
                <w:b/>
                <w:i/>
                <w:sz w:val="20"/>
                <w:szCs w:val="20"/>
                <w:lang w:eastAsia="sk-SK"/>
              </w:rPr>
              <w:lastRenderedPageBreak/>
              <w:t>3.3.2 Nepriame finančné náklady</w:t>
            </w:r>
          </w:p>
          <w:p w:rsidR="000F393A" w:rsidRPr="000F393A" w:rsidRDefault="000F393A" w:rsidP="00B52D31">
            <w:pPr>
              <w:jc w:val="both"/>
              <w:rPr>
                <w:rFonts w:ascii="Times New Roman" w:hAnsi="Times New Roman"/>
                <w:i/>
                <w:sz w:val="20"/>
                <w:szCs w:val="20"/>
                <w:lang w:eastAsia="sk-SK"/>
              </w:rPr>
            </w:pPr>
            <w:r w:rsidRPr="000F393A">
              <w:rPr>
                <w:rFonts w:ascii="Times New Roman" w:hAnsi="Times New Roman"/>
                <w:i/>
                <w:sz w:val="20"/>
                <w:szCs w:val="20"/>
                <w:lang w:eastAsia="sk-SK"/>
              </w:rPr>
              <w:t>Vyžaduje si predkladaný návrh dodatočné náklady na nákup tovarov alebo služieb? Zvyšuje predkladaný návrh náklady súvisiace so zamestnávaním? Ak áno, popíšte a vyčíslite ich. Uveďte tiež spôsob ich výpočtu.</w:t>
            </w:r>
          </w:p>
        </w:tc>
      </w:tr>
      <w:tr w:rsidR="000F393A" w:rsidRPr="000F393A" w:rsidTr="007E5887">
        <w:trPr>
          <w:trHeight w:val="723"/>
        </w:trPr>
        <w:tc>
          <w:tcPr>
            <w:tcW w:w="9212" w:type="dxa"/>
          </w:tcPr>
          <w:p w:rsidR="000F393A" w:rsidRPr="000F393A" w:rsidRDefault="000F393A" w:rsidP="00B52D31">
            <w:pPr>
              <w:jc w:val="both"/>
              <w:rPr>
                <w:rFonts w:ascii="Times New Roman" w:hAnsi="Times New Roman"/>
                <w:sz w:val="24"/>
                <w:szCs w:val="24"/>
                <w:lang w:eastAsia="sk-SK"/>
              </w:rPr>
            </w:pPr>
            <w:r w:rsidRPr="000F393A">
              <w:rPr>
                <w:rFonts w:ascii="Times New Roman" w:hAnsi="Times New Roman"/>
                <w:lang w:eastAsia="sk-SK"/>
              </w:rPr>
              <w:t>V súvislosti s návrhom zákona nedochádza k nepriamym finančným nákladom regulácie.</w:t>
            </w:r>
          </w:p>
        </w:tc>
      </w:tr>
      <w:tr w:rsidR="000F393A" w:rsidRPr="000F393A" w:rsidTr="007E5887">
        <w:tc>
          <w:tcPr>
            <w:tcW w:w="9212" w:type="dxa"/>
          </w:tcPr>
          <w:p w:rsidR="000F393A" w:rsidRPr="000F393A" w:rsidRDefault="000F393A" w:rsidP="00B52D31">
            <w:pPr>
              <w:jc w:val="both"/>
              <w:rPr>
                <w:rFonts w:ascii="Times New Roman" w:hAnsi="Times New Roman"/>
                <w:b/>
                <w:i/>
                <w:sz w:val="20"/>
                <w:szCs w:val="20"/>
                <w:lang w:eastAsia="sk-SK"/>
              </w:rPr>
            </w:pPr>
            <w:r w:rsidRPr="000F393A">
              <w:rPr>
                <w:rFonts w:ascii="Times New Roman" w:hAnsi="Times New Roman"/>
                <w:b/>
                <w:i/>
                <w:sz w:val="20"/>
                <w:szCs w:val="20"/>
                <w:lang w:eastAsia="sk-SK"/>
              </w:rPr>
              <w:t>3.3.3 Administratívne náklady</w:t>
            </w:r>
          </w:p>
          <w:p w:rsidR="000F393A" w:rsidRPr="000F393A" w:rsidRDefault="000F393A" w:rsidP="00B52D31">
            <w:pPr>
              <w:jc w:val="both"/>
              <w:rPr>
                <w:rFonts w:ascii="Times New Roman" w:hAnsi="Times New Roman"/>
                <w:i/>
                <w:sz w:val="20"/>
                <w:szCs w:val="20"/>
                <w:lang w:eastAsia="sk-SK"/>
              </w:rPr>
            </w:pPr>
            <w:r w:rsidRPr="000F393A">
              <w:rPr>
                <w:rFonts w:ascii="Times New Roman" w:hAnsi="Times New Roman"/>
                <w:i/>
                <w:sz w:val="20"/>
                <w:szCs w:val="20"/>
                <w:lang w:eastAsia="sk-SK"/>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0F393A" w:rsidRPr="000F393A" w:rsidTr="007E5887">
        <w:trPr>
          <w:trHeight w:val="3449"/>
        </w:trPr>
        <w:tc>
          <w:tcPr>
            <w:tcW w:w="9212" w:type="dxa"/>
          </w:tcPr>
          <w:p w:rsidR="000F393A" w:rsidRPr="000F393A" w:rsidRDefault="000F393A" w:rsidP="00B52D31">
            <w:pPr>
              <w:spacing w:before="120"/>
              <w:jc w:val="both"/>
              <w:rPr>
                <w:rFonts w:ascii="Times New Roman" w:hAnsi="Times New Roman"/>
                <w:lang w:eastAsia="sk-SK"/>
              </w:rPr>
            </w:pPr>
            <w:r w:rsidRPr="000F393A">
              <w:rPr>
                <w:rFonts w:ascii="Times New Roman" w:hAnsi="Times New Roman"/>
                <w:lang w:eastAsia="sk-SK"/>
              </w:rPr>
              <w:t xml:space="preserve">Návrh zákona rozširuje medzi osoby povinne </w:t>
            </w:r>
            <w:proofErr w:type="spellStart"/>
            <w:r w:rsidRPr="000F393A">
              <w:rPr>
                <w:rFonts w:ascii="Times New Roman" w:hAnsi="Times New Roman"/>
                <w:lang w:eastAsia="sk-SK"/>
              </w:rPr>
              <w:t>prispievajúce</w:t>
            </w:r>
            <w:proofErr w:type="spellEnd"/>
            <w:r w:rsidRPr="000F393A">
              <w:rPr>
                <w:rFonts w:ascii="Times New Roman" w:hAnsi="Times New Roman"/>
                <w:lang w:eastAsia="sk-SK"/>
              </w:rPr>
              <w:t xml:space="preserve"> do registra prevádzkových nákladov aj osoby vykonávajúce nastavovanie alebo iné zásahy v rámci softvéru riadiacej jednotky motorového vozidla, ktorých odhadujeme na Slovensku približne 32 spoločností. Pre tieto osoby vzniknú zvýšené administratívne náklady súvisiace s tým, aby zapísali údaje do registra prevádzkových záznamov. Administratívne náklady na jedného podnikateľa odhadujeme vo výške 6,83 eur a na celé podnikateľské prostredie 218,56 eur. </w:t>
            </w:r>
          </w:p>
          <w:p w:rsidR="000F393A" w:rsidRPr="000F393A" w:rsidRDefault="000F393A" w:rsidP="00B52D31">
            <w:pPr>
              <w:spacing w:before="120"/>
              <w:jc w:val="both"/>
              <w:rPr>
                <w:rFonts w:ascii="Times New Roman" w:hAnsi="Times New Roman"/>
                <w:i/>
                <w:iCs/>
                <w:sz w:val="24"/>
                <w:szCs w:val="24"/>
                <w:lang w:eastAsia="sk-SK"/>
              </w:rPr>
            </w:pPr>
            <w:r w:rsidRPr="000F393A">
              <w:rPr>
                <w:rFonts w:ascii="Times New Roman" w:hAnsi="Times New Roman"/>
                <w:lang w:eastAsia="sk-SK"/>
              </w:rPr>
              <w:t>Návrh zákona zavádza pre držiteľov povolenia na zriadenie stanice technickej kontroly, pracoviska emisnej kontroly alebo pracoviska kontroly originality, že bude povinný do 18 mesiacov preukázať schvaľovaciemu orgánu, že má právoplatné stavebné povolenie na stavbu. V súvislosti s tým vzniknú držiteľovi povolenia administratívne náklady vo výške 3,41 eur. Nových držiteľov povolení sa odhaduje 30, čo predstavuje náklady na celé podnikateľské prostredie vo výške 102,3 eur.</w:t>
            </w:r>
          </w:p>
        </w:tc>
      </w:tr>
      <w:tr w:rsidR="000F393A" w:rsidRPr="000F393A" w:rsidTr="007E5887">
        <w:trPr>
          <w:trHeight w:val="2318"/>
        </w:trPr>
        <w:tc>
          <w:tcPr>
            <w:tcW w:w="9212" w:type="dxa"/>
          </w:tcPr>
          <w:p w:rsidR="000F393A" w:rsidRPr="000F393A" w:rsidRDefault="000F393A" w:rsidP="00B52D31">
            <w:pPr>
              <w:jc w:val="both"/>
              <w:rPr>
                <w:rFonts w:ascii="Times New Roman" w:hAnsi="Times New Roman"/>
                <w:i/>
                <w:sz w:val="20"/>
                <w:szCs w:val="20"/>
                <w:lang w:eastAsia="sk-SK"/>
              </w:rPr>
            </w:pPr>
            <w:r w:rsidRPr="000F393A">
              <w:rPr>
                <w:rFonts w:ascii="Times New Roman" w:hAnsi="Times New Roman"/>
                <w:b/>
                <w:i/>
                <w:sz w:val="20"/>
                <w:szCs w:val="20"/>
                <w:lang w:eastAsia="sk-SK"/>
              </w:rPr>
              <w:t>3.3.4 Súhrnná tabuľka nákladov regulácie</w:t>
            </w:r>
          </w:p>
          <w:p w:rsidR="000F393A" w:rsidRPr="000F393A" w:rsidRDefault="000F393A" w:rsidP="00B52D31">
            <w:pPr>
              <w:jc w:val="both"/>
              <w:rPr>
                <w:rFonts w:ascii="Times New Roman" w:hAnsi="Times New Roman"/>
                <w:i/>
                <w:sz w:val="20"/>
                <w:szCs w:val="20"/>
                <w:lang w:eastAsia="sk-SK"/>
              </w:rPr>
            </w:pPr>
          </w:p>
          <w:tbl>
            <w:tblPr>
              <w:tblStyle w:val="Mriekatabuky1"/>
              <w:tblW w:w="0" w:type="auto"/>
              <w:tblLook w:val="04A0" w:firstRow="1" w:lastRow="0" w:firstColumn="1" w:lastColumn="0" w:noHBand="0" w:noVBand="1"/>
            </w:tblPr>
            <w:tblGrid>
              <w:gridCol w:w="2949"/>
              <w:gridCol w:w="2940"/>
              <w:gridCol w:w="2945"/>
            </w:tblGrid>
            <w:tr w:rsidR="000F393A" w:rsidRPr="000F393A" w:rsidTr="007E5887">
              <w:tc>
                <w:tcPr>
                  <w:tcW w:w="2949" w:type="dxa"/>
                  <w:tcBorders>
                    <w:top w:val="single" w:sz="4" w:space="0" w:color="auto"/>
                    <w:left w:val="single" w:sz="4" w:space="0" w:color="auto"/>
                    <w:bottom w:val="single" w:sz="4" w:space="0" w:color="auto"/>
                    <w:right w:val="single" w:sz="4" w:space="0" w:color="auto"/>
                  </w:tcBorders>
                </w:tcPr>
                <w:p w:rsidR="000F393A" w:rsidRPr="000F393A" w:rsidRDefault="000F393A" w:rsidP="00B52D31">
                  <w:pPr>
                    <w:jc w:val="both"/>
                    <w:rPr>
                      <w:rFonts w:ascii="Times New Roman" w:hAnsi="Times New Roman"/>
                      <w:i/>
                      <w:sz w:val="20"/>
                      <w:szCs w:val="20"/>
                      <w:lang w:eastAsia="sk-SK"/>
                    </w:rPr>
                  </w:pPr>
                </w:p>
              </w:tc>
              <w:tc>
                <w:tcPr>
                  <w:tcW w:w="2941" w:type="dxa"/>
                  <w:tcBorders>
                    <w:top w:val="single" w:sz="4" w:space="0" w:color="auto"/>
                    <w:left w:val="single" w:sz="4" w:space="0" w:color="auto"/>
                    <w:bottom w:val="single" w:sz="4" w:space="0" w:color="auto"/>
                    <w:right w:val="single" w:sz="4" w:space="0" w:color="auto"/>
                  </w:tcBorders>
                </w:tcPr>
                <w:p w:rsidR="000F393A" w:rsidRPr="000F393A" w:rsidRDefault="000F393A" w:rsidP="00B52D31">
                  <w:pPr>
                    <w:jc w:val="both"/>
                    <w:rPr>
                      <w:rFonts w:ascii="Times New Roman" w:hAnsi="Times New Roman"/>
                      <w:i/>
                      <w:sz w:val="20"/>
                      <w:szCs w:val="20"/>
                      <w:lang w:eastAsia="sk-SK"/>
                    </w:rPr>
                  </w:pPr>
                  <w:r w:rsidRPr="000F393A">
                    <w:rPr>
                      <w:rFonts w:ascii="Times New Roman" w:hAnsi="Times New Roman"/>
                      <w:i/>
                      <w:sz w:val="20"/>
                      <w:szCs w:val="20"/>
                      <w:lang w:eastAsia="sk-SK"/>
                    </w:rPr>
                    <w:t>Náklady na 1 podnikateľa</w:t>
                  </w:r>
                </w:p>
              </w:tc>
              <w:tc>
                <w:tcPr>
                  <w:tcW w:w="2946" w:type="dxa"/>
                  <w:tcBorders>
                    <w:top w:val="single" w:sz="4" w:space="0" w:color="auto"/>
                    <w:left w:val="single" w:sz="4" w:space="0" w:color="auto"/>
                    <w:bottom w:val="single" w:sz="4" w:space="0" w:color="auto"/>
                    <w:right w:val="single" w:sz="4" w:space="0" w:color="auto"/>
                  </w:tcBorders>
                </w:tcPr>
                <w:p w:rsidR="000F393A" w:rsidRPr="000F393A" w:rsidRDefault="000F393A" w:rsidP="00B52D31">
                  <w:pPr>
                    <w:jc w:val="both"/>
                    <w:rPr>
                      <w:rFonts w:ascii="Times New Roman" w:hAnsi="Times New Roman"/>
                      <w:i/>
                      <w:sz w:val="20"/>
                      <w:szCs w:val="20"/>
                      <w:lang w:eastAsia="sk-SK"/>
                    </w:rPr>
                  </w:pPr>
                  <w:r w:rsidRPr="000F393A">
                    <w:rPr>
                      <w:rFonts w:ascii="Times New Roman" w:hAnsi="Times New Roman"/>
                      <w:i/>
                      <w:sz w:val="20"/>
                      <w:szCs w:val="20"/>
                      <w:lang w:eastAsia="sk-SK"/>
                    </w:rPr>
                    <w:t>Náklady na celé podnikateľské prostredie</w:t>
                  </w:r>
                </w:p>
              </w:tc>
            </w:tr>
            <w:tr w:rsidR="000F393A" w:rsidRPr="000F393A" w:rsidTr="007E5887">
              <w:tc>
                <w:tcPr>
                  <w:tcW w:w="2949" w:type="dxa"/>
                  <w:tcBorders>
                    <w:top w:val="single" w:sz="4" w:space="0" w:color="auto"/>
                    <w:left w:val="single" w:sz="4" w:space="0" w:color="auto"/>
                    <w:bottom w:val="single" w:sz="4" w:space="0" w:color="auto"/>
                    <w:right w:val="single" w:sz="4" w:space="0" w:color="auto"/>
                  </w:tcBorders>
                </w:tcPr>
                <w:p w:rsidR="000F393A" w:rsidRPr="000F393A" w:rsidRDefault="000F393A" w:rsidP="00B52D31">
                  <w:pPr>
                    <w:jc w:val="both"/>
                    <w:rPr>
                      <w:rFonts w:ascii="Times New Roman" w:hAnsi="Times New Roman"/>
                      <w:i/>
                      <w:sz w:val="20"/>
                      <w:szCs w:val="20"/>
                      <w:lang w:eastAsia="sk-SK"/>
                    </w:rPr>
                  </w:pPr>
                  <w:r w:rsidRPr="000F393A">
                    <w:rPr>
                      <w:rFonts w:ascii="Times New Roman" w:hAnsi="Times New Roman"/>
                      <w:i/>
                      <w:sz w:val="20"/>
                      <w:szCs w:val="20"/>
                      <w:lang w:eastAsia="sk-SK"/>
                    </w:rPr>
                    <w:t>Priame finančné náklady</w:t>
                  </w:r>
                </w:p>
              </w:tc>
              <w:tc>
                <w:tcPr>
                  <w:tcW w:w="2941" w:type="dxa"/>
                  <w:tcBorders>
                    <w:top w:val="single" w:sz="4" w:space="0" w:color="auto"/>
                    <w:left w:val="single" w:sz="4" w:space="0" w:color="auto"/>
                    <w:bottom w:val="single" w:sz="4" w:space="0" w:color="auto"/>
                    <w:right w:val="single" w:sz="4" w:space="0" w:color="auto"/>
                  </w:tcBorders>
                </w:tcPr>
                <w:p w:rsidR="000F393A" w:rsidRPr="000F393A" w:rsidRDefault="000F393A" w:rsidP="00B52D31">
                  <w:pPr>
                    <w:jc w:val="both"/>
                    <w:rPr>
                      <w:rFonts w:ascii="Times New Roman" w:hAnsi="Times New Roman"/>
                      <w:i/>
                      <w:sz w:val="20"/>
                      <w:szCs w:val="20"/>
                      <w:lang w:eastAsia="sk-SK"/>
                    </w:rPr>
                  </w:pPr>
                  <w:r w:rsidRPr="000F393A">
                    <w:rPr>
                      <w:rFonts w:ascii="Times New Roman" w:hAnsi="Times New Roman"/>
                      <w:i/>
                      <w:sz w:val="20"/>
                      <w:szCs w:val="20"/>
                      <w:lang w:eastAsia="sk-SK"/>
                    </w:rPr>
                    <w:t>60 eur</w:t>
                  </w:r>
                </w:p>
              </w:tc>
              <w:tc>
                <w:tcPr>
                  <w:tcW w:w="2946" w:type="dxa"/>
                  <w:tcBorders>
                    <w:top w:val="single" w:sz="4" w:space="0" w:color="auto"/>
                    <w:left w:val="single" w:sz="4" w:space="0" w:color="auto"/>
                    <w:bottom w:val="single" w:sz="4" w:space="0" w:color="auto"/>
                    <w:right w:val="single" w:sz="4" w:space="0" w:color="auto"/>
                  </w:tcBorders>
                </w:tcPr>
                <w:p w:rsidR="000F393A" w:rsidRPr="000F393A" w:rsidRDefault="000F393A" w:rsidP="00B52D31">
                  <w:pPr>
                    <w:jc w:val="both"/>
                    <w:rPr>
                      <w:rFonts w:ascii="Times New Roman" w:hAnsi="Times New Roman"/>
                      <w:i/>
                      <w:sz w:val="20"/>
                      <w:szCs w:val="20"/>
                      <w:lang w:eastAsia="sk-SK"/>
                    </w:rPr>
                  </w:pPr>
                  <w:r w:rsidRPr="000F393A">
                    <w:rPr>
                      <w:rFonts w:ascii="Times New Roman" w:hAnsi="Times New Roman"/>
                      <w:i/>
                      <w:sz w:val="20"/>
                      <w:szCs w:val="20"/>
                      <w:lang w:eastAsia="sk-SK"/>
                    </w:rPr>
                    <w:t>600 eur</w:t>
                  </w:r>
                </w:p>
              </w:tc>
            </w:tr>
            <w:tr w:rsidR="000F393A" w:rsidRPr="000F393A" w:rsidTr="007E5887">
              <w:tc>
                <w:tcPr>
                  <w:tcW w:w="2949" w:type="dxa"/>
                  <w:tcBorders>
                    <w:top w:val="single" w:sz="4" w:space="0" w:color="auto"/>
                    <w:left w:val="single" w:sz="4" w:space="0" w:color="auto"/>
                    <w:bottom w:val="single" w:sz="4" w:space="0" w:color="auto"/>
                    <w:right w:val="single" w:sz="4" w:space="0" w:color="auto"/>
                  </w:tcBorders>
                </w:tcPr>
                <w:p w:rsidR="000F393A" w:rsidRPr="000F393A" w:rsidRDefault="000F393A" w:rsidP="00B52D31">
                  <w:pPr>
                    <w:jc w:val="both"/>
                    <w:rPr>
                      <w:rFonts w:ascii="Times New Roman" w:hAnsi="Times New Roman"/>
                      <w:i/>
                      <w:sz w:val="20"/>
                      <w:szCs w:val="20"/>
                      <w:lang w:eastAsia="sk-SK"/>
                    </w:rPr>
                  </w:pPr>
                  <w:r w:rsidRPr="000F393A">
                    <w:rPr>
                      <w:rFonts w:ascii="Times New Roman" w:hAnsi="Times New Roman"/>
                      <w:i/>
                      <w:sz w:val="20"/>
                      <w:szCs w:val="20"/>
                      <w:lang w:eastAsia="sk-SK"/>
                    </w:rPr>
                    <w:t xml:space="preserve">Nepriame finančné náklady </w:t>
                  </w:r>
                </w:p>
              </w:tc>
              <w:tc>
                <w:tcPr>
                  <w:tcW w:w="2941" w:type="dxa"/>
                  <w:tcBorders>
                    <w:top w:val="single" w:sz="4" w:space="0" w:color="auto"/>
                    <w:left w:val="single" w:sz="4" w:space="0" w:color="auto"/>
                    <w:bottom w:val="single" w:sz="4" w:space="0" w:color="auto"/>
                    <w:right w:val="single" w:sz="4" w:space="0" w:color="auto"/>
                  </w:tcBorders>
                </w:tcPr>
                <w:p w:rsidR="000F393A" w:rsidRPr="000F393A" w:rsidRDefault="000F393A" w:rsidP="00B52D31">
                  <w:pPr>
                    <w:jc w:val="both"/>
                    <w:rPr>
                      <w:rFonts w:ascii="Times New Roman" w:hAnsi="Times New Roman"/>
                      <w:i/>
                      <w:sz w:val="20"/>
                      <w:szCs w:val="20"/>
                      <w:lang w:eastAsia="sk-SK"/>
                    </w:rPr>
                  </w:pPr>
                </w:p>
              </w:tc>
              <w:tc>
                <w:tcPr>
                  <w:tcW w:w="2946" w:type="dxa"/>
                  <w:tcBorders>
                    <w:top w:val="single" w:sz="4" w:space="0" w:color="auto"/>
                    <w:left w:val="single" w:sz="4" w:space="0" w:color="auto"/>
                    <w:bottom w:val="single" w:sz="4" w:space="0" w:color="auto"/>
                    <w:right w:val="single" w:sz="4" w:space="0" w:color="auto"/>
                  </w:tcBorders>
                </w:tcPr>
                <w:p w:rsidR="000F393A" w:rsidRPr="000F393A" w:rsidRDefault="000F393A" w:rsidP="00B52D31">
                  <w:pPr>
                    <w:jc w:val="both"/>
                    <w:rPr>
                      <w:rFonts w:ascii="Times New Roman" w:hAnsi="Times New Roman"/>
                      <w:i/>
                      <w:sz w:val="20"/>
                      <w:szCs w:val="20"/>
                      <w:lang w:eastAsia="sk-SK"/>
                    </w:rPr>
                  </w:pPr>
                </w:p>
              </w:tc>
            </w:tr>
            <w:tr w:rsidR="000F393A" w:rsidRPr="000F393A" w:rsidTr="007E5887">
              <w:tc>
                <w:tcPr>
                  <w:tcW w:w="2949" w:type="dxa"/>
                  <w:tcBorders>
                    <w:top w:val="single" w:sz="4" w:space="0" w:color="auto"/>
                    <w:left w:val="single" w:sz="4" w:space="0" w:color="auto"/>
                    <w:bottom w:val="single" w:sz="4" w:space="0" w:color="auto"/>
                    <w:right w:val="single" w:sz="4" w:space="0" w:color="auto"/>
                  </w:tcBorders>
                </w:tcPr>
                <w:p w:rsidR="000F393A" w:rsidRPr="000F393A" w:rsidRDefault="000F393A" w:rsidP="00B52D31">
                  <w:pPr>
                    <w:jc w:val="both"/>
                    <w:rPr>
                      <w:rFonts w:ascii="Times New Roman" w:hAnsi="Times New Roman"/>
                      <w:i/>
                      <w:sz w:val="20"/>
                      <w:szCs w:val="20"/>
                      <w:lang w:eastAsia="sk-SK"/>
                    </w:rPr>
                  </w:pPr>
                  <w:r w:rsidRPr="000F393A">
                    <w:rPr>
                      <w:rFonts w:ascii="Times New Roman" w:hAnsi="Times New Roman"/>
                      <w:i/>
                      <w:sz w:val="20"/>
                      <w:szCs w:val="20"/>
                      <w:lang w:eastAsia="sk-SK"/>
                    </w:rPr>
                    <w:t>Administratívne náklady</w:t>
                  </w:r>
                </w:p>
              </w:tc>
              <w:tc>
                <w:tcPr>
                  <w:tcW w:w="2941" w:type="dxa"/>
                  <w:tcBorders>
                    <w:top w:val="single" w:sz="4" w:space="0" w:color="auto"/>
                    <w:left w:val="single" w:sz="4" w:space="0" w:color="auto"/>
                    <w:bottom w:val="single" w:sz="4" w:space="0" w:color="auto"/>
                    <w:right w:val="single" w:sz="4" w:space="0" w:color="auto"/>
                  </w:tcBorders>
                </w:tcPr>
                <w:p w:rsidR="000F393A" w:rsidRPr="000F393A" w:rsidRDefault="000F393A" w:rsidP="00B52D31">
                  <w:pPr>
                    <w:jc w:val="both"/>
                    <w:rPr>
                      <w:rFonts w:ascii="Times New Roman" w:hAnsi="Times New Roman"/>
                      <w:i/>
                      <w:sz w:val="20"/>
                      <w:szCs w:val="20"/>
                      <w:lang w:eastAsia="sk-SK"/>
                    </w:rPr>
                  </w:pPr>
                  <w:r w:rsidRPr="000F393A">
                    <w:rPr>
                      <w:rFonts w:ascii="Times New Roman" w:hAnsi="Times New Roman"/>
                      <w:i/>
                      <w:sz w:val="20"/>
                      <w:szCs w:val="20"/>
                      <w:lang w:eastAsia="sk-SK"/>
                    </w:rPr>
                    <w:t>10,24</w:t>
                  </w:r>
                </w:p>
              </w:tc>
              <w:tc>
                <w:tcPr>
                  <w:tcW w:w="2946" w:type="dxa"/>
                  <w:tcBorders>
                    <w:top w:val="single" w:sz="4" w:space="0" w:color="auto"/>
                    <w:left w:val="single" w:sz="4" w:space="0" w:color="auto"/>
                    <w:bottom w:val="single" w:sz="4" w:space="0" w:color="auto"/>
                    <w:right w:val="single" w:sz="4" w:space="0" w:color="auto"/>
                  </w:tcBorders>
                </w:tcPr>
                <w:p w:rsidR="000F393A" w:rsidRPr="000F393A" w:rsidRDefault="000F393A" w:rsidP="00B52D31">
                  <w:pPr>
                    <w:jc w:val="both"/>
                    <w:rPr>
                      <w:rFonts w:ascii="Times New Roman" w:hAnsi="Times New Roman"/>
                      <w:i/>
                      <w:sz w:val="20"/>
                      <w:szCs w:val="20"/>
                      <w:lang w:eastAsia="sk-SK"/>
                    </w:rPr>
                  </w:pPr>
                  <w:r w:rsidRPr="000F393A">
                    <w:rPr>
                      <w:rFonts w:ascii="Times New Roman" w:hAnsi="Times New Roman"/>
                      <w:i/>
                      <w:sz w:val="20"/>
                      <w:szCs w:val="20"/>
                      <w:lang w:eastAsia="sk-SK"/>
                    </w:rPr>
                    <w:t>320,86</w:t>
                  </w:r>
                </w:p>
              </w:tc>
            </w:tr>
            <w:tr w:rsidR="000F393A" w:rsidRPr="000F393A" w:rsidTr="007E5887">
              <w:tc>
                <w:tcPr>
                  <w:tcW w:w="2949" w:type="dxa"/>
                  <w:tcBorders>
                    <w:top w:val="single" w:sz="4" w:space="0" w:color="auto"/>
                    <w:left w:val="single" w:sz="4" w:space="0" w:color="auto"/>
                    <w:bottom w:val="single" w:sz="4" w:space="0" w:color="auto"/>
                    <w:right w:val="single" w:sz="4" w:space="0" w:color="auto"/>
                  </w:tcBorders>
                </w:tcPr>
                <w:p w:rsidR="000F393A" w:rsidRPr="000F393A" w:rsidRDefault="000F393A" w:rsidP="00B52D31">
                  <w:pPr>
                    <w:jc w:val="both"/>
                    <w:rPr>
                      <w:rFonts w:ascii="Times New Roman" w:hAnsi="Times New Roman"/>
                      <w:b/>
                      <w:i/>
                      <w:sz w:val="20"/>
                      <w:szCs w:val="20"/>
                      <w:lang w:eastAsia="sk-SK"/>
                    </w:rPr>
                  </w:pPr>
                  <w:r w:rsidRPr="000F393A">
                    <w:rPr>
                      <w:rFonts w:ascii="Times New Roman" w:hAnsi="Times New Roman"/>
                      <w:b/>
                      <w:i/>
                      <w:sz w:val="20"/>
                      <w:szCs w:val="20"/>
                      <w:lang w:eastAsia="sk-SK"/>
                    </w:rPr>
                    <w:t>Celkové náklady regulácie</w:t>
                  </w:r>
                </w:p>
              </w:tc>
              <w:tc>
                <w:tcPr>
                  <w:tcW w:w="2941" w:type="dxa"/>
                  <w:tcBorders>
                    <w:top w:val="single" w:sz="4" w:space="0" w:color="auto"/>
                    <w:left w:val="single" w:sz="4" w:space="0" w:color="auto"/>
                    <w:bottom w:val="single" w:sz="4" w:space="0" w:color="auto"/>
                    <w:right w:val="single" w:sz="4" w:space="0" w:color="auto"/>
                  </w:tcBorders>
                </w:tcPr>
                <w:p w:rsidR="000F393A" w:rsidRPr="000F393A" w:rsidRDefault="000F393A" w:rsidP="00B52D31">
                  <w:pPr>
                    <w:jc w:val="both"/>
                    <w:rPr>
                      <w:rFonts w:ascii="Times New Roman" w:hAnsi="Times New Roman"/>
                      <w:b/>
                      <w:i/>
                      <w:sz w:val="20"/>
                      <w:szCs w:val="20"/>
                      <w:lang w:eastAsia="sk-SK"/>
                    </w:rPr>
                  </w:pPr>
                  <w:r w:rsidRPr="000F393A">
                    <w:rPr>
                      <w:rFonts w:ascii="Times New Roman" w:hAnsi="Times New Roman"/>
                      <w:b/>
                      <w:i/>
                      <w:sz w:val="20"/>
                      <w:szCs w:val="20"/>
                      <w:lang w:eastAsia="sk-SK"/>
                    </w:rPr>
                    <w:t>70,24</w:t>
                  </w:r>
                </w:p>
              </w:tc>
              <w:tc>
                <w:tcPr>
                  <w:tcW w:w="2946" w:type="dxa"/>
                  <w:tcBorders>
                    <w:top w:val="single" w:sz="4" w:space="0" w:color="auto"/>
                    <w:left w:val="single" w:sz="4" w:space="0" w:color="auto"/>
                    <w:bottom w:val="single" w:sz="4" w:space="0" w:color="auto"/>
                    <w:right w:val="single" w:sz="4" w:space="0" w:color="auto"/>
                  </w:tcBorders>
                </w:tcPr>
                <w:p w:rsidR="000F393A" w:rsidRPr="000F393A" w:rsidRDefault="000F393A" w:rsidP="00B52D31">
                  <w:pPr>
                    <w:jc w:val="both"/>
                    <w:rPr>
                      <w:rFonts w:ascii="Times New Roman" w:hAnsi="Times New Roman"/>
                      <w:b/>
                      <w:i/>
                      <w:sz w:val="20"/>
                      <w:szCs w:val="20"/>
                      <w:lang w:eastAsia="sk-SK"/>
                    </w:rPr>
                  </w:pPr>
                  <w:r w:rsidRPr="000F393A">
                    <w:rPr>
                      <w:rFonts w:ascii="Times New Roman" w:hAnsi="Times New Roman"/>
                      <w:b/>
                      <w:i/>
                      <w:sz w:val="20"/>
                      <w:szCs w:val="20"/>
                      <w:lang w:eastAsia="sk-SK"/>
                    </w:rPr>
                    <w:t>920,86</w:t>
                  </w:r>
                </w:p>
              </w:tc>
            </w:tr>
          </w:tbl>
          <w:p w:rsidR="000F393A" w:rsidRPr="000F393A" w:rsidRDefault="000F393A" w:rsidP="00B52D31">
            <w:pPr>
              <w:jc w:val="both"/>
              <w:rPr>
                <w:rFonts w:ascii="Times New Roman" w:hAnsi="Times New Roman"/>
                <w:i/>
                <w:sz w:val="20"/>
                <w:szCs w:val="20"/>
                <w:lang w:eastAsia="sk-SK"/>
              </w:rPr>
            </w:pPr>
            <w:r w:rsidRPr="000F393A">
              <w:rPr>
                <w:rFonts w:ascii="Times New Roman" w:hAnsi="Times New Roman"/>
                <w:lang w:eastAsia="sk-SK"/>
              </w:rPr>
              <w:t xml:space="preserve">Vyššie uvedené finančné dopady sú orientačného charakteru. Ceny sú uvedené bez DPH. </w:t>
            </w:r>
          </w:p>
        </w:tc>
      </w:tr>
      <w:tr w:rsidR="000F393A" w:rsidRPr="000F393A" w:rsidTr="000F393A">
        <w:tc>
          <w:tcPr>
            <w:tcW w:w="9212" w:type="dxa"/>
            <w:shd w:val="clear" w:color="auto" w:fill="D9D9D9"/>
          </w:tcPr>
          <w:p w:rsidR="000F393A" w:rsidRPr="000F393A" w:rsidRDefault="000F393A" w:rsidP="00B52D31">
            <w:pPr>
              <w:jc w:val="both"/>
              <w:rPr>
                <w:rFonts w:ascii="Times New Roman" w:hAnsi="Times New Roman"/>
                <w:b/>
                <w:sz w:val="24"/>
                <w:szCs w:val="20"/>
                <w:lang w:eastAsia="sk-SK"/>
              </w:rPr>
            </w:pPr>
            <w:r w:rsidRPr="000F393A">
              <w:rPr>
                <w:rFonts w:ascii="Times New Roman" w:hAnsi="Times New Roman"/>
                <w:b/>
                <w:sz w:val="24"/>
                <w:szCs w:val="20"/>
                <w:lang w:eastAsia="sk-SK"/>
              </w:rPr>
              <w:t>3.4 Konkurencieschopnosť a správanie sa podnikov na trhu</w:t>
            </w:r>
          </w:p>
          <w:p w:rsidR="000F393A" w:rsidRPr="000F393A" w:rsidRDefault="000F393A" w:rsidP="00B52D31">
            <w:pPr>
              <w:jc w:val="both"/>
              <w:rPr>
                <w:rFonts w:ascii="Times New Roman" w:hAnsi="Times New Roman"/>
                <w:sz w:val="20"/>
                <w:szCs w:val="20"/>
                <w:lang w:eastAsia="sk-SK"/>
              </w:rPr>
            </w:pPr>
            <w:r w:rsidRPr="000F393A">
              <w:rPr>
                <w:rFonts w:ascii="Times New Roman" w:hAnsi="Times New Roman"/>
                <w:b/>
                <w:sz w:val="24"/>
                <w:szCs w:val="20"/>
                <w:lang w:eastAsia="sk-SK"/>
              </w:rPr>
              <w:t xml:space="preserve">       </w:t>
            </w:r>
            <w:r w:rsidRPr="000F393A">
              <w:rPr>
                <w:rFonts w:ascii="Times New Roman" w:hAnsi="Times New Roman"/>
                <w:sz w:val="24"/>
                <w:szCs w:val="20"/>
                <w:lang w:eastAsia="sk-SK"/>
              </w:rPr>
              <w:t xml:space="preserve">- </w:t>
            </w:r>
            <w:r w:rsidRPr="000F393A">
              <w:rPr>
                <w:rFonts w:ascii="Times New Roman" w:hAnsi="Times New Roman"/>
                <w:b/>
                <w:sz w:val="24"/>
                <w:szCs w:val="20"/>
                <w:lang w:eastAsia="sk-SK"/>
              </w:rPr>
              <w:t>z toho MSP</w:t>
            </w:r>
          </w:p>
        </w:tc>
      </w:tr>
      <w:tr w:rsidR="000F393A" w:rsidRPr="000F393A" w:rsidTr="007E5887">
        <w:tc>
          <w:tcPr>
            <w:tcW w:w="9212" w:type="dxa"/>
          </w:tcPr>
          <w:p w:rsidR="000F393A" w:rsidRPr="000F393A" w:rsidRDefault="000F393A" w:rsidP="00B52D31">
            <w:pPr>
              <w:jc w:val="both"/>
              <w:rPr>
                <w:rFonts w:ascii="Times New Roman" w:hAnsi="Times New Roman"/>
                <w:i/>
                <w:sz w:val="20"/>
                <w:szCs w:val="20"/>
                <w:lang w:eastAsia="sk-SK"/>
              </w:rPr>
            </w:pPr>
            <w:r w:rsidRPr="000F393A">
              <w:rPr>
                <w:rFonts w:ascii="Times New Roman" w:hAnsi="Times New Roman"/>
                <w:i/>
                <w:sz w:val="20"/>
                <w:szCs w:val="20"/>
                <w:lang w:eastAsia="sk-SK"/>
              </w:rPr>
              <w:t xml:space="preserve">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w:t>
            </w:r>
            <w:proofErr w:type="spellStart"/>
            <w:r w:rsidRPr="000F393A">
              <w:rPr>
                <w:rFonts w:ascii="Times New Roman" w:hAnsi="Times New Roman"/>
                <w:i/>
                <w:sz w:val="20"/>
                <w:szCs w:val="20"/>
                <w:lang w:eastAsia="sk-SK"/>
              </w:rPr>
              <w:t>mikro</w:t>
            </w:r>
            <w:proofErr w:type="spellEnd"/>
            <w:r w:rsidRPr="000F393A">
              <w:rPr>
                <w:rFonts w:ascii="Times New Roman" w:hAnsi="Times New Roman"/>
                <w:i/>
                <w:sz w:val="20"/>
                <w:szCs w:val="20"/>
                <w:lang w:eastAsia="sk-SK"/>
              </w:rPr>
              <w:t>, malé a stredné podniky tzv. MSP)? Ak áno, popíšte.</w:t>
            </w:r>
          </w:p>
          <w:p w:rsidR="000F393A" w:rsidRPr="000F393A" w:rsidRDefault="000F393A" w:rsidP="00B52D31">
            <w:pPr>
              <w:jc w:val="both"/>
              <w:rPr>
                <w:rFonts w:ascii="Times New Roman" w:hAnsi="Times New Roman"/>
                <w:i/>
                <w:sz w:val="20"/>
                <w:szCs w:val="20"/>
                <w:lang w:eastAsia="sk-SK"/>
              </w:rPr>
            </w:pPr>
            <w:r w:rsidRPr="000F393A">
              <w:rPr>
                <w:rFonts w:ascii="Times New Roman" w:hAnsi="Times New Roman"/>
                <w:i/>
                <w:sz w:val="20"/>
                <w:szCs w:val="20"/>
                <w:lang w:eastAsia="sk-SK"/>
              </w:rPr>
              <w:t>Aký vplyv bude mať navrhovaná zmena na obchodné bariéry? Bude mať vplyv na vyvolanie cezhraničných investícií (príliv /odliv zahraničných investícií resp. uplatnenie slovenských podnikov na zahraničných trhoch)? Ak áno, popíšte.</w:t>
            </w:r>
          </w:p>
          <w:p w:rsidR="000F393A" w:rsidRPr="000F393A" w:rsidRDefault="000F393A" w:rsidP="00B52D31">
            <w:pPr>
              <w:jc w:val="both"/>
              <w:rPr>
                <w:rFonts w:ascii="Times New Roman" w:hAnsi="Times New Roman"/>
                <w:i/>
                <w:sz w:val="20"/>
                <w:szCs w:val="20"/>
                <w:lang w:eastAsia="sk-SK"/>
              </w:rPr>
            </w:pPr>
            <w:r w:rsidRPr="000F393A">
              <w:rPr>
                <w:rFonts w:ascii="Times New Roman" w:hAnsi="Times New Roman"/>
                <w:i/>
                <w:sz w:val="20"/>
                <w:szCs w:val="20"/>
                <w:lang w:eastAsia="sk-SK"/>
              </w:rPr>
              <w:t>Ako ovplyvní cenu alebo dostupnosť základných zdrojov (suroviny, mechanizmy, pracovná sila, energie atď.)?</w:t>
            </w:r>
          </w:p>
          <w:p w:rsidR="000F393A" w:rsidRPr="000F393A" w:rsidRDefault="000F393A" w:rsidP="00B52D31">
            <w:pPr>
              <w:jc w:val="both"/>
              <w:rPr>
                <w:rFonts w:ascii="Times New Roman" w:hAnsi="Times New Roman"/>
                <w:i/>
                <w:sz w:val="20"/>
                <w:szCs w:val="20"/>
                <w:lang w:eastAsia="sk-SK"/>
              </w:rPr>
            </w:pPr>
            <w:r w:rsidRPr="000F393A">
              <w:rPr>
                <w:rFonts w:ascii="Times New Roman" w:hAnsi="Times New Roman"/>
                <w:i/>
                <w:sz w:val="20"/>
                <w:szCs w:val="20"/>
                <w:lang w:eastAsia="sk-SK"/>
              </w:rPr>
              <w:t>Ovplyvňuje prístup k financiám? Ak áno, ako?</w:t>
            </w:r>
          </w:p>
        </w:tc>
      </w:tr>
      <w:tr w:rsidR="000F393A" w:rsidRPr="000F393A" w:rsidTr="007E5887">
        <w:trPr>
          <w:trHeight w:val="2218"/>
        </w:trPr>
        <w:tc>
          <w:tcPr>
            <w:tcW w:w="9212" w:type="dxa"/>
          </w:tcPr>
          <w:p w:rsidR="000F393A" w:rsidRPr="000F393A" w:rsidRDefault="000F393A" w:rsidP="00B52D31">
            <w:pPr>
              <w:jc w:val="both"/>
              <w:rPr>
                <w:rFonts w:ascii="Times New Roman" w:hAnsi="Times New Roman"/>
                <w:lang w:eastAsia="sk-SK"/>
              </w:rPr>
            </w:pPr>
            <w:r w:rsidRPr="000F393A">
              <w:rPr>
                <w:rFonts w:ascii="Times New Roman" w:hAnsi="Times New Roman"/>
                <w:lang w:eastAsia="sk-SK"/>
              </w:rPr>
              <w:lastRenderedPageBreak/>
              <w:t xml:space="preserve">Návrhom zákona nedochádza k vytváraniu bariér pre vstup na trh a nejde o prísnejšiu reguláciu. Zároveň návrh zákona nebude mať vplyv na obchodné bariéry, ani vplyv na vyvolanie cezhraničných investícií, ani na cenu a dostupnosť služieb. Návrh zákona nevytvára nové možnosti financovania aktivít. </w:t>
            </w:r>
          </w:p>
          <w:p w:rsidR="000F393A" w:rsidRPr="000F393A" w:rsidRDefault="000F393A" w:rsidP="00B52D31">
            <w:pPr>
              <w:jc w:val="both"/>
              <w:rPr>
                <w:rFonts w:ascii="Times New Roman" w:hAnsi="Times New Roman"/>
                <w:lang w:eastAsia="sk-SK"/>
              </w:rPr>
            </w:pPr>
            <w:r w:rsidRPr="000F393A">
              <w:rPr>
                <w:rFonts w:ascii="Times New Roman" w:hAnsi="Times New Roman"/>
                <w:lang w:eastAsia="sk-SK"/>
              </w:rPr>
              <w:t>Návrhom zákona dôjde k prehodnoteniu parametrov týkajúcich sa povolenia zriadenia stanice technickej kontroly nad rámec existujúcej siete, ktoré vychádza z dát z celoštátneho informačného systému technických kontrol za roky 2019 a 2020, čím môže na trhu vzniknúť viacero subjektov poskytujúcich služby technickej kontroly.</w:t>
            </w:r>
          </w:p>
        </w:tc>
      </w:tr>
      <w:tr w:rsidR="000F393A" w:rsidRPr="000F393A" w:rsidTr="000F393A">
        <w:tc>
          <w:tcPr>
            <w:tcW w:w="9212" w:type="dxa"/>
            <w:shd w:val="clear" w:color="auto" w:fill="D9D9D9"/>
          </w:tcPr>
          <w:p w:rsidR="000F393A" w:rsidRPr="000F393A" w:rsidRDefault="000F393A" w:rsidP="00B52D31">
            <w:pPr>
              <w:jc w:val="both"/>
              <w:rPr>
                <w:rFonts w:ascii="Times New Roman" w:hAnsi="Times New Roman"/>
                <w:b/>
                <w:sz w:val="24"/>
                <w:szCs w:val="20"/>
                <w:lang w:eastAsia="sk-SK"/>
              </w:rPr>
            </w:pPr>
            <w:r w:rsidRPr="000F393A">
              <w:rPr>
                <w:rFonts w:ascii="Times New Roman" w:hAnsi="Times New Roman"/>
                <w:b/>
                <w:sz w:val="24"/>
                <w:szCs w:val="20"/>
                <w:lang w:eastAsia="sk-SK"/>
              </w:rPr>
              <w:t xml:space="preserve">3.5 Inovácie </w:t>
            </w:r>
          </w:p>
          <w:p w:rsidR="000F393A" w:rsidRPr="000F393A" w:rsidRDefault="000F393A" w:rsidP="00B52D31">
            <w:pPr>
              <w:jc w:val="both"/>
              <w:rPr>
                <w:rFonts w:ascii="Times New Roman" w:hAnsi="Times New Roman"/>
                <w:b/>
                <w:sz w:val="20"/>
                <w:szCs w:val="20"/>
                <w:lang w:eastAsia="sk-SK"/>
              </w:rPr>
            </w:pPr>
            <w:r w:rsidRPr="000F393A">
              <w:rPr>
                <w:rFonts w:ascii="Times New Roman" w:hAnsi="Times New Roman"/>
                <w:sz w:val="24"/>
                <w:szCs w:val="20"/>
                <w:lang w:eastAsia="sk-SK"/>
              </w:rPr>
              <w:t xml:space="preserve">       - </w:t>
            </w:r>
            <w:r w:rsidRPr="000F393A">
              <w:rPr>
                <w:rFonts w:ascii="Times New Roman" w:hAnsi="Times New Roman"/>
                <w:b/>
                <w:sz w:val="24"/>
                <w:szCs w:val="20"/>
                <w:lang w:eastAsia="sk-SK"/>
              </w:rPr>
              <w:t>z toho MSP</w:t>
            </w:r>
          </w:p>
        </w:tc>
      </w:tr>
      <w:tr w:rsidR="000F393A" w:rsidRPr="000F393A" w:rsidTr="007E5887">
        <w:tc>
          <w:tcPr>
            <w:tcW w:w="9212" w:type="dxa"/>
          </w:tcPr>
          <w:p w:rsidR="000F393A" w:rsidRPr="000F393A" w:rsidRDefault="000F393A" w:rsidP="00B52D31">
            <w:pPr>
              <w:jc w:val="both"/>
              <w:rPr>
                <w:rFonts w:ascii="Times New Roman" w:hAnsi="Times New Roman"/>
                <w:i/>
                <w:sz w:val="20"/>
                <w:szCs w:val="20"/>
                <w:lang w:eastAsia="sk-SK"/>
              </w:rPr>
            </w:pPr>
            <w:r w:rsidRPr="000F393A">
              <w:rPr>
                <w:rFonts w:ascii="Times New Roman" w:hAnsi="Times New Roman"/>
                <w:i/>
                <w:sz w:val="20"/>
                <w:szCs w:val="20"/>
                <w:lang w:eastAsia="sk-SK"/>
              </w:rPr>
              <w:t>Uveďte, ako podporuje navrhovaná zmena inovácie.</w:t>
            </w:r>
          </w:p>
          <w:p w:rsidR="000F393A" w:rsidRPr="000F393A" w:rsidRDefault="000F393A" w:rsidP="00B52D31">
            <w:pPr>
              <w:jc w:val="both"/>
              <w:rPr>
                <w:rFonts w:ascii="Times New Roman" w:hAnsi="Times New Roman"/>
                <w:i/>
                <w:sz w:val="20"/>
                <w:szCs w:val="20"/>
                <w:lang w:eastAsia="sk-SK"/>
              </w:rPr>
            </w:pPr>
            <w:r w:rsidRPr="000F393A">
              <w:rPr>
                <w:rFonts w:ascii="Times New Roman" w:hAnsi="Times New Roman"/>
                <w:i/>
                <w:sz w:val="20"/>
                <w:szCs w:val="20"/>
                <w:lang w:eastAsia="sk-SK"/>
              </w:rPr>
              <w:t>Zjednodušuje uvedenie alebo rozšírenie nových výrobných metód, technológií a výrobkov na trh?</w:t>
            </w:r>
          </w:p>
          <w:p w:rsidR="000F393A" w:rsidRPr="000F393A" w:rsidRDefault="000F393A" w:rsidP="00B52D31">
            <w:pPr>
              <w:jc w:val="both"/>
              <w:rPr>
                <w:rFonts w:ascii="Times New Roman" w:hAnsi="Times New Roman"/>
                <w:i/>
                <w:sz w:val="20"/>
                <w:szCs w:val="20"/>
                <w:lang w:eastAsia="sk-SK"/>
              </w:rPr>
            </w:pPr>
            <w:r w:rsidRPr="000F393A">
              <w:rPr>
                <w:rFonts w:ascii="Times New Roman" w:hAnsi="Times New Roman"/>
                <w:i/>
                <w:sz w:val="20"/>
                <w:szCs w:val="20"/>
                <w:lang w:eastAsia="sk-SK"/>
              </w:rPr>
              <w:t>Uveďte, ako vplýva navrhovaná zmena na jednotlivé práva duševného vlastníctva (napr. patenty, ochranné známky, autorské práva, vlastníctvo know-how).</w:t>
            </w:r>
          </w:p>
          <w:p w:rsidR="000F393A" w:rsidRPr="000F393A" w:rsidRDefault="000F393A" w:rsidP="00B52D31">
            <w:pPr>
              <w:jc w:val="both"/>
              <w:rPr>
                <w:rFonts w:ascii="Times New Roman" w:hAnsi="Times New Roman"/>
                <w:i/>
                <w:sz w:val="20"/>
                <w:szCs w:val="20"/>
                <w:lang w:eastAsia="sk-SK"/>
              </w:rPr>
            </w:pPr>
            <w:r w:rsidRPr="000F393A">
              <w:rPr>
                <w:rFonts w:ascii="Times New Roman" w:hAnsi="Times New Roman"/>
                <w:i/>
                <w:sz w:val="20"/>
                <w:szCs w:val="20"/>
                <w:lang w:eastAsia="sk-SK"/>
              </w:rPr>
              <w:t>Podporuje vyššiu efektivitu výroby/využívania zdrojov? Ak áno, ako?</w:t>
            </w:r>
          </w:p>
          <w:p w:rsidR="000F393A" w:rsidRPr="000F393A" w:rsidRDefault="000F393A" w:rsidP="00B52D31">
            <w:pPr>
              <w:jc w:val="both"/>
              <w:rPr>
                <w:rFonts w:ascii="Times New Roman" w:hAnsi="Times New Roman"/>
                <w:i/>
                <w:sz w:val="20"/>
                <w:szCs w:val="20"/>
                <w:lang w:eastAsia="sk-SK"/>
              </w:rPr>
            </w:pPr>
            <w:r w:rsidRPr="000F393A">
              <w:rPr>
                <w:rFonts w:ascii="Times New Roman" w:hAnsi="Times New Roman"/>
                <w:i/>
                <w:sz w:val="20"/>
                <w:szCs w:val="20"/>
                <w:lang w:eastAsia="sk-SK"/>
              </w:rPr>
              <w:t>Vytvorí zmena nové pracovné miesta pre zamestnancov výskumu a vývoja v SR?</w:t>
            </w:r>
          </w:p>
        </w:tc>
      </w:tr>
      <w:tr w:rsidR="000F393A" w:rsidRPr="000F393A" w:rsidTr="007E5887">
        <w:trPr>
          <w:trHeight w:val="800"/>
        </w:trPr>
        <w:tc>
          <w:tcPr>
            <w:tcW w:w="9212" w:type="dxa"/>
          </w:tcPr>
          <w:p w:rsidR="000F393A" w:rsidRPr="000F393A" w:rsidRDefault="000F393A" w:rsidP="00B52D31">
            <w:pPr>
              <w:jc w:val="both"/>
              <w:rPr>
                <w:rFonts w:ascii="Times New Roman" w:hAnsi="Times New Roman"/>
                <w:lang w:eastAsia="sk-SK"/>
              </w:rPr>
            </w:pPr>
            <w:r w:rsidRPr="000F393A">
              <w:rPr>
                <w:rFonts w:ascii="Times New Roman" w:hAnsi="Times New Roman"/>
                <w:lang w:eastAsia="sk-SK"/>
              </w:rPr>
              <w:t>Návrh zákona nemá vplyv na inovácie podnikateľov.</w:t>
            </w:r>
          </w:p>
        </w:tc>
      </w:tr>
    </w:tbl>
    <w:p w:rsidR="000F393A" w:rsidRPr="000F393A" w:rsidRDefault="000F393A" w:rsidP="00B52D31">
      <w:pPr>
        <w:spacing w:after="0" w:line="240" w:lineRule="auto"/>
        <w:jc w:val="both"/>
        <w:rPr>
          <w:rFonts w:ascii="Times New Roman" w:eastAsia="Times New Roman" w:hAnsi="Times New Roman" w:cs="Times New Roman"/>
          <w:sz w:val="20"/>
          <w:szCs w:val="20"/>
          <w:lang w:eastAsia="sk-SK"/>
        </w:rPr>
      </w:pPr>
    </w:p>
    <w:p w:rsidR="000F18FB" w:rsidRPr="00B52D31" w:rsidRDefault="000F18F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pPr>
    </w:p>
    <w:p w:rsidR="000F18FB" w:rsidRPr="00B52D31" w:rsidRDefault="000F18FB" w:rsidP="00B52D31">
      <w:pPr>
        <w:jc w:val="both"/>
        <w:rPr>
          <w:rFonts w:ascii="Times New Roman" w:hAnsi="Times New Roman" w:cs="Times New Roman"/>
        </w:rPr>
      </w:pPr>
    </w:p>
    <w:p w:rsidR="000F393A" w:rsidRPr="00B52D31" w:rsidRDefault="000F393A" w:rsidP="00B52D31">
      <w:pPr>
        <w:jc w:val="both"/>
        <w:rPr>
          <w:rFonts w:ascii="Times New Roman" w:hAnsi="Times New Roman" w:cs="Times New Roman"/>
        </w:rPr>
      </w:pPr>
    </w:p>
    <w:p w:rsidR="000F393A" w:rsidRPr="00B52D31" w:rsidRDefault="000F393A" w:rsidP="00B52D31">
      <w:pPr>
        <w:jc w:val="both"/>
        <w:rPr>
          <w:rFonts w:ascii="Times New Roman" w:hAnsi="Times New Roman" w:cs="Times New Roman"/>
        </w:rPr>
      </w:pPr>
    </w:p>
    <w:p w:rsidR="000F393A" w:rsidRPr="00B52D31" w:rsidRDefault="000F393A" w:rsidP="00B52D31">
      <w:pPr>
        <w:jc w:val="both"/>
        <w:rPr>
          <w:rFonts w:ascii="Times New Roman" w:hAnsi="Times New Roman" w:cs="Times New Roman"/>
        </w:rPr>
      </w:pPr>
    </w:p>
    <w:p w:rsidR="000F393A" w:rsidRPr="00B52D31" w:rsidRDefault="000F393A" w:rsidP="00B52D31">
      <w:pPr>
        <w:jc w:val="both"/>
        <w:rPr>
          <w:rFonts w:ascii="Times New Roman" w:hAnsi="Times New Roman" w:cs="Times New Roman"/>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2634"/>
        <w:gridCol w:w="992"/>
        <w:gridCol w:w="1701"/>
        <w:gridCol w:w="2059"/>
        <w:gridCol w:w="993"/>
        <w:gridCol w:w="992"/>
      </w:tblGrid>
      <w:tr w:rsidR="000F393A" w:rsidRPr="000F393A" w:rsidTr="007E5887">
        <w:trPr>
          <w:trHeight w:val="20"/>
        </w:trPr>
        <w:tc>
          <w:tcPr>
            <w:tcW w:w="9371" w:type="dxa"/>
            <w:gridSpan w:val="6"/>
            <w:shd w:val="clear" w:color="auto" w:fill="BFBFBF"/>
            <w:vAlign w:val="center"/>
          </w:tcPr>
          <w:p w:rsidR="000F393A" w:rsidRPr="000F393A" w:rsidRDefault="000F393A" w:rsidP="00B52D31">
            <w:pPr>
              <w:spacing w:after="0" w:line="240" w:lineRule="auto"/>
              <w:jc w:val="both"/>
              <w:rPr>
                <w:rFonts w:ascii="Times New Roman" w:eastAsia="Times New Roman" w:hAnsi="Times New Roman" w:cs="Times New Roman"/>
                <w:b/>
                <w:bCs/>
                <w:sz w:val="28"/>
                <w:szCs w:val="28"/>
                <w:lang w:eastAsia="sk-SK"/>
              </w:rPr>
            </w:pPr>
            <w:r w:rsidRPr="000F393A">
              <w:rPr>
                <w:rFonts w:ascii="Times New Roman" w:eastAsia="Times New Roman" w:hAnsi="Times New Roman" w:cs="Times New Roman"/>
                <w:b/>
                <w:bCs/>
                <w:sz w:val="28"/>
                <w:szCs w:val="28"/>
                <w:lang w:eastAsia="sk-SK"/>
              </w:rPr>
              <w:lastRenderedPageBreak/>
              <w:t>Analýza vplyvov na informatizáciu spoločnosti</w:t>
            </w:r>
          </w:p>
          <w:p w:rsidR="000F393A" w:rsidRPr="000F393A" w:rsidRDefault="000F393A" w:rsidP="00B52D31">
            <w:pPr>
              <w:spacing w:after="0" w:line="240" w:lineRule="auto"/>
              <w:jc w:val="both"/>
              <w:rPr>
                <w:rFonts w:ascii="Times New Roman" w:eastAsia="Times New Roman" w:hAnsi="Times New Roman" w:cs="Times New Roman"/>
                <w:b/>
                <w:i/>
                <w:iCs/>
                <w:sz w:val="2"/>
                <w:lang w:eastAsia="sk-SK"/>
              </w:rPr>
            </w:pPr>
            <w:r w:rsidRPr="000F393A">
              <w:rPr>
                <w:rFonts w:ascii="Times New Roman" w:eastAsia="Times New Roman" w:hAnsi="Times New Roman" w:cs="Times New Roman"/>
                <w:b/>
                <w:sz w:val="24"/>
                <w:szCs w:val="24"/>
                <w:lang w:eastAsia="sk-SK"/>
              </w:rPr>
              <w:t>Budovanie základných pilierov informatizácie</w:t>
            </w:r>
          </w:p>
        </w:tc>
      </w:tr>
      <w:tr w:rsidR="000F393A" w:rsidRPr="000F393A" w:rsidTr="007E5887">
        <w:trPr>
          <w:trHeight w:val="681"/>
        </w:trPr>
        <w:tc>
          <w:tcPr>
            <w:tcW w:w="2634" w:type="dxa"/>
            <w:shd w:val="clear" w:color="auto" w:fill="C0C0C0"/>
            <w:vAlign w:val="center"/>
          </w:tcPr>
          <w:p w:rsidR="000F393A" w:rsidRPr="000F393A" w:rsidRDefault="000F393A" w:rsidP="00B52D31">
            <w:pPr>
              <w:spacing w:after="0" w:line="240" w:lineRule="auto"/>
              <w:jc w:val="both"/>
              <w:rPr>
                <w:rFonts w:ascii="Times New Roman" w:eastAsia="Times New Roman" w:hAnsi="Times New Roman" w:cs="Times New Roman"/>
                <w:b/>
                <w:sz w:val="24"/>
                <w:lang w:eastAsia="sk-SK"/>
              </w:rPr>
            </w:pPr>
            <w:r w:rsidRPr="000F393A">
              <w:rPr>
                <w:rFonts w:ascii="Times New Roman" w:eastAsia="Times New Roman" w:hAnsi="Times New Roman" w:cs="Times New Roman"/>
                <w:b/>
                <w:sz w:val="24"/>
                <w:lang w:eastAsia="sk-SK"/>
              </w:rPr>
              <w:t>Obsah</w:t>
            </w:r>
          </w:p>
        </w:tc>
        <w:tc>
          <w:tcPr>
            <w:tcW w:w="992" w:type="dxa"/>
            <w:shd w:val="clear" w:color="auto" w:fill="C0C0C0"/>
            <w:vAlign w:val="center"/>
          </w:tcPr>
          <w:p w:rsidR="000F393A" w:rsidRPr="000F393A" w:rsidRDefault="000F393A" w:rsidP="00B52D31">
            <w:pPr>
              <w:spacing w:after="0" w:line="240" w:lineRule="auto"/>
              <w:jc w:val="both"/>
              <w:rPr>
                <w:rFonts w:ascii="Times New Roman" w:eastAsia="Times New Roman" w:hAnsi="Times New Roman" w:cs="Times New Roman"/>
                <w:b/>
                <w:sz w:val="24"/>
                <w:lang w:eastAsia="sk-SK"/>
              </w:rPr>
            </w:pPr>
            <w:r w:rsidRPr="000F393A">
              <w:rPr>
                <w:rFonts w:ascii="Times New Roman" w:eastAsia="Times New Roman" w:hAnsi="Times New Roman" w:cs="Times New Roman"/>
                <w:b/>
                <w:sz w:val="24"/>
                <w:lang w:eastAsia="sk-SK"/>
              </w:rPr>
              <w:t>A – nová služba</w:t>
            </w:r>
          </w:p>
          <w:p w:rsidR="000F393A" w:rsidRPr="000F393A" w:rsidRDefault="000F393A" w:rsidP="00B52D31">
            <w:pPr>
              <w:spacing w:after="0" w:line="240" w:lineRule="auto"/>
              <w:jc w:val="both"/>
              <w:rPr>
                <w:rFonts w:ascii="Times New Roman" w:eastAsia="Times New Roman" w:hAnsi="Times New Roman" w:cs="Times New Roman"/>
                <w:i/>
                <w:iCs/>
                <w:sz w:val="24"/>
                <w:lang w:eastAsia="sk-SK"/>
              </w:rPr>
            </w:pPr>
            <w:r w:rsidRPr="000F393A">
              <w:rPr>
                <w:rFonts w:ascii="Times New Roman" w:eastAsia="Times New Roman" w:hAnsi="Times New Roman" w:cs="Times New Roman"/>
                <w:b/>
                <w:sz w:val="24"/>
                <w:lang w:eastAsia="sk-SK"/>
              </w:rPr>
              <w:t>B – zmena služby</w:t>
            </w:r>
          </w:p>
        </w:tc>
        <w:tc>
          <w:tcPr>
            <w:tcW w:w="1701" w:type="dxa"/>
            <w:shd w:val="clear" w:color="auto" w:fill="C0C0C0"/>
            <w:vAlign w:val="center"/>
          </w:tcPr>
          <w:p w:rsidR="000F393A" w:rsidRPr="000F393A" w:rsidRDefault="000F393A" w:rsidP="00B52D31">
            <w:pPr>
              <w:spacing w:after="200" w:line="240" w:lineRule="auto"/>
              <w:jc w:val="both"/>
              <w:rPr>
                <w:rFonts w:ascii="Times New Roman" w:eastAsia="Times New Roman" w:hAnsi="Times New Roman" w:cs="Times New Roman"/>
                <w:sz w:val="24"/>
                <w:lang w:eastAsia="sk-SK"/>
              </w:rPr>
            </w:pPr>
            <w:r w:rsidRPr="000F393A">
              <w:rPr>
                <w:rFonts w:ascii="Times New Roman" w:eastAsia="Times New Roman" w:hAnsi="Times New Roman" w:cs="Times New Roman"/>
                <w:b/>
                <w:sz w:val="24"/>
                <w:lang w:eastAsia="sk-SK"/>
              </w:rPr>
              <w:t>Kód služby</w:t>
            </w:r>
          </w:p>
        </w:tc>
        <w:tc>
          <w:tcPr>
            <w:tcW w:w="3052" w:type="dxa"/>
            <w:gridSpan w:val="2"/>
            <w:shd w:val="clear" w:color="auto" w:fill="C0C0C0"/>
            <w:vAlign w:val="center"/>
          </w:tcPr>
          <w:p w:rsidR="000F393A" w:rsidRPr="000F393A" w:rsidRDefault="000F393A" w:rsidP="00B52D31">
            <w:pPr>
              <w:spacing w:after="0" w:line="240" w:lineRule="auto"/>
              <w:jc w:val="both"/>
              <w:rPr>
                <w:rFonts w:ascii="Times New Roman" w:eastAsia="Times New Roman" w:hAnsi="Times New Roman" w:cs="Times New Roman"/>
                <w:i/>
                <w:iCs/>
                <w:sz w:val="24"/>
                <w:lang w:eastAsia="sk-SK"/>
              </w:rPr>
            </w:pPr>
            <w:r w:rsidRPr="000F393A">
              <w:rPr>
                <w:rFonts w:ascii="Times New Roman" w:eastAsia="Times New Roman" w:hAnsi="Times New Roman" w:cs="Times New Roman"/>
                <w:b/>
                <w:sz w:val="24"/>
                <w:lang w:eastAsia="sk-SK"/>
              </w:rPr>
              <w:t>Názov služby</w:t>
            </w:r>
          </w:p>
        </w:tc>
        <w:tc>
          <w:tcPr>
            <w:tcW w:w="992" w:type="dxa"/>
            <w:shd w:val="clear" w:color="auto" w:fill="C0C0C0"/>
            <w:vAlign w:val="center"/>
          </w:tcPr>
          <w:p w:rsidR="000F393A" w:rsidRPr="000F393A" w:rsidRDefault="000F393A" w:rsidP="00B52D31">
            <w:pPr>
              <w:spacing w:after="0" w:line="240" w:lineRule="auto"/>
              <w:jc w:val="both"/>
              <w:rPr>
                <w:rFonts w:ascii="Times New Roman" w:eastAsia="Times New Roman" w:hAnsi="Times New Roman" w:cs="Times New Roman"/>
                <w:b/>
                <w:sz w:val="24"/>
                <w:lang w:eastAsia="sk-SK"/>
              </w:rPr>
            </w:pPr>
            <w:r w:rsidRPr="000F393A">
              <w:rPr>
                <w:rFonts w:ascii="Times New Roman" w:eastAsia="Times New Roman" w:hAnsi="Times New Roman" w:cs="Times New Roman"/>
                <w:b/>
                <w:sz w:val="24"/>
                <w:lang w:eastAsia="sk-SK"/>
              </w:rPr>
              <w:t>Úroveň elektronizácie služby</w:t>
            </w:r>
          </w:p>
          <w:p w:rsidR="000F393A" w:rsidRPr="000F393A" w:rsidRDefault="000F393A" w:rsidP="00B52D31">
            <w:pPr>
              <w:spacing w:after="0" w:line="240" w:lineRule="auto"/>
              <w:jc w:val="both"/>
              <w:rPr>
                <w:rFonts w:ascii="Times New Roman" w:eastAsia="Times New Roman" w:hAnsi="Times New Roman" w:cs="Times New Roman"/>
                <w:i/>
                <w:iCs/>
                <w:sz w:val="24"/>
                <w:lang w:eastAsia="sk-SK"/>
              </w:rPr>
            </w:pPr>
            <w:r w:rsidRPr="000F393A">
              <w:rPr>
                <w:rFonts w:ascii="Times New Roman" w:eastAsia="Times New Roman" w:hAnsi="Times New Roman" w:cs="Times New Roman"/>
                <w:b/>
                <w:sz w:val="24"/>
                <w:lang w:eastAsia="sk-SK"/>
              </w:rPr>
              <w:t>(0 až 5)</w:t>
            </w:r>
          </w:p>
        </w:tc>
      </w:tr>
      <w:tr w:rsidR="000F393A" w:rsidRPr="000F393A" w:rsidTr="007E5887">
        <w:trPr>
          <w:trHeight w:val="20"/>
        </w:trPr>
        <w:tc>
          <w:tcPr>
            <w:tcW w:w="2634" w:type="dxa"/>
          </w:tcPr>
          <w:p w:rsidR="000F393A" w:rsidRPr="000F393A" w:rsidRDefault="000F393A" w:rsidP="00B52D31">
            <w:pPr>
              <w:spacing w:after="0" w:line="240" w:lineRule="auto"/>
              <w:jc w:val="both"/>
              <w:rPr>
                <w:rFonts w:ascii="Times New Roman" w:eastAsia="Times New Roman" w:hAnsi="Times New Roman" w:cs="Times New Roman"/>
                <w:sz w:val="20"/>
                <w:lang w:eastAsia="sk-SK"/>
              </w:rPr>
            </w:pPr>
            <w:r w:rsidRPr="000F393A">
              <w:rPr>
                <w:rFonts w:ascii="Times New Roman" w:eastAsia="Times New Roman" w:hAnsi="Times New Roman" w:cs="Times New Roman"/>
                <w:b/>
                <w:sz w:val="20"/>
                <w:lang w:eastAsia="sk-SK"/>
              </w:rPr>
              <w:t>6.1.</w:t>
            </w:r>
            <w:r w:rsidRPr="000F393A">
              <w:rPr>
                <w:rFonts w:ascii="Times New Roman" w:eastAsia="Times New Roman" w:hAnsi="Times New Roman" w:cs="Times New Roman"/>
                <w:sz w:val="20"/>
                <w:lang w:eastAsia="sk-SK"/>
              </w:rPr>
              <w:t xml:space="preserve"> Predpokladá predložený návrh zmenu existujúcich elektronických služieb verejnej správy alebo vytvorenie nových služieb?</w:t>
            </w:r>
          </w:p>
          <w:p w:rsidR="000F393A" w:rsidRPr="000F393A" w:rsidRDefault="000F393A" w:rsidP="00B52D31">
            <w:pPr>
              <w:spacing w:after="0" w:line="20" w:lineRule="atLeast"/>
              <w:jc w:val="both"/>
              <w:rPr>
                <w:rFonts w:ascii="Times New Roman" w:eastAsia="Times New Roman" w:hAnsi="Times New Roman" w:cs="Times New Roman"/>
                <w:b/>
                <w:lang w:eastAsia="sk-SK"/>
              </w:rPr>
            </w:pPr>
            <w:r w:rsidRPr="000F393A">
              <w:rPr>
                <w:rFonts w:ascii="Times New Roman" w:eastAsia="Times New Roman" w:hAnsi="Times New Roman" w:cs="Times New Roman"/>
                <w:i/>
                <w:iCs/>
                <w:sz w:val="20"/>
                <w:lang w:eastAsia="sk-SK"/>
              </w:rPr>
              <w:t xml:space="preserve">(Ak áno, uveďte zmenu služby alebo vytvorenie novej služby, ďalej  jej kód, názov a úroveň elektronizácie podľa katalógu </w:t>
            </w:r>
            <w:proofErr w:type="spellStart"/>
            <w:r w:rsidRPr="000F393A">
              <w:rPr>
                <w:rFonts w:ascii="Times New Roman" w:eastAsia="Times New Roman" w:hAnsi="Times New Roman" w:cs="Times New Roman"/>
                <w:i/>
                <w:iCs/>
                <w:sz w:val="20"/>
                <w:lang w:eastAsia="sk-SK"/>
              </w:rPr>
              <w:t>eGovernment</w:t>
            </w:r>
            <w:proofErr w:type="spellEnd"/>
            <w:r w:rsidRPr="000F393A">
              <w:rPr>
                <w:rFonts w:ascii="Times New Roman" w:eastAsia="Times New Roman" w:hAnsi="Times New Roman" w:cs="Times New Roman"/>
                <w:i/>
                <w:iCs/>
                <w:sz w:val="20"/>
                <w:lang w:eastAsia="sk-SK"/>
              </w:rPr>
              <w:t xml:space="preserve"> služieb, ktorý je vedený v centrálnom </w:t>
            </w:r>
            <w:proofErr w:type="spellStart"/>
            <w:r w:rsidRPr="000F393A">
              <w:rPr>
                <w:rFonts w:ascii="Times New Roman" w:eastAsia="Times New Roman" w:hAnsi="Times New Roman" w:cs="Times New Roman"/>
                <w:i/>
                <w:iCs/>
                <w:sz w:val="20"/>
                <w:lang w:eastAsia="sk-SK"/>
              </w:rPr>
              <w:t>metainformačnom</w:t>
            </w:r>
            <w:proofErr w:type="spellEnd"/>
            <w:r w:rsidRPr="000F393A">
              <w:rPr>
                <w:rFonts w:ascii="Times New Roman" w:eastAsia="Times New Roman" w:hAnsi="Times New Roman" w:cs="Times New Roman"/>
                <w:i/>
                <w:iCs/>
                <w:sz w:val="20"/>
                <w:lang w:eastAsia="sk-SK"/>
              </w:rPr>
              <w:t xml:space="preserve"> systéme verejnej správy.)</w:t>
            </w:r>
            <w:r w:rsidRPr="000F393A">
              <w:rPr>
                <w:rFonts w:ascii="Times New Roman" w:eastAsia="Times New Roman" w:hAnsi="Times New Roman" w:cs="Times New Roman"/>
                <w:sz w:val="20"/>
                <w:lang w:eastAsia="sk-SK"/>
              </w:rPr>
              <w:t xml:space="preserve"> </w:t>
            </w:r>
          </w:p>
        </w:tc>
        <w:tc>
          <w:tcPr>
            <w:tcW w:w="992" w:type="dxa"/>
          </w:tcPr>
          <w:p w:rsidR="000F393A" w:rsidRPr="000F393A" w:rsidRDefault="000F393A" w:rsidP="00B52D31">
            <w:pPr>
              <w:spacing w:after="0" w:line="240" w:lineRule="auto"/>
              <w:jc w:val="both"/>
              <w:rPr>
                <w:rFonts w:ascii="Times New Roman" w:eastAsia="Times New Roman" w:hAnsi="Times New Roman" w:cs="Times New Roman"/>
                <w:b/>
                <w:sz w:val="24"/>
                <w:szCs w:val="24"/>
                <w:lang w:eastAsia="sk-SK"/>
              </w:rPr>
            </w:pPr>
            <w:r w:rsidRPr="000F393A">
              <w:rPr>
                <w:rFonts w:ascii="Times New Roman" w:eastAsia="Times New Roman" w:hAnsi="Times New Roman" w:cs="Times New Roman"/>
                <w:b/>
                <w:sz w:val="24"/>
                <w:szCs w:val="24"/>
                <w:lang w:eastAsia="sk-SK"/>
              </w:rPr>
              <w:t>B</w:t>
            </w:r>
          </w:p>
        </w:tc>
        <w:tc>
          <w:tcPr>
            <w:tcW w:w="1701" w:type="dxa"/>
            <w:vAlign w:val="center"/>
          </w:tcPr>
          <w:p w:rsidR="000F393A" w:rsidRPr="000F393A" w:rsidRDefault="000F393A" w:rsidP="00B52D31">
            <w:pPr>
              <w:spacing w:after="0" w:line="240" w:lineRule="auto"/>
              <w:jc w:val="both"/>
              <w:rPr>
                <w:rFonts w:ascii="Times New Roman" w:eastAsia="Times New Roman" w:hAnsi="Times New Roman" w:cs="Times New Roman"/>
                <w:iCs/>
                <w:sz w:val="24"/>
                <w:szCs w:val="24"/>
                <w:lang w:eastAsia="sk-SK"/>
              </w:rPr>
            </w:pPr>
            <w:r w:rsidRPr="000F393A">
              <w:rPr>
                <w:rFonts w:ascii="Times New Roman" w:eastAsia="Times New Roman" w:hAnsi="Times New Roman" w:cs="Times New Roman"/>
                <w:iCs/>
                <w:sz w:val="24"/>
                <w:szCs w:val="24"/>
                <w:lang w:eastAsia="sk-SK"/>
              </w:rPr>
              <w:t>isvs_171</w:t>
            </w:r>
          </w:p>
        </w:tc>
        <w:tc>
          <w:tcPr>
            <w:tcW w:w="3052" w:type="dxa"/>
            <w:gridSpan w:val="2"/>
            <w:vAlign w:val="center"/>
          </w:tcPr>
          <w:p w:rsidR="000F393A" w:rsidRPr="000F393A" w:rsidRDefault="000F393A" w:rsidP="00B52D31">
            <w:pPr>
              <w:spacing w:after="0" w:line="240" w:lineRule="auto"/>
              <w:jc w:val="both"/>
              <w:rPr>
                <w:rFonts w:ascii="Times New Roman" w:eastAsia="Times New Roman" w:hAnsi="Times New Roman" w:cs="Times New Roman"/>
                <w:iCs/>
                <w:sz w:val="24"/>
                <w:szCs w:val="24"/>
                <w:lang w:eastAsia="sk-SK"/>
              </w:rPr>
            </w:pPr>
            <w:r w:rsidRPr="000F393A">
              <w:rPr>
                <w:rFonts w:ascii="Times New Roman" w:eastAsia="Times New Roman" w:hAnsi="Times New Roman" w:cs="Times New Roman"/>
                <w:iCs/>
                <w:sz w:val="24"/>
                <w:szCs w:val="24"/>
                <w:lang w:eastAsia="sk-SK"/>
              </w:rPr>
              <w:t xml:space="preserve">Zápis, zrušenie, zobrazovanie výnimky </w:t>
            </w:r>
          </w:p>
        </w:tc>
        <w:tc>
          <w:tcPr>
            <w:tcW w:w="992" w:type="dxa"/>
            <w:vAlign w:val="center"/>
          </w:tcPr>
          <w:p w:rsidR="000F393A" w:rsidRPr="000F393A" w:rsidRDefault="000F393A" w:rsidP="00B52D31">
            <w:pPr>
              <w:spacing w:after="0" w:line="240" w:lineRule="auto"/>
              <w:jc w:val="both"/>
              <w:rPr>
                <w:rFonts w:ascii="Times New Roman" w:eastAsia="Times New Roman" w:hAnsi="Times New Roman" w:cs="Times New Roman"/>
                <w:b/>
                <w:sz w:val="24"/>
                <w:szCs w:val="24"/>
                <w:lang w:eastAsia="sk-SK"/>
              </w:rPr>
            </w:pPr>
            <w:r w:rsidRPr="000F393A">
              <w:rPr>
                <w:rFonts w:ascii="Times New Roman" w:eastAsia="Times New Roman" w:hAnsi="Times New Roman" w:cs="Times New Roman"/>
                <w:b/>
                <w:sz w:val="24"/>
                <w:szCs w:val="24"/>
                <w:lang w:eastAsia="sk-SK"/>
              </w:rPr>
              <w:t>2</w:t>
            </w:r>
          </w:p>
        </w:tc>
      </w:tr>
      <w:tr w:rsidR="000F393A" w:rsidRPr="000F393A" w:rsidTr="007E5887">
        <w:trPr>
          <w:trHeight w:val="20"/>
        </w:trPr>
        <w:tc>
          <w:tcPr>
            <w:tcW w:w="2634" w:type="dxa"/>
            <w:shd w:val="clear" w:color="auto" w:fill="C0C0C0"/>
            <w:vAlign w:val="center"/>
          </w:tcPr>
          <w:p w:rsidR="000F393A" w:rsidRPr="000F393A" w:rsidRDefault="000F393A" w:rsidP="00B52D31">
            <w:pPr>
              <w:spacing w:after="0" w:line="240" w:lineRule="auto"/>
              <w:jc w:val="both"/>
              <w:rPr>
                <w:rFonts w:ascii="Times New Roman" w:eastAsia="Times New Roman" w:hAnsi="Times New Roman" w:cs="Times New Roman"/>
                <w:b/>
                <w:sz w:val="24"/>
                <w:lang w:eastAsia="sk-SK"/>
              </w:rPr>
            </w:pPr>
            <w:r w:rsidRPr="000F393A">
              <w:rPr>
                <w:rFonts w:ascii="Times New Roman" w:eastAsia="Times New Roman" w:hAnsi="Times New Roman" w:cs="Times New Roman"/>
                <w:b/>
                <w:sz w:val="24"/>
                <w:lang w:eastAsia="sk-SK"/>
              </w:rPr>
              <w:t>Infraštruktúra</w:t>
            </w:r>
          </w:p>
        </w:tc>
        <w:tc>
          <w:tcPr>
            <w:tcW w:w="992" w:type="dxa"/>
            <w:shd w:val="clear" w:color="auto" w:fill="C0C0C0"/>
            <w:vAlign w:val="center"/>
          </w:tcPr>
          <w:p w:rsidR="000F393A" w:rsidRPr="000F393A" w:rsidRDefault="000F393A" w:rsidP="00B52D31">
            <w:pPr>
              <w:spacing w:after="0" w:line="240" w:lineRule="auto"/>
              <w:jc w:val="both"/>
              <w:rPr>
                <w:rFonts w:ascii="Times New Roman" w:eastAsia="Times New Roman" w:hAnsi="Times New Roman" w:cs="Times New Roman"/>
                <w:b/>
                <w:sz w:val="24"/>
                <w:lang w:eastAsia="sk-SK"/>
              </w:rPr>
            </w:pPr>
            <w:r w:rsidRPr="000F393A">
              <w:rPr>
                <w:rFonts w:ascii="Times New Roman" w:eastAsia="Times New Roman" w:hAnsi="Times New Roman" w:cs="Times New Roman"/>
                <w:b/>
                <w:sz w:val="24"/>
                <w:lang w:eastAsia="sk-SK"/>
              </w:rPr>
              <w:t>A – nový systém</w:t>
            </w:r>
          </w:p>
          <w:p w:rsidR="000F393A" w:rsidRPr="000F393A" w:rsidRDefault="000F393A" w:rsidP="00B52D31">
            <w:pPr>
              <w:spacing w:after="0" w:line="240" w:lineRule="auto"/>
              <w:jc w:val="both"/>
              <w:rPr>
                <w:rFonts w:ascii="Times New Roman" w:eastAsia="Times New Roman" w:hAnsi="Times New Roman" w:cs="Times New Roman"/>
                <w:b/>
                <w:sz w:val="24"/>
                <w:lang w:eastAsia="sk-SK"/>
              </w:rPr>
            </w:pPr>
            <w:r w:rsidRPr="000F393A">
              <w:rPr>
                <w:rFonts w:ascii="Times New Roman" w:eastAsia="Times New Roman" w:hAnsi="Times New Roman" w:cs="Times New Roman"/>
                <w:b/>
                <w:sz w:val="24"/>
                <w:lang w:eastAsia="sk-SK"/>
              </w:rPr>
              <w:t>B – zmena systému</w:t>
            </w:r>
          </w:p>
        </w:tc>
        <w:tc>
          <w:tcPr>
            <w:tcW w:w="1701" w:type="dxa"/>
            <w:shd w:val="clear" w:color="auto" w:fill="C0C0C0"/>
            <w:vAlign w:val="center"/>
          </w:tcPr>
          <w:p w:rsidR="000F393A" w:rsidRPr="000F393A" w:rsidRDefault="000F393A" w:rsidP="00B52D31">
            <w:pPr>
              <w:spacing w:after="0" w:line="240" w:lineRule="auto"/>
              <w:jc w:val="both"/>
              <w:rPr>
                <w:rFonts w:ascii="Times New Roman" w:eastAsia="Times New Roman" w:hAnsi="Times New Roman" w:cs="Times New Roman"/>
                <w:b/>
                <w:sz w:val="24"/>
                <w:lang w:eastAsia="sk-SK"/>
              </w:rPr>
            </w:pPr>
            <w:r w:rsidRPr="000F393A">
              <w:rPr>
                <w:rFonts w:ascii="Times New Roman" w:eastAsia="Times New Roman" w:hAnsi="Times New Roman" w:cs="Times New Roman"/>
                <w:b/>
                <w:sz w:val="24"/>
                <w:lang w:eastAsia="sk-SK"/>
              </w:rPr>
              <w:t>Kód systému</w:t>
            </w:r>
          </w:p>
        </w:tc>
        <w:tc>
          <w:tcPr>
            <w:tcW w:w="4044" w:type="dxa"/>
            <w:gridSpan w:val="3"/>
            <w:shd w:val="clear" w:color="auto" w:fill="C0C0C0"/>
            <w:vAlign w:val="center"/>
          </w:tcPr>
          <w:p w:rsidR="000F393A" w:rsidRPr="000F393A" w:rsidRDefault="000F393A" w:rsidP="00B52D31">
            <w:pPr>
              <w:spacing w:after="0" w:line="240" w:lineRule="auto"/>
              <w:jc w:val="both"/>
              <w:rPr>
                <w:rFonts w:ascii="Times New Roman" w:eastAsia="Times New Roman" w:hAnsi="Times New Roman" w:cs="Times New Roman"/>
                <w:b/>
                <w:sz w:val="24"/>
                <w:szCs w:val="24"/>
                <w:lang w:eastAsia="sk-SK"/>
              </w:rPr>
            </w:pPr>
            <w:r w:rsidRPr="000F393A">
              <w:rPr>
                <w:rFonts w:ascii="Times New Roman" w:eastAsia="Times New Roman" w:hAnsi="Times New Roman" w:cs="Times New Roman"/>
                <w:b/>
                <w:sz w:val="24"/>
                <w:lang w:eastAsia="sk-SK"/>
              </w:rPr>
              <w:t>Názov systému</w:t>
            </w:r>
          </w:p>
        </w:tc>
      </w:tr>
      <w:tr w:rsidR="000F393A" w:rsidRPr="000F393A" w:rsidTr="007E5887">
        <w:trPr>
          <w:trHeight w:val="20"/>
        </w:trPr>
        <w:tc>
          <w:tcPr>
            <w:tcW w:w="2634" w:type="dxa"/>
          </w:tcPr>
          <w:p w:rsidR="000F393A" w:rsidRPr="000F393A" w:rsidRDefault="000F393A" w:rsidP="00B52D31">
            <w:pPr>
              <w:spacing w:after="0" w:line="240" w:lineRule="auto"/>
              <w:jc w:val="both"/>
              <w:rPr>
                <w:rFonts w:ascii="Times New Roman" w:eastAsia="Times New Roman" w:hAnsi="Times New Roman" w:cs="Times New Roman"/>
                <w:sz w:val="20"/>
                <w:szCs w:val="20"/>
                <w:lang w:eastAsia="sk-SK"/>
              </w:rPr>
            </w:pPr>
            <w:r w:rsidRPr="000F393A">
              <w:rPr>
                <w:rFonts w:ascii="Times New Roman" w:eastAsia="Times New Roman" w:hAnsi="Times New Roman" w:cs="Times New Roman"/>
                <w:b/>
                <w:sz w:val="20"/>
                <w:szCs w:val="20"/>
                <w:lang w:eastAsia="sk-SK"/>
              </w:rPr>
              <w:t>6.2.</w:t>
            </w:r>
            <w:r w:rsidRPr="000F393A">
              <w:rPr>
                <w:rFonts w:ascii="Times New Roman" w:eastAsia="Times New Roman" w:hAnsi="Times New Roman" w:cs="Times New Roman"/>
                <w:sz w:val="20"/>
                <w:szCs w:val="20"/>
                <w:lang w:eastAsia="sk-SK"/>
              </w:rPr>
              <w:t xml:space="preserve"> Predpokladá predložený návrh zmenu existujúceho alebo vytvorenie nového informačného systému verejnej správy?</w:t>
            </w:r>
          </w:p>
          <w:p w:rsidR="000F393A" w:rsidRPr="000F393A" w:rsidRDefault="000F393A" w:rsidP="00B52D31">
            <w:pPr>
              <w:spacing w:after="0" w:line="20" w:lineRule="atLeast"/>
              <w:jc w:val="both"/>
              <w:rPr>
                <w:rFonts w:ascii="Times New Roman" w:eastAsia="Times New Roman" w:hAnsi="Times New Roman" w:cs="Times New Roman"/>
                <w:sz w:val="24"/>
                <w:szCs w:val="24"/>
                <w:lang w:eastAsia="sk-SK"/>
              </w:rPr>
            </w:pPr>
            <w:r w:rsidRPr="000F393A">
              <w:rPr>
                <w:rFonts w:ascii="Times New Roman" w:eastAsia="Times New Roman" w:hAnsi="Times New Roman" w:cs="Times New Roman"/>
                <w:i/>
                <w:iCs/>
                <w:sz w:val="20"/>
                <w:szCs w:val="20"/>
                <w:lang w:eastAsia="sk-SK"/>
              </w:rPr>
              <w:t xml:space="preserve">(Ak áno, uveďte zmenu systému alebo vytvorenie nového systému, ďalej jeho kód a názov z centrálneho </w:t>
            </w:r>
            <w:proofErr w:type="spellStart"/>
            <w:r w:rsidRPr="000F393A">
              <w:rPr>
                <w:rFonts w:ascii="Times New Roman" w:eastAsia="Times New Roman" w:hAnsi="Times New Roman" w:cs="Times New Roman"/>
                <w:i/>
                <w:iCs/>
                <w:sz w:val="20"/>
                <w:szCs w:val="20"/>
                <w:lang w:eastAsia="sk-SK"/>
              </w:rPr>
              <w:t>metainformačného</w:t>
            </w:r>
            <w:proofErr w:type="spellEnd"/>
            <w:r w:rsidRPr="000F393A">
              <w:rPr>
                <w:rFonts w:ascii="Times New Roman" w:eastAsia="Times New Roman" w:hAnsi="Times New Roman" w:cs="Times New Roman"/>
                <w:i/>
                <w:iCs/>
                <w:sz w:val="20"/>
                <w:szCs w:val="20"/>
                <w:lang w:eastAsia="sk-SK"/>
              </w:rPr>
              <w:t xml:space="preserve"> systému verejnej správy.)</w:t>
            </w:r>
          </w:p>
        </w:tc>
        <w:tc>
          <w:tcPr>
            <w:tcW w:w="992" w:type="dxa"/>
          </w:tcPr>
          <w:p w:rsidR="000F393A" w:rsidRPr="000F393A" w:rsidRDefault="000F393A" w:rsidP="00B52D31">
            <w:pPr>
              <w:spacing w:after="0" w:line="240" w:lineRule="auto"/>
              <w:jc w:val="both"/>
              <w:rPr>
                <w:rFonts w:ascii="Times New Roman" w:eastAsia="Times New Roman" w:hAnsi="Times New Roman" w:cs="Times New Roman"/>
                <w:iCs/>
                <w:sz w:val="24"/>
                <w:szCs w:val="24"/>
                <w:lang w:eastAsia="sk-SK"/>
              </w:rPr>
            </w:pPr>
            <w:r w:rsidRPr="000F393A">
              <w:rPr>
                <w:rFonts w:ascii="Times New Roman" w:eastAsia="Times New Roman" w:hAnsi="Times New Roman" w:cs="Times New Roman"/>
                <w:iCs/>
                <w:sz w:val="24"/>
                <w:szCs w:val="24"/>
                <w:lang w:eastAsia="sk-SK"/>
              </w:rPr>
              <w:t>B</w:t>
            </w:r>
          </w:p>
        </w:tc>
        <w:tc>
          <w:tcPr>
            <w:tcW w:w="1701" w:type="dxa"/>
            <w:vAlign w:val="center"/>
          </w:tcPr>
          <w:p w:rsidR="000F393A" w:rsidRPr="000F393A" w:rsidRDefault="000F393A" w:rsidP="00B52D31">
            <w:pPr>
              <w:spacing w:after="0" w:line="240" w:lineRule="auto"/>
              <w:jc w:val="both"/>
              <w:rPr>
                <w:rFonts w:ascii="Times New Roman" w:eastAsia="Times New Roman" w:hAnsi="Times New Roman" w:cs="Times New Roman"/>
                <w:iCs/>
                <w:sz w:val="24"/>
                <w:szCs w:val="24"/>
                <w:lang w:eastAsia="sk-SK"/>
              </w:rPr>
            </w:pPr>
            <w:r w:rsidRPr="000F393A">
              <w:rPr>
                <w:rFonts w:ascii="Times New Roman" w:eastAsia="Times New Roman" w:hAnsi="Times New Roman" w:cs="Times New Roman"/>
                <w:iCs/>
                <w:sz w:val="24"/>
                <w:szCs w:val="24"/>
                <w:lang w:eastAsia="sk-SK"/>
              </w:rPr>
              <w:t>isvs_171</w:t>
            </w:r>
          </w:p>
        </w:tc>
        <w:tc>
          <w:tcPr>
            <w:tcW w:w="4044" w:type="dxa"/>
            <w:gridSpan w:val="3"/>
            <w:vAlign w:val="center"/>
          </w:tcPr>
          <w:p w:rsidR="000F393A" w:rsidRPr="000F393A" w:rsidRDefault="000F393A" w:rsidP="00B52D31">
            <w:pPr>
              <w:spacing w:after="0" w:line="240" w:lineRule="auto"/>
              <w:jc w:val="both"/>
              <w:rPr>
                <w:rFonts w:ascii="Times New Roman" w:eastAsia="Times New Roman" w:hAnsi="Times New Roman" w:cs="Times New Roman"/>
                <w:iCs/>
                <w:sz w:val="24"/>
                <w:szCs w:val="24"/>
                <w:lang w:eastAsia="sk-SK"/>
              </w:rPr>
            </w:pPr>
            <w:r w:rsidRPr="000F393A">
              <w:rPr>
                <w:rFonts w:ascii="Times New Roman" w:eastAsia="Times New Roman" w:hAnsi="Times New Roman" w:cs="Times New Roman"/>
                <w:iCs/>
                <w:sz w:val="24"/>
                <w:szCs w:val="24"/>
                <w:lang w:eastAsia="sk-SK"/>
              </w:rPr>
              <w:t>Evidencia vozidiel</w:t>
            </w:r>
          </w:p>
        </w:tc>
      </w:tr>
      <w:tr w:rsidR="000F393A" w:rsidRPr="000F393A" w:rsidTr="007E5887">
        <w:trPr>
          <w:trHeight w:val="20"/>
        </w:trPr>
        <w:tc>
          <w:tcPr>
            <w:tcW w:w="2634" w:type="dxa"/>
            <w:shd w:val="clear" w:color="auto" w:fill="BFBFBF"/>
            <w:vAlign w:val="center"/>
          </w:tcPr>
          <w:p w:rsidR="000F393A" w:rsidRPr="000F393A" w:rsidRDefault="000F393A" w:rsidP="00B52D31">
            <w:pPr>
              <w:spacing w:after="0" w:line="20" w:lineRule="atLeast"/>
              <w:ind w:hanging="55"/>
              <w:jc w:val="both"/>
              <w:rPr>
                <w:rFonts w:ascii="Times New Roman" w:eastAsia="Times New Roman" w:hAnsi="Times New Roman" w:cs="Times New Roman"/>
                <w:b/>
                <w:sz w:val="24"/>
                <w:lang w:eastAsia="sk-SK"/>
              </w:rPr>
            </w:pPr>
            <w:r w:rsidRPr="000F393A">
              <w:rPr>
                <w:rFonts w:ascii="Times New Roman" w:eastAsia="Times New Roman" w:hAnsi="Times New Roman" w:cs="Times New Roman"/>
                <w:b/>
                <w:sz w:val="24"/>
                <w:lang w:eastAsia="sk-SK"/>
              </w:rPr>
              <w:t>Financovanie procesu informatizácie</w:t>
            </w:r>
          </w:p>
        </w:tc>
        <w:tc>
          <w:tcPr>
            <w:tcW w:w="992" w:type="dxa"/>
            <w:shd w:val="clear" w:color="auto" w:fill="BFBFBF"/>
            <w:vAlign w:val="center"/>
          </w:tcPr>
          <w:p w:rsidR="000F393A" w:rsidRPr="000F393A" w:rsidRDefault="000F393A" w:rsidP="00B52D31">
            <w:pPr>
              <w:spacing w:after="0" w:line="240" w:lineRule="auto"/>
              <w:jc w:val="both"/>
              <w:rPr>
                <w:rFonts w:ascii="Times New Roman" w:eastAsia="Times New Roman" w:hAnsi="Times New Roman" w:cs="Times New Roman"/>
                <w:b/>
                <w:i/>
                <w:iCs/>
                <w:sz w:val="24"/>
                <w:lang w:eastAsia="sk-SK"/>
              </w:rPr>
            </w:pPr>
            <w:r w:rsidRPr="000F393A">
              <w:rPr>
                <w:rFonts w:ascii="Times New Roman" w:eastAsia="Times New Roman" w:hAnsi="Times New Roman" w:cs="Times New Roman"/>
                <w:b/>
                <w:sz w:val="24"/>
                <w:lang w:eastAsia="sk-SK"/>
              </w:rPr>
              <w:t>Rezortná úroveň</w:t>
            </w:r>
          </w:p>
        </w:tc>
        <w:tc>
          <w:tcPr>
            <w:tcW w:w="3760" w:type="dxa"/>
            <w:gridSpan w:val="2"/>
            <w:shd w:val="clear" w:color="auto" w:fill="BFBFBF"/>
            <w:vAlign w:val="center"/>
          </w:tcPr>
          <w:p w:rsidR="000F393A" w:rsidRPr="000F393A" w:rsidRDefault="000F393A" w:rsidP="00B52D31">
            <w:pPr>
              <w:spacing w:after="0" w:line="240" w:lineRule="auto"/>
              <w:jc w:val="both"/>
              <w:rPr>
                <w:rFonts w:ascii="Times New Roman" w:eastAsia="Times New Roman" w:hAnsi="Times New Roman" w:cs="Times New Roman"/>
                <w:b/>
                <w:i/>
                <w:iCs/>
                <w:sz w:val="24"/>
                <w:lang w:eastAsia="sk-SK"/>
              </w:rPr>
            </w:pPr>
            <w:r w:rsidRPr="000F393A">
              <w:rPr>
                <w:rFonts w:ascii="Times New Roman" w:eastAsia="Times New Roman" w:hAnsi="Times New Roman" w:cs="Times New Roman"/>
                <w:b/>
                <w:sz w:val="24"/>
                <w:lang w:eastAsia="sk-SK"/>
              </w:rPr>
              <w:t>Nadrezortná úroveň</w:t>
            </w:r>
          </w:p>
          <w:p w:rsidR="000F393A" w:rsidRPr="000F393A" w:rsidRDefault="000F393A" w:rsidP="00B52D31">
            <w:pPr>
              <w:spacing w:after="0" w:line="240" w:lineRule="auto"/>
              <w:jc w:val="both"/>
              <w:rPr>
                <w:rFonts w:ascii="Times New Roman" w:eastAsia="Times New Roman" w:hAnsi="Times New Roman" w:cs="Times New Roman"/>
                <w:b/>
                <w:sz w:val="24"/>
                <w:lang w:eastAsia="sk-SK"/>
              </w:rPr>
            </w:pPr>
          </w:p>
        </w:tc>
        <w:tc>
          <w:tcPr>
            <w:tcW w:w="1985" w:type="dxa"/>
            <w:gridSpan w:val="2"/>
            <w:shd w:val="clear" w:color="auto" w:fill="BFBFBF"/>
            <w:vAlign w:val="center"/>
          </w:tcPr>
          <w:p w:rsidR="000F393A" w:rsidRPr="000F393A" w:rsidRDefault="000F393A" w:rsidP="00B52D31">
            <w:pPr>
              <w:spacing w:after="0" w:line="240" w:lineRule="auto"/>
              <w:jc w:val="both"/>
              <w:rPr>
                <w:rFonts w:ascii="Times New Roman" w:eastAsia="Times New Roman" w:hAnsi="Times New Roman" w:cs="Times New Roman"/>
                <w:b/>
                <w:sz w:val="24"/>
                <w:lang w:eastAsia="sk-SK"/>
              </w:rPr>
            </w:pPr>
            <w:r w:rsidRPr="000F393A">
              <w:rPr>
                <w:rFonts w:ascii="Times New Roman" w:eastAsia="Times New Roman" w:hAnsi="Times New Roman" w:cs="Times New Roman"/>
                <w:b/>
                <w:sz w:val="24"/>
                <w:lang w:eastAsia="sk-SK"/>
              </w:rPr>
              <w:t>A - z prostriedkov EÚ   B - z ďalších zdrojov financovania</w:t>
            </w:r>
          </w:p>
        </w:tc>
      </w:tr>
      <w:tr w:rsidR="000F393A" w:rsidRPr="000F393A" w:rsidTr="007E5887">
        <w:trPr>
          <w:trHeight w:val="20"/>
        </w:trPr>
        <w:tc>
          <w:tcPr>
            <w:tcW w:w="2634" w:type="dxa"/>
          </w:tcPr>
          <w:p w:rsidR="000F393A" w:rsidRPr="000F393A" w:rsidRDefault="000F393A" w:rsidP="00B52D31">
            <w:pPr>
              <w:spacing w:after="0" w:line="240" w:lineRule="auto"/>
              <w:jc w:val="both"/>
              <w:rPr>
                <w:rFonts w:ascii="Times New Roman" w:eastAsia="Times New Roman" w:hAnsi="Times New Roman" w:cs="Times New Roman"/>
                <w:sz w:val="20"/>
                <w:lang w:eastAsia="sk-SK"/>
              </w:rPr>
            </w:pPr>
            <w:r w:rsidRPr="000F393A">
              <w:rPr>
                <w:rFonts w:ascii="Times New Roman" w:eastAsia="Times New Roman" w:hAnsi="Times New Roman" w:cs="Times New Roman"/>
                <w:b/>
                <w:sz w:val="20"/>
                <w:lang w:eastAsia="sk-SK"/>
              </w:rPr>
              <w:t>6.3.</w:t>
            </w:r>
            <w:r w:rsidRPr="000F393A">
              <w:rPr>
                <w:rFonts w:ascii="Times New Roman" w:eastAsia="Times New Roman" w:hAnsi="Times New Roman" w:cs="Times New Roman"/>
                <w:sz w:val="20"/>
                <w:lang w:eastAsia="sk-SK"/>
              </w:rPr>
              <w:t xml:space="preserve"> Vyžaduje si proces informatizácie finančné investície?</w:t>
            </w:r>
          </w:p>
          <w:p w:rsidR="000F393A" w:rsidRPr="000F393A" w:rsidRDefault="000F393A" w:rsidP="00B52D31">
            <w:pPr>
              <w:spacing w:after="0" w:line="20" w:lineRule="atLeast"/>
              <w:jc w:val="both"/>
              <w:rPr>
                <w:rFonts w:ascii="Times New Roman" w:eastAsia="Times New Roman" w:hAnsi="Times New Roman" w:cs="Times New Roman"/>
                <w:sz w:val="24"/>
                <w:szCs w:val="24"/>
                <w:lang w:eastAsia="sk-SK"/>
              </w:rPr>
            </w:pPr>
            <w:r w:rsidRPr="000F393A">
              <w:rPr>
                <w:rFonts w:ascii="Times New Roman" w:eastAsia="Times New Roman" w:hAnsi="Times New Roman" w:cs="Times New Roman"/>
                <w:i/>
                <w:iCs/>
                <w:sz w:val="20"/>
                <w:lang w:eastAsia="sk-SK"/>
              </w:rPr>
              <w:t>(Uveďte príslušnú úroveň financovania a kvantifikáciu finančných výdavkov uveďte  v analýze vplyvov na rozpočet verejnej správy.)</w:t>
            </w:r>
          </w:p>
        </w:tc>
        <w:tc>
          <w:tcPr>
            <w:tcW w:w="992" w:type="dxa"/>
          </w:tcPr>
          <w:p w:rsidR="000F393A" w:rsidRPr="000F393A" w:rsidRDefault="000F393A" w:rsidP="00B52D31">
            <w:pPr>
              <w:spacing w:after="0" w:line="240" w:lineRule="auto"/>
              <w:jc w:val="both"/>
              <w:rPr>
                <w:rFonts w:ascii="Times New Roman" w:eastAsia="Times New Roman" w:hAnsi="Times New Roman" w:cs="Times New Roman"/>
                <w:iCs/>
                <w:sz w:val="24"/>
                <w:szCs w:val="24"/>
                <w:lang w:eastAsia="sk-SK"/>
              </w:rPr>
            </w:pPr>
            <w:r w:rsidRPr="000F393A">
              <w:rPr>
                <w:rFonts w:ascii="Times New Roman" w:eastAsia="Times New Roman" w:hAnsi="Times New Roman" w:cs="Times New Roman"/>
                <w:iCs/>
                <w:sz w:val="24"/>
                <w:szCs w:val="24"/>
                <w:lang w:eastAsia="sk-SK"/>
              </w:rPr>
              <w:t>X</w:t>
            </w:r>
          </w:p>
        </w:tc>
        <w:tc>
          <w:tcPr>
            <w:tcW w:w="3760" w:type="dxa"/>
            <w:gridSpan w:val="2"/>
          </w:tcPr>
          <w:p w:rsidR="000F393A" w:rsidRPr="000F393A" w:rsidRDefault="000F393A" w:rsidP="00B52D31">
            <w:pPr>
              <w:spacing w:after="0" w:line="240" w:lineRule="auto"/>
              <w:jc w:val="both"/>
              <w:rPr>
                <w:rFonts w:ascii="Times New Roman" w:eastAsia="Times New Roman" w:hAnsi="Times New Roman" w:cs="Times New Roman"/>
                <w:iCs/>
                <w:sz w:val="24"/>
                <w:szCs w:val="24"/>
                <w:lang w:eastAsia="sk-SK"/>
              </w:rPr>
            </w:pPr>
            <w:r w:rsidRPr="000F393A">
              <w:rPr>
                <w:rFonts w:ascii="Times New Roman" w:eastAsia="Times New Roman" w:hAnsi="Times New Roman" w:cs="Times New Roman"/>
                <w:iCs/>
                <w:sz w:val="24"/>
                <w:szCs w:val="24"/>
                <w:lang w:eastAsia="sk-SK"/>
              </w:rPr>
              <w:t>-</w:t>
            </w:r>
          </w:p>
        </w:tc>
        <w:tc>
          <w:tcPr>
            <w:tcW w:w="1985" w:type="dxa"/>
            <w:gridSpan w:val="2"/>
          </w:tcPr>
          <w:p w:rsidR="000F393A" w:rsidRPr="000F393A" w:rsidRDefault="000F393A" w:rsidP="00B52D31">
            <w:pPr>
              <w:spacing w:after="0" w:line="240" w:lineRule="auto"/>
              <w:jc w:val="both"/>
              <w:rPr>
                <w:rFonts w:ascii="Times New Roman" w:eastAsia="Times New Roman" w:hAnsi="Times New Roman" w:cs="Times New Roman"/>
                <w:iCs/>
                <w:sz w:val="24"/>
                <w:szCs w:val="24"/>
                <w:lang w:eastAsia="sk-SK"/>
              </w:rPr>
            </w:pPr>
            <w:r w:rsidRPr="000F393A">
              <w:rPr>
                <w:rFonts w:ascii="Times New Roman" w:eastAsia="Times New Roman" w:hAnsi="Times New Roman" w:cs="Times New Roman"/>
                <w:iCs/>
                <w:sz w:val="24"/>
                <w:szCs w:val="24"/>
                <w:lang w:eastAsia="sk-SK"/>
              </w:rPr>
              <w:t>-</w:t>
            </w:r>
          </w:p>
        </w:tc>
      </w:tr>
    </w:tbl>
    <w:p w:rsidR="000F393A" w:rsidRPr="000F393A" w:rsidRDefault="000F393A" w:rsidP="00B52D31">
      <w:pPr>
        <w:spacing w:after="0" w:line="240" w:lineRule="auto"/>
        <w:jc w:val="both"/>
        <w:rPr>
          <w:rFonts w:ascii="Times New Roman" w:eastAsia="Times New Roman" w:hAnsi="Times New Roman" w:cs="Times New Roman"/>
          <w:b/>
          <w:bCs/>
          <w:sz w:val="24"/>
          <w:szCs w:val="24"/>
          <w:lang w:eastAsia="sk-SK"/>
        </w:rPr>
      </w:pPr>
    </w:p>
    <w:p w:rsidR="000F393A" w:rsidRPr="00B52D31" w:rsidRDefault="000F393A" w:rsidP="00B52D31">
      <w:pPr>
        <w:jc w:val="both"/>
        <w:rPr>
          <w:rFonts w:ascii="Times New Roman" w:hAnsi="Times New Roman" w:cs="Times New Roman"/>
        </w:rPr>
      </w:pPr>
    </w:p>
    <w:p w:rsidR="001E2021" w:rsidRPr="001E2021" w:rsidRDefault="001E2021" w:rsidP="00B52D31">
      <w:pPr>
        <w:tabs>
          <w:tab w:val="left" w:pos="567"/>
        </w:tabs>
        <w:spacing w:after="0" w:line="240" w:lineRule="auto"/>
        <w:jc w:val="center"/>
        <w:rPr>
          <w:rFonts w:ascii="Times New Roman" w:eastAsia="Times New Roman" w:hAnsi="Times New Roman" w:cs="Times New Roman"/>
          <w:b/>
          <w:caps/>
          <w:sz w:val="24"/>
          <w:szCs w:val="24"/>
          <w:lang w:eastAsia="cs-CZ"/>
        </w:rPr>
      </w:pPr>
      <w:r w:rsidRPr="001E2021">
        <w:rPr>
          <w:rFonts w:ascii="Times New Roman" w:eastAsia="Times New Roman" w:hAnsi="Times New Roman" w:cs="Times New Roman"/>
          <w:b/>
          <w:caps/>
          <w:sz w:val="24"/>
          <w:szCs w:val="24"/>
          <w:lang w:eastAsia="cs-CZ"/>
        </w:rPr>
        <w:lastRenderedPageBreak/>
        <w:t>Doložka zlučiteľnosti</w:t>
      </w:r>
    </w:p>
    <w:p w:rsidR="001E2021" w:rsidRPr="001E2021" w:rsidRDefault="001E2021" w:rsidP="00B52D31">
      <w:pPr>
        <w:tabs>
          <w:tab w:val="left" w:pos="567"/>
        </w:tabs>
        <w:spacing w:after="120" w:line="240" w:lineRule="auto"/>
        <w:jc w:val="center"/>
        <w:rPr>
          <w:rFonts w:ascii="Times New Roman" w:eastAsia="Times New Roman" w:hAnsi="Times New Roman" w:cs="Times New Roman"/>
          <w:b/>
          <w:sz w:val="24"/>
          <w:szCs w:val="24"/>
          <w:lang w:eastAsia="cs-CZ"/>
        </w:rPr>
      </w:pPr>
      <w:r w:rsidRPr="001E2021">
        <w:rPr>
          <w:rFonts w:ascii="Times New Roman" w:eastAsia="Times New Roman" w:hAnsi="Times New Roman" w:cs="Times New Roman"/>
          <w:b/>
          <w:bCs/>
          <w:sz w:val="24"/>
          <w:szCs w:val="24"/>
          <w:lang w:eastAsia="cs-CZ"/>
        </w:rPr>
        <w:t xml:space="preserve">návrhu </w:t>
      </w:r>
      <w:r w:rsidRPr="001E2021">
        <w:rPr>
          <w:rFonts w:ascii="Times New Roman" w:eastAsia="Times New Roman" w:hAnsi="Times New Roman" w:cs="Times New Roman"/>
          <w:b/>
          <w:sz w:val="24"/>
          <w:szCs w:val="24"/>
          <w:lang w:eastAsia="cs-CZ"/>
        </w:rPr>
        <w:t>zákona</w:t>
      </w:r>
      <w:r w:rsidRPr="001E2021">
        <w:rPr>
          <w:rFonts w:ascii="Times New Roman" w:eastAsia="Times New Roman" w:hAnsi="Times New Roman" w:cs="Times New Roman"/>
          <w:b/>
          <w:bCs/>
          <w:sz w:val="24"/>
          <w:szCs w:val="24"/>
          <w:lang w:eastAsia="cs-CZ"/>
        </w:rPr>
        <w:t xml:space="preserve"> s právom Európskej únie</w:t>
      </w:r>
    </w:p>
    <w:p w:rsidR="001E2021" w:rsidRPr="001E2021" w:rsidRDefault="001E2021" w:rsidP="00B52D31">
      <w:pPr>
        <w:tabs>
          <w:tab w:val="left" w:pos="567"/>
        </w:tabs>
        <w:spacing w:after="0" w:line="240" w:lineRule="auto"/>
        <w:jc w:val="both"/>
        <w:rPr>
          <w:rFonts w:ascii="Times New Roman" w:eastAsia="Times New Roman" w:hAnsi="Times New Roman" w:cs="Times New Roman"/>
          <w:b/>
          <w:sz w:val="24"/>
          <w:szCs w:val="24"/>
          <w:lang w:eastAsia="cs-CZ"/>
        </w:rPr>
      </w:pPr>
    </w:p>
    <w:p w:rsidR="001E2021" w:rsidRPr="001E2021" w:rsidRDefault="001E2021" w:rsidP="00B52D31">
      <w:pPr>
        <w:numPr>
          <w:ilvl w:val="0"/>
          <w:numId w:val="24"/>
        </w:numPr>
        <w:spacing w:after="0" w:line="240" w:lineRule="auto"/>
        <w:jc w:val="both"/>
        <w:rPr>
          <w:rFonts w:ascii="Times New Roman" w:eastAsia="Times New Roman" w:hAnsi="Times New Roman" w:cs="Times New Roman"/>
          <w:b/>
          <w:sz w:val="24"/>
          <w:szCs w:val="24"/>
          <w:lang w:eastAsia="cs-CZ"/>
        </w:rPr>
      </w:pPr>
      <w:r w:rsidRPr="001E2021">
        <w:rPr>
          <w:rFonts w:ascii="Times New Roman" w:eastAsia="Times New Roman" w:hAnsi="Times New Roman" w:cs="Times New Roman"/>
          <w:b/>
          <w:sz w:val="24"/>
          <w:szCs w:val="24"/>
          <w:lang w:eastAsia="cs-CZ"/>
        </w:rPr>
        <w:t xml:space="preserve">Navrhovateľ návrhu zákona: </w:t>
      </w:r>
    </w:p>
    <w:p w:rsidR="001E2021" w:rsidRPr="001E2021" w:rsidRDefault="001E2021" w:rsidP="00B52D31">
      <w:pPr>
        <w:spacing w:before="120" w:after="0" w:line="240" w:lineRule="auto"/>
        <w:ind w:firstLine="567"/>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Ministerstvo dopravy a výstavby Slovenskej republiky</w:t>
      </w:r>
    </w:p>
    <w:p w:rsidR="001E2021" w:rsidRPr="001E2021" w:rsidRDefault="001E2021" w:rsidP="00B52D31">
      <w:pPr>
        <w:spacing w:after="0" w:line="240" w:lineRule="auto"/>
        <w:jc w:val="both"/>
        <w:rPr>
          <w:rFonts w:ascii="Times New Roman" w:eastAsia="Times New Roman" w:hAnsi="Times New Roman" w:cs="Times New Roman"/>
          <w:sz w:val="24"/>
          <w:szCs w:val="24"/>
          <w:lang w:eastAsia="cs-CZ"/>
        </w:rPr>
      </w:pPr>
    </w:p>
    <w:p w:rsidR="001E2021" w:rsidRPr="001E2021" w:rsidRDefault="001E2021" w:rsidP="00B52D31">
      <w:pPr>
        <w:numPr>
          <w:ilvl w:val="0"/>
          <w:numId w:val="24"/>
        </w:numPr>
        <w:spacing w:after="0" w:line="240" w:lineRule="auto"/>
        <w:jc w:val="both"/>
        <w:rPr>
          <w:rFonts w:ascii="Times New Roman" w:eastAsia="Times New Roman" w:hAnsi="Times New Roman" w:cs="Times New Roman"/>
          <w:b/>
          <w:sz w:val="24"/>
          <w:szCs w:val="24"/>
          <w:lang w:eastAsia="cs-CZ"/>
        </w:rPr>
      </w:pPr>
      <w:r w:rsidRPr="001E2021">
        <w:rPr>
          <w:rFonts w:ascii="Times New Roman" w:eastAsia="Times New Roman" w:hAnsi="Times New Roman" w:cs="Times New Roman"/>
          <w:b/>
          <w:sz w:val="24"/>
          <w:szCs w:val="24"/>
          <w:lang w:eastAsia="cs-CZ"/>
        </w:rPr>
        <w:t>Názov návrhu zákona:</w:t>
      </w:r>
    </w:p>
    <w:p w:rsidR="001E2021" w:rsidRPr="001E2021" w:rsidRDefault="001E2021" w:rsidP="00B52D31">
      <w:pPr>
        <w:spacing w:before="120" w:after="0" w:line="240" w:lineRule="auto"/>
        <w:ind w:left="567"/>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Návrh zákona, ktorým sa mení a dopĺňa zákon č. 106/2018 Z. z. o prevádzke vozidiel v cestnej premávke a o zmene a doplnení niektorých zákonov v znení neskorších predpisov a ktorým sa menia a dopĺňajú niektoré zákony</w:t>
      </w:r>
    </w:p>
    <w:p w:rsidR="001E2021" w:rsidRPr="001E2021" w:rsidRDefault="001E2021" w:rsidP="00B52D31">
      <w:pPr>
        <w:spacing w:after="0" w:line="240" w:lineRule="auto"/>
        <w:jc w:val="both"/>
        <w:rPr>
          <w:rFonts w:ascii="Times New Roman" w:eastAsia="Times New Roman" w:hAnsi="Times New Roman" w:cs="Times New Roman"/>
          <w:b/>
          <w:sz w:val="24"/>
          <w:szCs w:val="24"/>
          <w:lang w:eastAsia="cs-CZ"/>
        </w:rPr>
      </w:pPr>
    </w:p>
    <w:p w:rsidR="001E2021" w:rsidRPr="001E2021" w:rsidRDefault="001E2021" w:rsidP="00B52D31">
      <w:pPr>
        <w:numPr>
          <w:ilvl w:val="0"/>
          <w:numId w:val="24"/>
        </w:numPr>
        <w:spacing w:after="0" w:line="240" w:lineRule="auto"/>
        <w:jc w:val="both"/>
        <w:rPr>
          <w:rFonts w:ascii="Times New Roman" w:eastAsia="Times New Roman" w:hAnsi="Times New Roman" w:cs="Times New Roman"/>
          <w:b/>
          <w:sz w:val="24"/>
          <w:szCs w:val="24"/>
          <w:lang w:eastAsia="cs-CZ"/>
        </w:rPr>
      </w:pPr>
      <w:r w:rsidRPr="001E2021">
        <w:rPr>
          <w:rFonts w:ascii="Times New Roman" w:eastAsia="Times New Roman" w:hAnsi="Times New Roman" w:cs="Times New Roman"/>
          <w:b/>
          <w:sz w:val="24"/>
          <w:szCs w:val="24"/>
          <w:lang w:eastAsia="cs-CZ"/>
        </w:rPr>
        <w:t xml:space="preserve">Predmet návrhu zákona je upravený v práve Európskej únie: </w:t>
      </w:r>
    </w:p>
    <w:p w:rsidR="001E2021" w:rsidRPr="001E2021" w:rsidRDefault="001E2021" w:rsidP="00B52D31">
      <w:pPr>
        <w:numPr>
          <w:ilvl w:val="0"/>
          <w:numId w:val="22"/>
        </w:numPr>
        <w:spacing w:before="120" w:after="0" w:line="240" w:lineRule="auto"/>
        <w:ind w:left="714" w:hanging="357"/>
        <w:jc w:val="both"/>
        <w:rPr>
          <w:rFonts w:ascii="Times New Roman" w:eastAsia="Times New Roman" w:hAnsi="Times New Roman" w:cs="Times New Roman"/>
          <w:sz w:val="24"/>
          <w:szCs w:val="24"/>
          <w:lang w:eastAsia="sk-SK"/>
        </w:rPr>
      </w:pPr>
      <w:r w:rsidRPr="001E2021">
        <w:rPr>
          <w:rFonts w:ascii="Times New Roman" w:eastAsia="Times New Roman" w:hAnsi="Times New Roman" w:cs="Times New Roman"/>
          <w:sz w:val="24"/>
          <w:szCs w:val="24"/>
          <w:lang w:eastAsia="sk-SK"/>
        </w:rPr>
        <w:t xml:space="preserve">v primárnom práve (uviesť názov zmluvy a číslo článku) </w:t>
      </w:r>
    </w:p>
    <w:p w:rsidR="001E2021" w:rsidRPr="001E2021" w:rsidRDefault="001E2021" w:rsidP="00B52D31">
      <w:pPr>
        <w:spacing w:after="0" w:line="240" w:lineRule="auto"/>
        <w:ind w:left="709"/>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Čl. 28-37 Hlava II (Voľný pohyb tovaru), čl. 90-100 Hlava VI (Doprava), čl. 114-118 (Aproximácia práva) a čl. 191-193 Hlava XX (Životné prostredie) Zmluvy o fungovaní Európskej únie,</w:t>
      </w:r>
    </w:p>
    <w:p w:rsidR="001E2021" w:rsidRPr="001E2021" w:rsidRDefault="001E2021" w:rsidP="00B52D31">
      <w:pPr>
        <w:numPr>
          <w:ilvl w:val="0"/>
          <w:numId w:val="22"/>
        </w:numPr>
        <w:spacing w:before="120" w:after="0" w:line="240" w:lineRule="auto"/>
        <w:ind w:left="714" w:hanging="357"/>
        <w:jc w:val="both"/>
        <w:rPr>
          <w:rFonts w:ascii="Times New Roman" w:eastAsia="Times New Roman" w:hAnsi="Times New Roman" w:cs="Times New Roman"/>
          <w:sz w:val="24"/>
          <w:szCs w:val="24"/>
          <w:lang w:eastAsia="sk-SK"/>
        </w:rPr>
      </w:pPr>
      <w:r w:rsidRPr="001E2021">
        <w:rPr>
          <w:rFonts w:ascii="Times New Roman" w:eastAsia="Times New Roman" w:hAnsi="Times New Roman" w:cs="Times New Roman"/>
          <w:sz w:val="24"/>
          <w:szCs w:val="24"/>
          <w:lang w:eastAsia="sk-SK"/>
        </w:rPr>
        <w:t xml:space="preserve">v sekundárnom práve (uviesť druh, inštitúciu, číslo, názov a dátum vydania právneho aktu vzťahujúceho sa na upravovanú problematiku, vrátane jeho gestora) </w:t>
      </w:r>
    </w:p>
    <w:p w:rsidR="001E2021" w:rsidRPr="001E2021" w:rsidRDefault="001E2021" w:rsidP="00B52D31">
      <w:pPr>
        <w:numPr>
          <w:ilvl w:val="0"/>
          <w:numId w:val="27"/>
        </w:numPr>
        <w:spacing w:after="0" w:line="240" w:lineRule="auto"/>
        <w:jc w:val="both"/>
        <w:rPr>
          <w:rFonts w:ascii="Times New Roman" w:eastAsia="Times New Roman" w:hAnsi="Times New Roman" w:cs="Times New Roman"/>
          <w:sz w:val="24"/>
          <w:szCs w:val="24"/>
          <w:lang w:eastAsia="sk-SK"/>
        </w:rPr>
      </w:pPr>
      <w:r w:rsidRPr="001E2021">
        <w:rPr>
          <w:rFonts w:ascii="Times New Roman" w:eastAsia="Times New Roman" w:hAnsi="Times New Roman" w:cs="Times New Roman"/>
          <w:sz w:val="24"/>
          <w:szCs w:val="24"/>
          <w:lang w:eastAsia="sk-SK"/>
        </w:rPr>
        <w:t>smernica Rady 89/459/EHS z 18. júla 1989 o aproximácii právnych predpisov členských štátov, ktoré sa týkajú hĺbky dezénu jazdnej plochy pneumatík určitých kategórií motorových vozidiel a ich prípojných vozidiel (Ú. v. ES L 226, 3. 8. 1989; Mimoriadne vydanie Ú. v. EÚ, kap. 13/zv. 10), ktorej gestorom je Ministerstvo dopravy a výstavby Slovenskej republiky,</w:t>
      </w:r>
    </w:p>
    <w:p w:rsidR="001E2021" w:rsidRPr="001E2021" w:rsidRDefault="001E2021" w:rsidP="00B52D31">
      <w:pPr>
        <w:numPr>
          <w:ilvl w:val="0"/>
          <w:numId w:val="27"/>
        </w:numPr>
        <w:spacing w:after="0" w:line="240" w:lineRule="auto"/>
        <w:jc w:val="both"/>
        <w:rPr>
          <w:rFonts w:ascii="Times New Roman" w:eastAsia="Times New Roman" w:hAnsi="Times New Roman" w:cs="Times New Roman"/>
          <w:sz w:val="24"/>
          <w:szCs w:val="24"/>
          <w:lang w:eastAsia="sk-SK"/>
        </w:rPr>
      </w:pPr>
      <w:r w:rsidRPr="001E2021">
        <w:rPr>
          <w:rFonts w:ascii="Times New Roman" w:eastAsia="Times New Roman" w:hAnsi="Times New Roman" w:cs="Times New Roman"/>
          <w:sz w:val="24"/>
          <w:szCs w:val="24"/>
          <w:lang w:eastAsia="sk-SK"/>
        </w:rPr>
        <w:t>smernica Rady 96/53/ES z 25. júla 1996, ktorou sa v Spoločenstve stanovujú najväčšie prípustné rozmery niektorých vozidiel vo vnútroštátnej a medzinárodnej cestnej doprave a maximálna povolená hmotnosť v medzinárodnej cestnej doprave (Ú. v. EÚ L 235, 17.9.1996; Mimoriadne vydanie Ú. v. EÚ, kap. 7/zv. 2) v platnom znení, ktorej gestorom je Ministerstvo dopravy a výstavby Slovenskej republiky,</w:t>
      </w:r>
    </w:p>
    <w:p w:rsidR="001E2021" w:rsidRPr="001E2021" w:rsidRDefault="001E2021" w:rsidP="00B52D31">
      <w:pPr>
        <w:numPr>
          <w:ilvl w:val="0"/>
          <w:numId w:val="27"/>
        </w:numPr>
        <w:spacing w:after="0" w:line="240" w:lineRule="auto"/>
        <w:jc w:val="both"/>
        <w:rPr>
          <w:rFonts w:ascii="Times New Roman" w:eastAsia="Times New Roman" w:hAnsi="Times New Roman" w:cs="Times New Roman"/>
          <w:sz w:val="24"/>
          <w:szCs w:val="24"/>
          <w:lang w:eastAsia="sk-SK"/>
        </w:rPr>
      </w:pPr>
      <w:r w:rsidRPr="001E2021">
        <w:rPr>
          <w:rFonts w:ascii="Times New Roman" w:eastAsia="Times New Roman" w:hAnsi="Times New Roman" w:cs="Times New Roman"/>
          <w:sz w:val="24"/>
          <w:szCs w:val="24"/>
          <w:lang w:eastAsia="sk-SK"/>
        </w:rPr>
        <w:t>smernica Rady 1999/37/ES z 29. apríla 1999 o registračných dokumentoch pre vozidlá (Ú. v. ES L 138, 1. 6. 1999; Mimoriadne vydanie Ú . v. EÚ, kap.7/zv. 4) v platnom znení, ktorej gestorom je Ministerstvo dopravy a výstavby Slovenskej republiky a Ministerstvo vnútra Slovenskej republiky,</w:t>
      </w:r>
    </w:p>
    <w:p w:rsidR="001E2021" w:rsidRPr="001E2021" w:rsidRDefault="001E2021" w:rsidP="00B52D31">
      <w:pPr>
        <w:numPr>
          <w:ilvl w:val="0"/>
          <w:numId w:val="27"/>
        </w:numPr>
        <w:spacing w:after="0" w:line="240" w:lineRule="auto"/>
        <w:jc w:val="both"/>
        <w:rPr>
          <w:rFonts w:ascii="Times New Roman" w:eastAsia="Times New Roman" w:hAnsi="Times New Roman" w:cs="Times New Roman"/>
          <w:sz w:val="24"/>
          <w:szCs w:val="24"/>
          <w:lang w:eastAsia="sk-SK"/>
        </w:rPr>
      </w:pPr>
      <w:r w:rsidRPr="001E2021">
        <w:rPr>
          <w:rFonts w:ascii="Times New Roman" w:eastAsia="Times New Roman" w:hAnsi="Times New Roman" w:cs="Times New Roman"/>
          <w:sz w:val="24"/>
          <w:szCs w:val="24"/>
          <w:lang w:eastAsia="sk-SK"/>
        </w:rPr>
        <w:t>smernica Európskeho parlamentu a Rady 2014/45/EÚ z 3. apríla 2014 o pravidelnej kontrole technického stavu motorových vozidiel a ich prípojných vozidiel a o zrušení smernice 2009/40/ES (Ú. v. ES L 127, 29.4.2014), ktorej gestorom je Ministerstvo dopravy a výstavby Slovenskej republiky,</w:t>
      </w:r>
    </w:p>
    <w:p w:rsidR="001E2021" w:rsidRPr="001E2021" w:rsidRDefault="001E2021" w:rsidP="00B52D31">
      <w:pPr>
        <w:numPr>
          <w:ilvl w:val="0"/>
          <w:numId w:val="27"/>
        </w:numPr>
        <w:spacing w:after="0" w:line="240" w:lineRule="auto"/>
        <w:jc w:val="both"/>
        <w:rPr>
          <w:rFonts w:ascii="Times New Roman" w:eastAsia="Times New Roman" w:hAnsi="Times New Roman" w:cs="Times New Roman"/>
          <w:sz w:val="24"/>
          <w:szCs w:val="24"/>
          <w:lang w:eastAsia="sk-SK"/>
        </w:rPr>
      </w:pPr>
      <w:r w:rsidRPr="001E2021">
        <w:rPr>
          <w:rFonts w:ascii="Times New Roman" w:eastAsia="Times New Roman" w:hAnsi="Times New Roman" w:cs="Times New Roman"/>
          <w:sz w:val="24"/>
          <w:szCs w:val="24"/>
          <w:lang w:eastAsia="sk-SK"/>
        </w:rPr>
        <w:t>smernica Európskeho parlamentu a Rady 2014/47/EÚ z 3. apríla 2014 o cestnej technickej kontrole úžitkových vozidiel prevádzkovaných v Únii a o zrušení smernice 2000/30/ES (Ú. v. ES L 127, 29.4.2014), ktorej gestorom je Ministerstvo dopravy a výstavby Slovenskej republiky a Ministerstvo vnútra Slovenskej republiky,</w:t>
      </w:r>
    </w:p>
    <w:p w:rsidR="001E2021" w:rsidRPr="001E2021" w:rsidRDefault="001E2021" w:rsidP="00B52D31">
      <w:pPr>
        <w:numPr>
          <w:ilvl w:val="0"/>
          <w:numId w:val="27"/>
        </w:numPr>
        <w:spacing w:after="0" w:line="240" w:lineRule="auto"/>
        <w:jc w:val="both"/>
        <w:rPr>
          <w:rFonts w:ascii="Times New Roman" w:eastAsia="Times New Roman" w:hAnsi="Times New Roman" w:cs="Times New Roman"/>
          <w:sz w:val="24"/>
          <w:szCs w:val="24"/>
          <w:lang w:eastAsia="sk-SK"/>
        </w:rPr>
      </w:pPr>
      <w:r w:rsidRPr="001E2021">
        <w:rPr>
          <w:rFonts w:ascii="Times New Roman" w:eastAsia="Times New Roman" w:hAnsi="Times New Roman" w:cs="Times New Roman"/>
          <w:sz w:val="24"/>
          <w:szCs w:val="24"/>
          <w:lang w:eastAsia="sk-SK"/>
        </w:rPr>
        <w:t>nariadenie Európskeho parlamentu a Rady (ES) č. 715/2007 z 20. júna 2007 o typovom schvaľovaní motorových vozidiel so zreteľom na emisie ľahkých osobných a úžitkových vozidiel (Euro 5 a Euro 6) (Ú. v. EÚ L 171, 29. 6. 2007) v platnom znení, ktorého gestorom je Ministerstvo dopravy a výstavby Slovenskej republiky,</w:t>
      </w:r>
    </w:p>
    <w:p w:rsidR="001E2021" w:rsidRPr="001E2021" w:rsidRDefault="001E2021" w:rsidP="00B52D31">
      <w:pPr>
        <w:numPr>
          <w:ilvl w:val="0"/>
          <w:numId w:val="27"/>
        </w:numPr>
        <w:spacing w:after="0" w:line="240" w:lineRule="auto"/>
        <w:jc w:val="both"/>
        <w:rPr>
          <w:rFonts w:ascii="Times New Roman" w:eastAsia="Times New Roman" w:hAnsi="Times New Roman" w:cs="Times New Roman"/>
          <w:sz w:val="24"/>
          <w:szCs w:val="24"/>
          <w:lang w:eastAsia="sk-SK"/>
        </w:rPr>
      </w:pPr>
      <w:r w:rsidRPr="001E2021">
        <w:rPr>
          <w:rFonts w:ascii="Times New Roman" w:eastAsia="Times New Roman" w:hAnsi="Times New Roman" w:cs="Times New Roman"/>
          <w:sz w:val="24"/>
          <w:szCs w:val="24"/>
          <w:lang w:eastAsia="sk-SK"/>
        </w:rPr>
        <w:lastRenderedPageBreak/>
        <w:t>nariadenie Európskeho parlamentu a Rady (ES) č. 595/2009 z 18. júna 2009 o typovom schvaľovaní motorových vozidiel a motorov s ohľadom na emisie ťažkých úžitkových vozidiel (Euro VI), ktorým sa mení nariadenie (ES) č. 715/2007 a smernica 2007/46/ES a zrušujú smernice 80/1269/EHS, 2005/55/ES a 2005/78/ES (Ú. v. EÚ L 188, 18. 7. 2009) v platnom znení, ktorého gestorom je Ministerstvo dopravy a výstavby Slovenskej republiky,</w:t>
      </w:r>
    </w:p>
    <w:p w:rsidR="001E2021" w:rsidRPr="001E2021" w:rsidRDefault="001E2021" w:rsidP="00B52D31">
      <w:pPr>
        <w:numPr>
          <w:ilvl w:val="0"/>
          <w:numId w:val="27"/>
        </w:numPr>
        <w:spacing w:after="0" w:line="240" w:lineRule="auto"/>
        <w:jc w:val="both"/>
        <w:rPr>
          <w:rFonts w:ascii="Times New Roman" w:eastAsia="Times New Roman" w:hAnsi="Times New Roman" w:cs="Times New Roman"/>
          <w:sz w:val="24"/>
          <w:szCs w:val="24"/>
          <w:lang w:eastAsia="sk-SK"/>
        </w:rPr>
      </w:pPr>
      <w:r w:rsidRPr="001E2021">
        <w:rPr>
          <w:rFonts w:ascii="Times New Roman" w:eastAsia="Times New Roman" w:hAnsi="Times New Roman" w:cs="Times New Roman"/>
          <w:sz w:val="24"/>
          <w:szCs w:val="24"/>
          <w:lang w:eastAsia="sk-SK"/>
        </w:rPr>
        <w:t>nariadenie Európskeho parlamentu a Rady (EÚ) č. 167/2013 z 5. februára 2013 o schvaľovaní poľnohospodárskych a lesných vozidiel a o dohľade nad trhom s týmito vozidlami (Ú. v. EÚ L 60, 2. 3. 2013) v platnom znení, , ktorého gestorom je Ministerstvo dopravy a výstavby Slovenskej republiky,</w:t>
      </w:r>
    </w:p>
    <w:p w:rsidR="001E2021" w:rsidRPr="001E2021" w:rsidRDefault="001E2021" w:rsidP="00B52D31">
      <w:pPr>
        <w:numPr>
          <w:ilvl w:val="0"/>
          <w:numId w:val="27"/>
        </w:numPr>
        <w:spacing w:after="0" w:line="240" w:lineRule="auto"/>
        <w:jc w:val="both"/>
        <w:rPr>
          <w:rFonts w:ascii="Times New Roman" w:eastAsia="Times New Roman" w:hAnsi="Times New Roman" w:cs="Times New Roman"/>
          <w:sz w:val="24"/>
          <w:szCs w:val="24"/>
          <w:lang w:eastAsia="sk-SK"/>
        </w:rPr>
      </w:pPr>
      <w:r w:rsidRPr="001E2021">
        <w:rPr>
          <w:rFonts w:ascii="Times New Roman" w:eastAsia="Times New Roman" w:hAnsi="Times New Roman" w:cs="Times New Roman"/>
          <w:sz w:val="24"/>
          <w:szCs w:val="24"/>
          <w:lang w:eastAsia="sk-SK"/>
        </w:rPr>
        <w:t>nariadenie Európskeho parlamentu a Rady (EÚ) č. 168/2013 z 15. januára 2013 o schvaľovaní a dohľade nad trhom dvoj- alebo trojkolesových vozidiel a </w:t>
      </w:r>
      <w:proofErr w:type="spellStart"/>
      <w:r w:rsidRPr="001E2021">
        <w:rPr>
          <w:rFonts w:ascii="Times New Roman" w:eastAsia="Times New Roman" w:hAnsi="Times New Roman" w:cs="Times New Roman"/>
          <w:sz w:val="24"/>
          <w:szCs w:val="24"/>
          <w:lang w:eastAsia="sk-SK"/>
        </w:rPr>
        <w:t>štvorkoliek</w:t>
      </w:r>
      <w:proofErr w:type="spellEnd"/>
      <w:r w:rsidRPr="001E2021">
        <w:rPr>
          <w:rFonts w:ascii="Times New Roman" w:eastAsia="Times New Roman" w:hAnsi="Times New Roman" w:cs="Times New Roman"/>
          <w:sz w:val="24"/>
          <w:szCs w:val="24"/>
          <w:lang w:eastAsia="sk-SK"/>
        </w:rPr>
        <w:t xml:space="preserve"> (Ú. v. EÚ L 60, 2. 3. 2013) v platnom znení, ktorého gestorom je Ministerstvo dopravy a výstavby Slovenskej republiky,</w:t>
      </w:r>
    </w:p>
    <w:p w:rsidR="001E2021" w:rsidRPr="001E2021" w:rsidRDefault="001E2021" w:rsidP="00B52D31">
      <w:pPr>
        <w:numPr>
          <w:ilvl w:val="0"/>
          <w:numId w:val="27"/>
        </w:numPr>
        <w:spacing w:after="0" w:line="240" w:lineRule="auto"/>
        <w:jc w:val="both"/>
        <w:rPr>
          <w:rFonts w:ascii="Times New Roman" w:eastAsia="Times New Roman" w:hAnsi="Times New Roman" w:cs="Times New Roman"/>
          <w:sz w:val="24"/>
          <w:szCs w:val="24"/>
          <w:lang w:eastAsia="sk-SK"/>
        </w:rPr>
      </w:pPr>
      <w:r w:rsidRPr="001E2021">
        <w:rPr>
          <w:rFonts w:ascii="Times New Roman" w:eastAsia="Times New Roman" w:hAnsi="Times New Roman" w:cs="Times New Roman"/>
          <w:sz w:val="24"/>
          <w:szCs w:val="24"/>
          <w:lang w:eastAsia="sk-SK"/>
        </w:rPr>
        <w:t xml:space="preserve">delegované nariadenie Komisie (EÚ) č. 44/2014 z 21. novembra 2013, ktorým sa dopĺňa nariadenie Európskeho parlamentu a Rady (EÚ) č. 168/2013, pokiaľ ide o konštrukciu vozidla a všeobecné požiadavky na schvaľovanie dvoj- alebo trojkolesových vozidiel a </w:t>
      </w:r>
      <w:proofErr w:type="spellStart"/>
      <w:r w:rsidRPr="001E2021">
        <w:rPr>
          <w:rFonts w:ascii="Times New Roman" w:eastAsia="Times New Roman" w:hAnsi="Times New Roman" w:cs="Times New Roman"/>
          <w:sz w:val="24"/>
          <w:szCs w:val="24"/>
          <w:lang w:eastAsia="sk-SK"/>
        </w:rPr>
        <w:t>štvorkoliek</w:t>
      </w:r>
      <w:proofErr w:type="spellEnd"/>
      <w:r w:rsidRPr="001E2021">
        <w:rPr>
          <w:rFonts w:ascii="Times New Roman" w:eastAsia="Times New Roman" w:hAnsi="Times New Roman" w:cs="Times New Roman"/>
          <w:sz w:val="24"/>
          <w:szCs w:val="24"/>
          <w:lang w:eastAsia="sk-SK"/>
        </w:rPr>
        <w:t xml:space="preserve"> (Ú. v. EÚ L 25, 28. 1. 2014) v platnom znení, ktorého gestorom je Ministerstvo dopravy a výstavby Slovenskej republiky,</w:t>
      </w:r>
    </w:p>
    <w:p w:rsidR="001E2021" w:rsidRPr="001E2021" w:rsidRDefault="001E2021" w:rsidP="00B52D31">
      <w:pPr>
        <w:numPr>
          <w:ilvl w:val="0"/>
          <w:numId w:val="27"/>
        </w:numPr>
        <w:spacing w:after="0" w:line="240" w:lineRule="auto"/>
        <w:jc w:val="both"/>
        <w:rPr>
          <w:rFonts w:ascii="Times New Roman" w:eastAsia="Times New Roman" w:hAnsi="Times New Roman" w:cs="Times New Roman"/>
          <w:sz w:val="24"/>
          <w:szCs w:val="24"/>
          <w:lang w:eastAsia="sk-SK"/>
        </w:rPr>
      </w:pPr>
      <w:r w:rsidRPr="001E2021">
        <w:rPr>
          <w:rFonts w:ascii="Times New Roman" w:eastAsia="Times New Roman" w:hAnsi="Times New Roman" w:cs="Times New Roman"/>
          <w:sz w:val="24"/>
          <w:szCs w:val="24"/>
          <w:lang w:eastAsia="sk-SK"/>
        </w:rPr>
        <w:t>delegované nariadenie Komisie (EÚ) č. 1322/2014 z 19. septembra 2014, ktorým sa dopĺňa a mení nariadenie Európskeho parlamentu a Rady (EÚ) č. 167/2013, pokiaľ ide o konštrukciu vozidla a všeobecné požiadavky na schvaľovanie poľnohospodárskych a lesných vozidiel (Ú. v. EÚ L 364, 18. 12. 2014) v platnom znení, ktorého gestorom je Ministerstvo dopravy a výstavby Slovenskej republiky,</w:t>
      </w:r>
    </w:p>
    <w:p w:rsidR="001E2021" w:rsidRPr="001E2021" w:rsidRDefault="001E2021" w:rsidP="00B52D31">
      <w:pPr>
        <w:numPr>
          <w:ilvl w:val="0"/>
          <w:numId w:val="27"/>
        </w:numPr>
        <w:spacing w:after="0" w:line="240" w:lineRule="auto"/>
        <w:jc w:val="both"/>
        <w:rPr>
          <w:rFonts w:ascii="Times New Roman" w:eastAsia="Times New Roman" w:hAnsi="Times New Roman" w:cs="Times New Roman"/>
          <w:sz w:val="24"/>
          <w:szCs w:val="24"/>
          <w:lang w:eastAsia="sk-SK"/>
        </w:rPr>
      </w:pPr>
      <w:r w:rsidRPr="001E2021">
        <w:rPr>
          <w:rFonts w:ascii="Times New Roman" w:eastAsia="Times New Roman" w:hAnsi="Times New Roman" w:cs="Times New Roman"/>
          <w:sz w:val="24"/>
          <w:szCs w:val="24"/>
          <w:lang w:eastAsia="sk-SK"/>
        </w:rPr>
        <w:t>nariadenie Európskeho parlamentu a Rady (EÚ) 2016/1628 zo 14. septembra 2016 o požiadavkách na emisné limity plynných a pevných znečisťujúcich látok a typové schválenie spaľovacích motorov necestných pojazdných strojov, ktorým sa menia nariadenia (EÚ) č. 1024/2012 a (EÚ) č. 167/2013, a ktorým sa mení a zrušuje smernica 97/68/ES (Ú. v. EÚ L 252, 16. 9. 2016) v platnom znení, ktorého gestorom je Ministerstvo dopravy a výstavby Slovenskej republiky,</w:t>
      </w:r>
    </w:p>
    <w:p w:rsidR="001E2021" w:rsidRPr="001E2021" w:rsidRDefault="001E2021" w:rsidP="00B52D31">
      <w:pPr>
        <w:numPr>
          <w:ilvl w:val="0"/>
          <w:numId w:val="27"/>
        </w:numPr>
        <w:spacing w:after="0" w:line="240" w:lineRule="auto"/>
        <w:jc w:val="both"/>
        <w:rPr>
          <w:rFonts w:ascii="Times New Roman" w:eastAsia="Times New Roman" w:hAnsi="Times New Roman" w:cs="Times New Roman"/>
          <w:sz w:val="24"/>
          <w:szCs w:val="24"/>
          <w:lang w:eastAsia="sk-SK"/>
        </w:rPr>
      </w:pPr>
      <w:r w:rsidRPr="001E2021">
        <w:rPr>
          <w:rFonts w:ascii="Times New Roman" w:eastAsia="Times New Roman" w:hAnsi="Times New Roman" w:cs="Times New Roman"/>
          <w:sz w:val="24"/>
          <w:szCs w:val="24"/>
          <w:lang w:eastAsia="sk-SK"/>
        </w:rPr>
        <w:t>nariadenie Európskeho parlamentu a Rady (EÚ) 2018/858 z 30. mája 2018 o schvaľovaní motorových vozidiel a ich prípojných vozidiel, ako aj systémov, komponentov a samostatných technických jednotiek určených pre takéto vozidlá a o dohľade nad trhom s nimi, ktorým sa menia nariadenia (ES) č. 715/2007 a (ES) č. 595/2009 a zrušuje smernica 2007/46/ES (Ú. v. EÚ L 151, 14. 6. 2018), ktorého gestorom je Ministerstvo dopravy a výstavby Slovenskej republiky,</w:t>
      </w:r>
    </w:p>
    <w:p w:rsidR="001E2021" w:rsidRPr="001E2021" w:rsidRDefault="001E2021" w:rsidP="00B52D31">
      <w:pPr>
        <w:numPr>
          <w:ilvl w:val="0"/>
          <w:numId w:val="27"/>
        </w:numPr>
        <w:spacing w:after="0" w:line="240" w:lineRule="auto"/>
        <w:jc w:val="both"/>
        <w:rPr>
          <w:rFonts w:ascii="Times New Roman" w:eastAsia="Times New Roman" w:hAnsi="Times New Roman" w:cs="Times New Roman"/>
          <w:sz w:val="24"/>
          <w:szCs w:val="24"/>
          <w:lang w:eastAsia="sk-SK"/>
        </w:rPr>
      </w:pPr>
      <w:r w:rsidRPr="001E2021">
        <w:rPr>
          <w:rFonts w:ascii="Times New Roman" w:eastAsia="Times New Roman" w:hAnsi="Times New Roman" w:cs="Times New Roman"/>
          <w:sz w:val="24"/>
          <w:szCs w:val="24"/>
          <w:lang w:eastAsia="sk-SK"/>
        </w:rPr>
        <w:t>nariadenie Európskeho parlamentu a Rady (EÚ) 2019/2144 z 27. novembra 2019 o požiadavkách na typové schvaľovanie motorových vozidiel a ich prípojných vozidiel a systémov, komponentov a samostatných technických jednotiek určených pre tieto vozidlá, pokiaľ ide o ich všeobecnú bezpečnosť a ochranu cestujúcich vo vozidle a zraniteľných účastníkov cestnej premávky, ktorým sa mení nariadenie Európskeho parlamentu a Rady (EÚ) 2018/858 a ktorým sa zrušujú nariadenia Európskeho parlamentu a Rady (ES) č. 78/2009, (ES) č. 79/2009 a (ES) č. 661/2009 a nariadenia Komisie (ES) č. 631/2009, (EÚ) č. 406/2010, (EÚ) č. 672/2010, (EÚ) č. 1003/2010, (EÚ) č. 1005/2010, (EÚ) č. 1008/2010, (EÚ) č. 1009/2010, (EÚ) č. 19/2011, (EÚ) č. 109/2011, (EÚ) č. 458/2011, (EÚ) č. 65/2012, (EÚ) č. 130/2012, (EÚ) č. 347/2012, (EÚ) č. 351/2012, (EÚ) č. 1230/2012 a (EÚ) 2015/166 (Ú. v. EÚ L 325, 16. 12. 2019), ktorého gestorom je Ministerstvo dopravy a výstavby Slovenskej republiky,</w:t>
      </w:r>
    </w:p>
    <w:p w:rsidR="001E2021" w:rsidRPr="001E2021" w:rsidRDefault="001E2021" w:rsidP="00B52D31">
      <w:pPr>
        <w:numPr>
          <w:ilvl w:val="0"/>
          <w:numId w:val="27"/>
        </w:numPr>
        <w:spacing w:after="0" w:line="240" w:lineRule="auto"/>
        <w:jc w:val="both"/>
        <w:rPr>
          <w:rFonts w:ascii="Times New Roman" w:eastAsia="Times New Roman" w:hAnsi="Times New Roman" w:cs="Times New Roman"/>
          <w:sz w:val="24"/>
          <w:szCs w:val="24"/>
          <w:lang w:eastAsia="sk-SK"/>
        </w:rPr>
      </w:pPr>
      <w:r w:rsidRPr="001E2021">
        <w:rPr>
          <w:rFonts w:ascii="Times New Roman" w:eastAsia="Times New Roman" w:hAnsi="Times New Roman" w:cs="Times New Roman"/>
          <w:sz w:val="24"/>
          <w:szCs w:val="24"/>
          <w:lang w:eastAsia="sk-SK"/>
        </w:rPr>
        <w:lastRenderedPageBreak/>
        <w:t>nariadenie Európskeho parlamentu a Rady (EÚ) 2020/740 z 25. mája 2020 o označovaní pneumatík vzhľadom na palivovú úspornosť a iné parametre, ktorým sa mení nariadenie (EÚ) 2017/1369 a zrušuje nariadenie (ES) č. 1222/2009 (Ú. v. EÚ L 177, 5. 6. 2020), ktorého gestorom je Ministerstvo hospodárstva Slovenskej republiky a Ministerstvo dopravy a výstavby Slovenskej republiky,</w:t>
      </w:r>
    </w:p>
    <w:p w:rsidR="001E2021" w:rsidRPr="001E2021" w:rsidRDefault="001E2021" w:rsidP="00B52D31">
      <w:pPr>
        <w:numPr>
          <w:ilvl w:val="0"/>
          <w:numId w:val="22"/>
        </w:numPr>
        <w:spacing w:before="120" w:after="0" w:line="240" w:lineRule="auto"/>
        <w:ind w:left="714" w:hanging="357"/>
        <w:jc w:val="both"/>
        <w:rPr>
          <w:rFonts w:ascii="Times New Roman" w:eastAsia="Times New Roman" w:hAnsi="Times New Roman" w:cs="Times New Roman"/>
          <w:sz w:val="24"/>
          <w:szCs w:val="24"/>
          <w:lang w:eastAsia="sk-SK"/>
        </w:rPr>
      </w:pPr>
      <w:r w:rsidRPr="001E2021">
        <w:rPr>
          <w:rFonts w:ascii="Times New Roman" w:eastAsia="Times New Roman" w:hAnsi="Times New Roman" w:cs="Times New Roman"/>
          <w:sz w:val="24"/>
          <w:szCs w:val="24"/>
          <w:lang w:eastAsia="sk-SK"/>
        </w:rPr>
        <w:t xml:space="preserve">v judikatúre Súdneho dvora Európskej únie (uviesť číslo a označenie relevantného rozhodnutia a stručne jeho výrok alebo relevantné právne vety) </w:t>
      </w:r>
    </w:p>
    <w:p w:rsidR="001E2021" w:rsidRPr="001E2021" w:rsidRDefault="001E2021" w:rsidP="00B52D31">
      <w:pPr>
        <w:numPr>
          <w:ilvl w:val="0"/>
          <w:numId w:val="32"/>
        </w:numPr>
        <w:spacing w:before="120" w:after="0" w:line="240" w:lineRule="auto"/>
        <w:ind w:left="1349" w:hanging="357"/>
        <w:contextualSpacing/>
        <w:jc w:val="both"/>
        <w:rPr>
          <w:rFonts w:ascii="Times New Roman" w:eastAsia="Times New Roman" w:hAnsi="Times New Roman" w:cs="Times New Roman"/>
          <w:sz w:val="24"/>
          <w:szCs w:val="24"/>
          <w:u w:val="single"/>
          <w:lang w:eastAsia="cs-CZ"/>
        </w:rPr>
      </w:pPr>
      <w:r w:rsidRPr="001E2021">
        <w:rPr>
          <w:rFonts w:ascii="Times New Roman" w:eastAsia="Times New Roman" w:hAnsi="Times New Roman" w:cs="Times New Roman"/>
          <w:sz w:val="24"/>
          <w:szCs w:val="24"/>
          <w:u w:val="single"/>
          <w:lang w:eastAsia="cs-CZ"/>
        </w:rPr>
        <w:t>zákaz registrácie určitých vozidiel:</w:t>
      </w:r>
    </w:p>
    <w:p w:rsidR="001E2021" w:rsidRPr="001E2021" w:rsidRDefault="001E2021" w:rsidP="00B52D31">
      <w:pPr>
        <w:numPr>
          <w:ilvl w:val="0"/>
          <w:numId w:val="28"/>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 xml:space="preserve">rozhodnutie Súdneho dvora Európskych spoločenstiev vo veci 8/74, </w:t>
      </w:r>
      <w:proofErr w:type="spellStart"/>
      <w:r w:rsidRPr="001E2021">
        <w:rPr>
          <w:rFonts w:ascii="Times New Roman" w:eastAsia="Times New Roman" w:hAnsi="Times New Roman" w:cs="Times New Roman"/>
          <w:sz w:val="24"/>
          <w:szCs w:val="24"/>
          <w:lang w:eastAsia="cs-CZ"/>
        </w:rPr>
        <w:t>Procureur</w:t>
      </w:r>
      <w:proofErr w:type="spellEnd"/>
      <w:r w:rsidRPr="001E2021">
        <w:rPr>
          <w:rFonts w:ascii="Times New Roman" w:eastAsia="Times New Roman" w:hAnsi="Times New Roman" w:cs="Times New Roman"/>
          <w:sz w:val="24"/>
          <w:szCs w:val="24"/>
          <w:lang w:eastAsia="cs-CZ"/>
        </w:rPr>
        <w:t xml:space="preserve"> </w:t>
      </w:r>
      <w:proofErr w:type="spellStart"/>
      <w:r w:rsidRPr="001E2021">
        <w:rPr>
          <w:rFonts w:ascii="Times New Roman" w:eastAsia="Times New Roman" w:hAnsi="Times New Roman" w:cs="Times New Roman"/>
          <w:sz w:val="24"/>
          <w:szCs w:val="24"/>
          <w:lang w:eastAsia="cs-CZ"/>
        </w:rPr>
        <w:t>du</w:t>
      </w:r>
      <w:proofErr w:type="spellEnd"/>
      <w:r w:rsidRPr="001E2021">
        <w:rPr>
          <w:rFonts w:ascii="Times New Roman" w:eastAsia="Times New Roman" w:hAnsi="Times New Roman" w:cs="Times New Roman"/>
          <w:sz w:val="24"/>
          <w:szCs w:val="24"/>
          <w:lang w:eastAsia="cs-CZ"/>
        </w:rPr>
        <w:t xml:space="preserve"> </w:t>
      </w:r>
      <w:proofErr w:type="spellStart"/>
      <w:r w:rsidRPr="001E2021">
        <w:rPr>
          <w:rFonts w:ascii="Times New Roman" w:eastAsia="Times New Roman" w:hAnsi="Times New Roman" w:cs="Times New Roman"/>
          <w:sz w:val="24"/>
          <w:szCs w:val="24"/>
          <w:lang w:eastAsia="cs-CZ"/>
        </w:rPr>
        <w:t>Roi</w:t>
      </w:r>
      <w:proofErr w:type="spellEnd"/>
      <w:r w:rsidRPr="001E2021">
        <w:rPr>
          <w:rFonts w:ascii="Times New Roman" w:eastAsia="Times New Roman" w:hAnsi="Times New Roman" w:cs="Times New Roman"/>
          <w:sz w:val="24"/>
          <w:szCs w:val="24"/>
          <w:lang w:eastAsia="cs-CZ"/>
        </w:rPr>
        <w:t>/</w:t>
      </w:r>
      <w:proofErr w:type="spellStart"/>
      <w:r w:rsidRPr="001E2021">
        <w:rPr>
          <w:rFonts w:ascii="Times New Roman" w:eastAsia="Times New Roman" w:hAnsi="Times New Roman" w:cs="Times New Roman"/>
          <w:sz w:val="24"/>
          <w:szCs w:val="24"/>
          <w:lang w:eastAsia="cs-CZ"/>
        </w:rPr>
        <w:t>Dassonville</w:t>
      </w:r>
      <w:proofErr w:type="spellEnd"/>
      <w:r w:rsidRPr="001E2021">
        <w:rPr>
          <w:rFonts w:ascii="Times New Roman" w:eastAsia="Times New Roman" w:hAnsi="Times New Roman" w:cs="Times New Roman"/>
          <w:sz w:val="24"/>
          <w:szCs w:val="24"/>
          <w:lang w:eastAsia="cs-CZ"/>
        </w:rPr>
        <w:t>,</w:t>
      </w:r>
    </w:p>
    <w:p w:rsidR="001E2021" w:rsidRPr="001E2021" w:rsidRDefault="001E2021" w:rsidP="00B52D31">
      <w:pPr>
        <w:numPr>
          <w:ilvl w:val="0"/>
          <w:numId w:val="28"/>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 xml:space="preserve">rozhodnutie Súdneho dvora Európskych spoločenstiev vo veci 50/83, Komisia/Taliansko, </w:t>
      </w:r>
    </w:p>
    <w:p w:rsidR="001E2021" w:rsidRPr="001E2021" w:rsidRDefault="001E2021" w:rsidP="00B52D31">
      <w:pPr>
        <w:numPr>
          <w:ilvl w:val="0"/>
          <w:numId w:val="28"/>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 xml:space="preserve">rozhodnutie Súdneho dvora Európskych spoločenstiev vo veci C-302/86, Komisia/Dánsko, </w:t>
      </w:r>
    </w:p>
    <w:p w:rsidR="001E2021" w:rsidRPr="001E2021" w:rsidRDefault="001E2021" w:rsidP="00B52D31">
      <w:pPr>
        <w:numPr>
          <w:ilvl w:val="0"/>
          <w:numId w:val="28"/>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 xml:space="preserve">rozhodnutie Súdneho dvora Európskych spoločenstiev vo veci 113/80, Komisia/Írsko, </w:t>
      </w:r>
    </w:p>
    <w:p w:rsidR="001E2021" w:rsidRPr="001E2021" w:rsidRDefault="001E2021" w:rsidP="00B52D31">
      <w:pPr>
        <w:numPr>
          <w:ilvl w:val="0"/>
          <w:numId w:val="28"/>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 xml:space="preserve">rozhodnutie Súdneho dvora Európskych spoločenstiev vo veci C-314/98, </w:t>
      </w:r>
      <w:proofErr w:type="spellStart"/>
      <w:r w:rsidRPr="001E2021">
        <w:rPr>
          <w:rFonts w:ascii="Times New Roman" w:eastAsia="Times New Roman" w:hAnsi="Times New Roman" w:cs="Times New Roman"/>
          <w:sz w:val="24"/>
          <w:szCs w:val="24"/>
          <w:lang w:eastAsia="cs-CZ"/>
        </w:rPr>
        <w:t>Snellers</w:t>
      </w:r>
      <w:proofErr w:type="spellEnd"/>
      <w:r w:rsidRPr="001E2021">
        <w:rPr>
          <w:rFonts w:ascii="Times New Roman" w:eastAsia="Times New Roman" w:hAnsi="Times New Roman" w:cs="Times New Roman"/>
          <w:sz w:val="24"/>
          <w:szCs w:val="24"/>
          <w:lang w:eastAsia="cs-CZ"/>
        </w:rPr>
        <w:t xml:space="preserve">, </w:t>
      </w:r>
    </w:p>
    <w:p w:rsidR="001E2021" w:rsidRPr="001E2021" w:rsidRDefault="001E2021" w:rsidP="00B52D31">
      <w:pPr>
        <w:numPr>
          <w:ilvl w:val="0"/>
          <w:numId w:val="28"/>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 xml:space="preserve">v rozhodnutí Súdneho dvora Európskych spoločenstiev vo veci C-55/93, van </w:t>
      </w:r>
      <w:proofErr w:type="spellStart"/>
      <w:r w:rsidRPr="001E2021">
        <w:rPr>
          <w:rFonts w:ascii="Times New Roman" w:eastAsia="Times New Roman" w:hAnsi="Times New Roman" w:cs="Times New Roman"/>
          <w:sz w:val="24"/>
          <w:szCs w:val="24"/>
          <w:lang w:eastAsia="cs-CZ"/>
        </w:rPr>
        <w:t>Schaik</w:t>
      </w:r>
      <w:proofErr w:type="spellEnd"/>
      <w:r w:rsidRPr="001E2021">
        <w:rPr>
          <w:rFonts w:ascii="Times New Roman" w:eastAsia="Times New Roman" w:hAnsi="Times New Roman" w:cs="Times New Roman"/>
          <w:sz w:val="24"/>
          <w:szCs w:val="24"/>
          <w:lang w:eastAsia="cs-CZ"/>
        </w:rPr>
        <w:t xml:space="preserve">, </w:t>
      </w:r>
    </w:p>
    <w:p w:rsidR="001E2021" w:rsidRPr="001E2021" w:rsidRDefault="001E2021" w:rsidP="00B52D31">
      <w:pPr>
        <w:numPr>
          <w:ilvl w:val="0"/>
          <w:numId w:val="28"/>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 xml:space="preserve">rozhodnutie Súdneho dvora Európskych spoločenstiev vo veci C-50/85, </w:t>
      </w:r>
      <w:proofErr w:type="spellStart"/>
      <w:r w:rsidRPr="001E2021">
        <w:rPr>
          <w:rFonts w:ascii="Times New Roman" w:eastAsia="Times New Roman" w:hAnsi="Times New Roman" w:cs="Times New Roman"/>
          <w:sz w:val="24"/>
          <w:szCs w:val="24"/>
          <w:lang w:eastAsia="cs-CZ"/>
        </w:rPr>
        <w:t>Schloh</w:t>
      </w:r>
      <w:proofErr w:type="spellEnd"/>
      <w:r w:rsidRPr="001E2021">
        <w:rPr>
          <w:rFonts w:ascii="Times New Roman" w:eastAsia="Times New Roman" w:hAnsi="Times New Roman" w:cs="Times New Roman"/>
          <w:sz w:val="24"/>
          <w:szCs w:val="24"/>
          <w:lang w:eastAsia="cs-CZ"/>
        </w:rPr>
        <w:t xml:space="preserve">, </w:t>
      </w:r>
    </w:p>
    <w:p w:rsidR="001E2021" w:rsidRPr="001E2021" w:rsidRDefault="001E2021" w:rsidP="00B52D31">
      <w:pPr>
        <w:numPr>
          <w:ilvl w:val="0"/>
          <w:numId w:val="28"/>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 xml:space="preserve">rozhodnutie Súdneho dvora Európskych spoločenstiev vo veci C-420/1, Komisia/Taliansko, </w:t>
      </w:r>
    </w:p>
    <w:p w:rsidR="001E2021" w:rsidRPr="001E2021" w:rsidRDefault="001E2021" w:rsidP="00B52D31">
      <w:pPr>
        <w:numPr>
          <w:ilvl w:val="0"/>
          <w:numId w:val="28"/>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rozhodnutie Súdneho dvora Európskych spoločenstiev vo veci 104-75, De </w:t>
      </w:r>
      <w:proofErr w:type="spellStart"/>
      <w:r w:rsidRPr="001E2021">
        <w:rPr>
          <w:rFonts w:ascii="Times New Roman" w:eastAsia="Times New Roman" w:hAnsi="Times New Roman" w:cs="Times New Roman"/>
          <w:sz w:val="24"/>
          <w:szCs w:val="24"/>
          <w:lang w:eastAsia="cs-CZ"/>
        </w:rPr>
        <w:t>Peijper</w:t>
      </w:r>
      <w:proofErr w:type="spellEnd"/>
      <w:r w:rsidRPr="001E2021">
        <w:rPr>
          <w:rFonts w:ascii="Times New Roman" w:eastAsia="Times New Roman" w:hAnsi="Times New Roman" w:cs="Times New Roman"/>
          <w:sz w:val="24"/>
          <w:szCs w:val="24"/>
          <w:lang w:eastAsia="cs-CZ"/>
        </w:rPr>
        <w:t xml:space="preserve">, </w:t>
      </w:r>
    </w:p>
    <w:p w:rsidR="001E2021" w:rsidRPr="001E2021" w:rsidRDefault="001E2021" w:rsidP="00B52D31">
      <w:pPr>
        <w:numPr>
          <w:ilvl w:val="0"/>
          <w:numId w:val="28"/>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 xml:space="preserve">rozhodnutie Súdneho dvora Európskych spoločenstiev vo veci C-293/94, </w:t>
      </w:r>
      <w:proofErr w:type="spellStart"/>
      <w:r w:rsidRPr="001E2021">
        <w:rPr>
          <w:rFonts w:ascii="Times New Roman" w:eastAsia="Times New Roman" w:hAnsi="Times New Roman" w:cs="Times New Roman"/>
          <w:sz w:val="24"/>
          <w:szCs w:val="24"/>
          <w:lang w:eastAsia="cs-CZ"/>
        </w:rPr>
        <w:t>Brandsma</w:t>
      </w:r>
      <w:proofErr w:type="spellEnd"/>
      <w:r w:rsidRPr="001E2021">
        <w:rPr>
          <w:rFonts w:ascii="Times New Roman" w:eastAsia="Times New Roman" w:hAnsi="Times New Roman" w:cs="Times New Roman"/>
          <w:sz w:val="24"/>
          <w:szCs w:val="24"/>
          <w:lang w:eastAsia="cs-CZ"/>
        </w:rPr>
        <w:t xml:space="preserve">, </w:t>
      </w:r>
    </w:p>
    <w:p w:rsidR="001E2021" w:rsidRPr="001E2021" w:rsidRDefault="001E2021" w:rsidP="00B52D31">
      <w:pPr>
        <w:numPr>
          <w:ilvl w:val="0"/>
          <w:numId w:val="28"/>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rozsudok Súdneho dvora (druhá komora) zo 6. septembra 2012 vo veci C-150/11, Európska komisia proti Belgickému kráľovstvu,</w:t>
      </w:r>
    </w:p>
    <w:p w:rsidR="001E2021" w:rsidRPr="001E2021" w:rsidRDefault="001E2021" w:rsidP="00B52D31">
      <w:pPr>
        <w:numPr>
          <w:ilvl w:val="0"/>
          <w:numId w:val="32"/>
        </w:numPr>
        <w:spacing w:before="120" w:after="0" w:line="240" w:lineRule="auto"/>
        <w:ind w:left="1349" w:hanging="357"/>
        <w:contextualSpacing/>
        <w:jc w:val="both"/>
        <w:rPr>
          <w:rFonts w:ascii="Times New Roman" w:eastAsia="Times New Roman" w:hAnsi="Times New Roman" w:cs="Times New Roman"/>
          <w:sz w:val="24"/>
          <w:szCs w:val="24"/>
          <w:u w:val="single"/>
          <w:lang w:eastAsia="cs-CZ"/>
        </w:rPr>
      </w:pPr>
      <w:r w:rsidRPr="001E2021">
        <w:rPr>
          <w:rFonts w:ascii="Times New Roman" w:eastAsia="Times New Roman" w:hAnsi="Times New Roman" w:cs="Times New Roman"/>
          <w:sz w:val="24"/>
          <w:szCs w:val="24"/>
          <w:u w:val="single"/>
          <w:lang w:eastAsia="cs-CZ"/>
        </w:rPr>
        <w:t>dodatočné technické kontroly:</w:t>
      </w:r>
    </w:p>
    <w:p w:rsidR="001E2021" w:rsidRPr="001E2021" w:rsidRDefault="001E2021" w:rsidP="00B52D31">
      <w:pPr>
        <w:numPr>
          <w:ilvl w:val="0"/>
          <w:numId w:val="28"/>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 xml:space="preserve">rozhodnutie Súdneho dvora Európskych spoločenstiev vo veci C-50/85, </w:t>
      </w:r>
      <w:proofErr w:type="spellStart"/>
      <w:r w:rsidRPr="001E2021">
        <w:rPr>
          <w:rFonts w:ascii="Times New Roman" w:eastAsia="Times New Roman" w:hAnsi="Times New Roman" w:cs="Times New Roman"/>
          <w:sz w:val="24"/>
          <w:szCs w:val="24"/>
          <w:lang w:eastAsia="cs-CZ"/>
        </w:rPr>
        <w:t>Schloh</w:t>
      </w:r>
      <w:proofErr w:type="spellEnd"/>
      <w:r w:rsidRPr="001E2021">
        <w:rPr>
          <w:rFonts w:ascii="Times New Roman" w:eastAsia="Times New Roman" w:hAnsi="Times New Roman" w:cs="Times New Roman"/>
          <w:sz w:val="24"/>
          <w:szCs w:val="24"/>
          <w:lang w:eastAsia="cs-CZ"/>
        </w:rPr>
        <w:t xml:space="preserve">, </w:t>
      </w:r>
    </w:p>
    <w:p w:rsidR="001E2021" w:rsidRPr="001E2021" w:rsidRDefault="001E2021" w:rsidP="00B52D31">
      <w:pPr>
        <w:numPr>
          <w:ilvl w:val="0"/>
          <w:numId w:val="28"/>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 xml:space="preserve">rozhodnutie Súdneho dvora Európskych spoločenstiev vo veci 272/80, </w:t>
      </w:r>
      <w:proofErr w:type="spellStart"/>
      <w:r w:rsidRPr="001E2021">
        <w:rPr>
          <w:rFonts w:ascii="Times New Roman" w:eastAsia="Times New Roman" w:hAnsi="Times New Roman" w:cs="Times New Roman"/>
          <w:sz w:val="24"/>
          <w:szCs w:val="24"/>
          <w:lang w:eastAsia="cs-CZ"/>
        </w:rPr>
        <w:t>Frans-Nederlandse</w:t>
      </w:r>
      <w:proofErr w:type="spellEnd"/>
      <w:r w:rsidRPr="001E2021">
        <w:rPr>
          <w:rFonts w:ascii="Times New Roman" w:eastAsia="Times New Roman" w:hAnsi="Times New Roman" w:cs="Times New Roman"/>
          <w:sz w:val="24"/>
          <w:szCs w:val="24"/>
          <w:lang w:eastAsia="cs-CZ"/>
        </w:rPr>
        <w:t xml:space="preserve"> </w:t>
      </w:r>
      <w:proofErr w:type="spellStart"/>
      <w:r w:rsidRPr="001E2021">
        <w:rPr>
          <w:rFonts w:ascii="Times New Roman" w:eastAsia="Times New Roman" w:hAnsi="Times New Roman" w:cs="Times New Roman"/>
          <w:sz w:val="24"/>
          <w:szCs w:val="24"/>
          <w:lang w:eastAsia="cs-CZ"/>
        </w:rPr>
        <w:t>Maatschappoj</w:t>
      </w:r>
      <w:proofErr w:type="spellEnd"/>
      <w:r w:rsidRPr="001E2021">
        <w:rPr>
          <w:rFonts w:ascii="Times New Roman" w:eastAsia="Times New Roman" w:hAnsi="Times New Roman" w:cs="Times New Roman"/>
          <w:sz w:val="24"/>
          <w:szCs w:val="24"/>
          <w:lang w:eastAsia="cs-CZ"/>
        </w:rPr>
        <w:t xml:space="preserve"> </w:t>
      </w:r>
      <w:proofErr w:type="spellStart"/>
      <w:r w:rsidRPr="001E2021">
        <w:rPr>
          <w:rFonts w:ascii="Times New Roman" w:eastAsia="Times New Roman" w:hAnsi="Times New Roman" w:cs="Times New Roman"/>
          <w:sz w:val="24"/>
          <w:szCs w:val="24"/>
          <w:lang w:eastAsia="cs-CZ"/>
        </w:rPr>
        <w:t>voor</w:t>
      </w:r>
      <w:proofErr w:type="spellEnd"/>
      <w:r w:rsidRPr="001E2021">
        <w:rPr>
          <w:rFonts w:ascii="Times New Roman" w:eastAsia="Times New Roman" w:hAnsi="Times New Roman" w:cs="Times New Roman"/>
          <w:sz w:val="24"/>
          <w:szCs w:val="24"/>
          <w:lang w:eastAsia="cs-CZ"/>
        </w:rPr>
        <w:t xml:space="preserve"> </w:t>
      </w:r>
      <w:proofErr w:type="spellStart"/>
      <w:r w:rsidRPr="001E2021">
        <w:rPr>
          <w:rFonts w:ascii="Times New Roman" w:eastAsia="Times New Roman" w:hAnsi="Times New Roman" w:cs="Times New Roman"/>
          <w:sz w:val="24"/>
          <w:szCs w:val="24"/>
          <w:lang w:eastAsia="cs-CZ"/>
        </w:rPr>
        <w:t>Biologiche</w:t>
      </w:r>
      <w:proofErr w:type="spellEnd"/>
      <w:r w:rsidRPr="001E2021">
        <w:rPr>
          <w:rFonts w:ascii="Times New Roman" w:eastAsia="Times New Roman" w:hAnsi="Times New Roman" w:cs="Times New Roman"/>
          <w:sz w:val="24"/>
          <w:szCs w:val="24"/>
          <w:lang w:eastAsia="cs-CZ"/>
        </w:rPr>
        <w:t xml:space="preserve"> </w:t>
      </w:r>
      <w:proofErr w:type="spellStart"/>
      <w:r w:rsidRPr="001E2021">
        <w:rPr>
          <w:rFonts w:ascii="Times New Roman" w:eastAsia="Times New Roman" w:hAnsi="Times New Roman" w:cs="Times New Roman"/>
          <w:sz w:val="24"/>
          <w:szCs w:val="24"/>
          <w:lang w:eastAsia="cs-CZ"/>
        </w:rPr>
        <w:t>Producten</w:t>
      </w:r>
      <w:proofErr w:type="spellEnd"/>
      <w:r w:rsidRPr="001E2021">
        <w:rPr>
          <w:rFonts w:ascii="Times New Roman" w:eastAsia="Times New Roman" w:hAnsi="Times New Roman" w:cs="Times New Roman"/>
          <w:sz w:val="24"/>
          <w:szCs w:val="24"/>
          <w:lang w:eastAsia="cs-CZ"/>
        </w:rPr>
        <w:t xml:space="preserve">, </w:t>
      </w:r>
    </w:p>
    <w:p w:rsidR="001E2021" w:rsidRPr="001E2021" w:rsidRDefault="001E2021" w:rsidP="00B52D31">
      <w:pPr>
        <w:numPr>
          <w:ilvl w:val="0"/>
          <w:numId w:val="28"/>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 xml:space="preserve">rozhodnutie Súdneho dvora Európskych spoločenstiev vo veci C-293/94, </w:t>
      </w:r>
      <w:proofErr w:type="spellStart"/>
      <w:r w:rsidRPr="001E2021">
        <w:rPr>
          <w:rFonts w:ascii="Times New Roman" w:eastAsia="Times New Roman" w:hAnsi="Times New Roman" w:cs="Times New Roman"/>
          <w:sz w:val="24"/>
          <w:szCs w:val="24"/>
          <w:lang w:eastAsia="cs-CZ"/>
        </w:rPr>
        <w:t>Brandsma</w:t>
      </w:r>
      <w:proofErr w:type="spellEnd"/>
      <w:r w:rsidRPr="001E2021">
        <w:rPr>
          <w:rFonts w:ascii="Times New Roman" w:eastAsia="Times New Roman" w:hAnsi="Times New Roman" w:cs="Times New Roman"/>
          <w:sz w:val="24"/>
          <w:szCs w:val="24"/>
          <w:lang w:eastAsia="cs-CZ"/>
        </w:rPr>
        <w:t xml:space="preserve">, </w:t>
      </w:r>
    </w:p>
    <w:p w:rsidR="001E2021" w:rsidRPr="001E2021" w:rsidRDefault="001E2021" w:rsidP="00B52D31">
      <w:pPr>
        <w:numPr>
          <w:ilvl w:val="0"/>
          <w:numId w:val="28"/>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 xml:space="preserve">rozhodnutie Súdneho dvora Európskych spoločenstiev vo veci C-400/96, </w:t>
      </w:r>
      <w:proofErr w:type="spellStart"/>
      <w:r w:rsidRPr="001E2021">
        <w:rPr>
          <w:rFonts w:ascii="Times New Roman" w:eastAsia="Times New Roman" w:hAnsi="Times New Roman" w:cs="Times New Roman"/>
          <w:sz w:val="24"/>
          <w:szCs w:val="24"/>
          <w:lang w:eastAsia="cs-CZ"/>
        </w:rPr>
        <w:t>Harpegnies</w:t>
      </w:r>
      <w:proofErr w:type="spellEnd"/>
      <w:r w:rsidRPr="001E2021">
        <w:rPr>
          <w:rFonts w:ascii="Times New Roman" w:eastAsia="Times New Roman" w:hAnsi="Times New Roman" w:cs="Times New Roman"/>
          <w:sz w:val="24"/>
          <w:szCs w:val="24"/>
          <w:lang w:eastAsia="cs-CZ"/>
        </w:rPr>
        <w:t xml:space="preserve">, </w:t>
      </w:r>
    </w:p>
    <w:p w:rsidR="001E2021" w:rsidRPr="001E2021" w:rsidRDefault="001E2021" w:rsidP="00B52D31">
      <w:pPr>
        <w:numPr>
          <w:ilvl w:val="0"/>
          <w:numId w:val="28"/>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rozsudok Súdneho dvora (prvá komora) z 5. júna 2008 vo veci C-170/07, Komisia Európska komisia proti Poľskej republike,</w:t>
      </w:r>
    </w:p>
    <w:p w:rsidR="001E2021" w:rsidRPr="001E2021" w:rsidRDefault="001E2021" w:rsidP="00B52D31">
      <w:pPr>
        <w:numPr>
          <w:ilvl w:val="0"/>
          <w:numId w:val="32"/>
        </w:numPr>
        <w:spacing w:before="120" w:after="0" w:line="240" w:lineRule="auto"/>
        <w:ind w:left="1349" w:hanging="357"/>
        <w:contextualSpacing/>
        <w:jc w:val="both"/>
        <w:rPr>
          <w:rFonts w:ascii="Times New Roman" w:eastAsia="Times New Roman" w:hAnsi="Times New Roman" w:cs="Times New Roman"/>
          <w:sz w:val="24"/>
          <w:szCs w:val="24"/>
          <w:u w:val="single"/>
          <w:lang w:eastAsia="cs-CZ"/>
        </w:rPr>
      </w:pPr>
      <w:r w:rsidRPr="001E2021">
        <w:rPr>
          <w:rFonts w:ascii="Times New Roman" w:eastAsia="Times New Roman" w:hAnsi="Times New Roman" w:cs="Times New Roman"/>
          <w:sz w:val="24"/>
          <w:szCs w:val="24"/>
          <w:u w:val="single"/>
          <w:lang w:eastAsia="cs-CZ"/>
        </w:rPr>
        <w:t>preregistrácia vozidiel s pravostranným riadením</w:t>
      </w:r>
    </w:p>
    <w:p w:rsidR="001E2021" w:rsidRPr="001E2021" w:rsidRDefault="001E2021" w:rsidP="00B52D31">
      <w:pPr>
        <w:numPr>
          <w:ilvl w:val="0"/>
          <w:numId w:val="28"/>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rozsudok Súdneho dvora (piata komora) z 20. marca 2014 vo veci C-639/11 Európska komisia proti Poľskej republike,</w:t>
      </w:r>
    </w:p>
    <w:p w:rsidR="001E2021" w:rsidRPr="001E2021" w:rsidRDefault="001E2021" w:rsidP="00B52D31">
      <w:pPr>
        <w:numPr>
          <w:ilvl w:val="0"/>
          <w:numId w:val="28"/>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rozsudok Súdneho dvora (piata komora) z 20. marca 2014 vo veci C-61/12 Európska komisia proti Litovskej republike,</w:t>
      </w:r>
    </w:p>
    <w:p w:rsidR="001E2021" w:rsidRPr="001E2021" w:rsidRDefault="001E2021" w:rsidP="00B52D31">
      <w:pPr>
        <w:numPr>
          <w:ilvl w:val="0"/>
          <w:numId w:val="32"/>
        </w:numPr>
        <w:spacing w:before="120" w:after="0" w:line="240" w:lineRule="auto"/>
        <w:ind w:left="1349" w:hanging="357"/>
        <w:contextualSpacing/>
        <w:jc w:val="both"/>
        <w:rPr>
          <w:rFonts w:ascii="Times New Roman" w:eastAsia="Times New Roman" w:hAnsi="Times New Roman" w:cs="Times New Roman"/>
          <w:sz w:val="24"/>
          <w:szCs w:val="24"/>
          <w:u w:val="single"/>
          <w:lang w:eastAsia="cs-CZ"/>
        </w:rPr>
      </w:pPr>
      <w:r w:rsidRPr="001E2021">
        <w:rPr>
          <w:rFonts w:ascii="Times New Roman" w:eastAsia="Times New Roman" w:hAnsi="Times New Roman" w:cs="Times New Roman"/>
          <w:sz w:val="24"/>
          <w:szCs w:val="24"/>
          <w:u w:val="single"/>
          <w:lang w:eastAsia="cs-CZ"/>
        </w:rPr>
        <w:t>zriaďovanie staníc technickej kontroly</w:t>
      </w:r>
    </w:p>
    <w:p w:rsidR="001E2021" w:rsidRPr="001E2021" w:rsidRDefault="001E2021" w:rsidP="00B52D31">
      <w:pPr>
        <w:numPr>
          <w:ilvl w:val="0"/>
          <w:numId w:val="28"/>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rozsudok Súdneho dvora (štvrtá komora) z 22. októbra 2009 vo veci C-438/08, Európska komisia proti Portugalskej republike,</w:t>
      </w:r>
    </w:p>
    <w:p w:rsidR="001E2021" w:rsidRPr="001E2021" w:rsidRDefault="001E2021" w:rsidP="00B52D31">
      <w:pPr>
        <w:numPr>
          <w:ilvl w:val="0"/>
          <w:numId w:val="28"/>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lastRenderedPageBreak/>
        <w:t xml:space="preserve">rozsudok Súdneho dvora (druhá komora) z 15. októbra 2015 vo veci C-168/14 </w:t>
      </w:r>
      <w:proofErr w:type="spellStart"/>
      <w:r w:rsidRPr="001E2021">
        <w:rPr>
          <w:rFonts w:ascii="Times New Roman" w:eastAsia="Times New Roman" w:hAnsi="Times New Roman" w:cs="Times New Roman"/>
          <w:sz w:val="24"/>
          <w:szCs w:val="24"/>
          <w:lang w:eastAsia="cs-CZ"/>
        </w:rPr>
        <w:t>Grupo</w:t>
      </w:r>
      <w:proofErr w:type="spellEnd"/>
      <w:r w:rsidRPr="001E2021">
        <w:rPr>
          <w:rFonts w:ascii="Times New Roman" w:eastAsia="Times New Roman" w:hAnsi="Times New Roman" w:cs="Times New Roman"/>
          <w:sz w:val="24"/>
          <w:szCs w:val="24"/>
          <w:lang w:eastAsia="cs-CZ"/>
        </w:rPr>
        <w:t xml:space="preserve"> </w:t>
      </w:r>
      <w:proofErr w:type="spellStart"/>
      <w:r w:rsidRPr="001E2021">
        <w:rPr>
          <w:rFonts w:ascii="Times New Roman" w:eastAsia="Times New Roman" w:hAnsi="Times New Roman" w:cs="Times New Roman"/>
          <w:sz w:val="24"/>
          <w:szCs w:val="24"/>
          <w:lang w:eastAsia="cs-CZ"/>
        </w:rPr>
        <w:t>Itevelesa</w:t>
      </w:r>
      <w:proofErr w:type="spellEnd"/>
      <w:r w:rsidRPr="001E2021">
        <w:rPr>
          <w:rFonts w:ascii="Times New Roman" w:eastAsia="Times New Roman" w:hAnsi="Times New Roman" w:cs="Times New Roman"/>
          <w:sz w:val="24"/>
          <w:szCs w:val="24"/>
          <w:lang w:eastAsia="cs-CZ"/>
        </w:rPr>
        <w:t xml:space="preserve"> SL a i. proti Oca </w:t>
      </w:r>
      <w:proofErr w:type="spellStart"/>
      <w:r w:rsidRPr="001E2021">
        <w:rPr>
          <w:rFonts w:ascii="Times New Roman" w:eastAsia="Times New Roman" w:hAnsi="Times New Roman" w:cs="Times New Roman"/>
          <w:sz w:val="24"/>
          <w:szCs w:val="24"/>
          <w:lang w:eastAsia="cs-CZ"/>
        </w:rPr>
        <w:t>Inspección</w:t>
      </w:r>
      <w:proofErr w:type="spellEnd"/>
      <w:r w:rsidRPr="001E2021">
        <w:rPr>
          <w:rFonts w:ascii="Times New Roman" w:eastAsia="Times New Roman" w:hAnsi="Times New Roman" w:cs="Times New Roman"/>
          <w:sz w:val="24"/>
          <w:szCs w:val="24"/>
          <w:lang w:eastAsia="cs-CZ"/>
        </w:rPr>
        <w:t xml:space="preserve"> </w:t>
      </w:r>
      <w:proofErr w:type="spellStart"/>
      <w:r w:rsidRPr="001E2021">
        <w:rPr>
          <w:rFonts w:ascii="Times New Roman" w:eastAsia="Times New Roman" w:hAnsi="Times New Roman" w:cs="Times New Roman"/>
          <w:sz w:val="24"/>
          <w:szCs w:val="24"/>
          <w:lang w:eastAsia="cs-CZ"/>
        </w:rPr>
        <w:t>Técnica</w:t>
      </w:r>
      <w:proofErr w:type="spellEnd"/>
      <w:r w:rsidRPr="001E2021">
        <w:rPr>
          <w:rFonts w:ascii="Times New Roman" w:eastAsia="Times New Roman" w:hAnsi="Times New Roman" w:cs="Times New Roman"/>
          <w:sz w:val="24"/>
          <w:szCs w:val="24"/>
          <w:lang w:eastAsia="cs-CZ"/>
        </w:rPr>
        <w:t xml:space="preserve"> de </w:t>
      </w:r>
      <w:proofErr w:type="spellStart"/>
      <w:r w:rsidRPr="001E2021">
        <w:rPr>
          <w:rFonts w:ascii="Times New Roman" w:eastAsia="Times New Roman" w:hAnsi="Times New Roman" w:cs="Times New Roman"/>
          <w:sz w:val="24"/>
          <w:szCs w:val="24"/>
          <w:lang w:eastAsia="cs-CZ"/>
        </w:rPr>
        <w:t>Vehículos</w:t>
      </w:r>
      <w:proofErr w:type="spellEnd"/>
      <w:r w:rsidRPr="001E2021">
        <w:rPr>
          <w:rFonts w:ascii="Times New Roman" w:eastAsia="Times New Roman" w:hAnsi="Times New Roman" w:cs="Times New Roman"/>
          <w:sz w:val="24"/>
          <w:szCs w:val="24"/>
          <w:lang w:eastAsia="cs-CZ"/>
        </w:rPr>
        <w:t xml:space="preserve"> SA a </w:t>
      </w:r>
      <w:proofErr w:type="spellStart"/>
      <w:r w:rsidRPr="001E2021">
        <w:rPr>
          <w:rFonts w:ascii="Times New Roman" w:eastAsia="Times New Roman" w:hAnsi="Times New Roman" w:cs="Times New Roman"/>
          <w:sz w:val="24"/>
          <w:szCs w:val="24"/>
          <w:lang w:eastAsia="cs-CZ"/>
        </w:rPr>
        <w:t>Generalidad</w:t>
      </w:r>
      <w:proofErr w:type="spellEnd"/>
      <w:r w:rsidRPr="001E2021">
        <w:rPr>
          <w:rFonts w:ascii="Times New Roman" w:eastAsia="Times New Roman" w:hAnsi="Times New Roman" w:cs="Times New Roman"/>
          <w:sz w:val="24"/>
          <w:szCs w:val="24"/>
          <w:lang w:eastAsia="cs-CZ"/>
        </w:rPr>
        <w:t xml:space="preserve"> de </w:t>
      </w:r>
      <w:proofErr w:type="spellStart"/>
      <w:r w:rsidRPr="001E2021">
        <w:rPr>
          <w:rFonts w:ascii="Times New Roman" w:eastAsia="Times New Roman" w:hAnsi="Times New Roman" w:cs="Times New Roman"/>
          <w:sz w:val="24"/>
          <w:szCs w:val="24"/>
          <w:lang w:eastAsia="cs-CZ"/>
        </w:rPr>
        <w:t>Cataluña</w:t>
      </w:r>
      <w:proofErr w:type="spellEnd"/>
      <w:r w:rsidRPr="001E2021">
        <w:rPr>
          <w:rFonts w:ascii="Times New Roman" w:eastAsia="Times New Roman" w:hAnsi="Times New Roman" w:cs="Times New Roman"/>
          <w:sz w:val="24"/>
          <w:szCs w:val="24"/>
          <w:lang w:eastAsia="cs-CZ"/>
        </w:rPr>
        <w:t>,</w:t>
      </w:r>
    </w:p>
    <w:p w:rsidR="001E2021" w:rsidRPr="001E2021" w:rsidRDefault="001E2021" w:rsidP="00B52D31">
      <w:pPr>
        <w:numPr>
          <w:ilvl w:val="0"/>
          <w:numId w:val="32"/>
        </w:numPr>
        <w:spacing w:before="120" w:after="0" w:line="240" w:lineRule="auto"/>
        <w:ind w:left="1349" w:hanging="357"/>
        <w:contextualSpacing/>
        <w:jc w:val="both"/>
        <w:rPr>
          <w:rFonts w:ascii="Times New Roman" w:eastAsia="Times New Roman" w:hAnsi="Times New Roman" w:cs="Times New Roman"/>
          <w:sz w:val="24"/>
          <w:szCs w:val="24"/>
          <w:u w:val="single"/>
          <w:lang w:eastAsia="cs-CZ"/>
        </w:rPr>
      </w:pPr>
      <w:r w:rsidRPr="001E2021">
        <w:rPr>
          <w:rFonts w:ascii="Times New Roman" w:eastAsia="Times New Roman" w:hAnsi="Times New Roman" w:cs="Times New Roman"/>
          <w:sz w:val="24"/>
          <w:szCs w:val="24"/>
          <w:u w:val="single"/>
          <w:lang w:eastAsia="cs-CZ"/>
        </w:rPr>
        <w:t>uvedenie ojazdených alebo použitých vozidiel dovezených z tretej krajiny na trh a ich registrácia v Európskej únii</w:t>
      </w:r>
    </w:p>
    <w:p w:rsidR="001E2021" w:rsidRPr="001E2021" w:rsidRDefault="001E2021" w:rsidP="00B52D31">
      <w:pPr>
        <w:numPr>
          <w:ilvl w:val="0"/>
          <w:numId w:val="28"/>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rozsudok Súdneho dvora (piata komora) z 15. júna 2017 vo veci C</w:t>
      </w:r>
      <w:r w:rsidRPr="001E2021">
        <w:rPr>
          <w:rFonts w:ascii="Times New Roman" w:eastAsia="Times New Roman" w:hAnsi="Times New Roman" w:cs="Times New Roman"/>
          <w:sz w:val="24"/>
          <w:szCs w:val="24"/>
          <w:lang w:eastAsia="cs-CZ"/>
        </w:rPr>
        <w:noBreakHyphen/>
        <w:t>513/15, „</w:t>
      </w:r>
      <w:proofErr w:type="spellStart"/>
      <w:r w:rsidRPr="001E2021">
        <w:rPr>
          <w:rFonts w:ascii="Times New Roman" w:eastAsia="Times New Roman" w:hAnsi="Times New Roman" w:cs="Times New Roman"/>
          <w:sz w:val="24"/>
          <w:szCs w:val="24"/>
          <w:lang w:eastAsia="cs-CZ"/>
        </w:rPr>
        <w:t>Agrodetalė</w:t>
      </w:r>
      <w:proofErr w:type="spellEnd"/>
      <w:r w:rsidRPr="001E2021">
        <w:rPr>
          <w:rFonts w:ascii="Times New Roman" w:eastAsia="Times New Roman" w:hAnsi="Times New Roman" w:cs="Times New Roman"/>
          <w:sz w:val="24"/>
          <w:szCs w:val="24"/>
          <w:lang w:eastAsia="cs-CZ"/>
        </w:rPr>
        <w:t>“ UAB,</w:t>
      </w:r>
    </w:p>
    <w:p w:rsidR="001E2021" w:rsidRPr="001E2021" w:rsidRDefault="001E2021" w:rsidP="00B52D31">
      <w:pPr>
        <w:numPr>
          <w:ilvl w:val="0"/>
          <w:numId w:val="32"/>
        </w:numPr>
        <w:spacing w:before="120" w:after="0" w:line="240" w:lineRule="auto"/>
        <w:ind w:left="1349" w:hanging="357"/>
        <w:contextualSpacing/>
        <w:jc w:val="both"/>
        <w:rPr>
          <w:rFonts w:ascii="Times New Roman" w:eastAsia="Times New Roman" w:hAnsi="Times New Roman" w:cs="Times New Roman"/>
          <w:sz w:val="24"/>
          <w:szCs w:val="24"/>
          <w:u w:val="single"/>
          <w:lang w:eastAsia="cs-CZ"/>
        </w:rPr>
      </w:pPr>
      <w:r w:rsidRPr="001E2021">
        <w:rPr>
          <w:rFonts w:ascii="Times New Roman" w:eastAsia="Times New Roman" w:hAnsi="Times New Roman" w:cs="Times New Roman"/>
          <w:sz w:val="24"/>
          <w:szCs w:val="24"/>
          <w:u w:val="single"/>
          <w:lang w:eastAsia="cs-CZ"/>
        </w:rPr>
        <w:t>preregistrácia vozidiel medzi členskými štátmi</w:t>
      </w:r>
    </w:p>
    <w:p w:rsidR="001E2021" w:rsidRPr="001E2021" w:rsidRDefault="001E2021" w:rsidP="00B52D31">
      <w:pPr>
        <w:numPr>
          <w:ilvl w:val="0"/>
          <w:numId w:val="28"/>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rozsudok Súdneho dvora (štvrtá komora) z 24. januára 2019 vo veci C</w:t>
      </w:r>
      <w:r w:rsidRPr="001E2021">
        <w:rPr>
          <w:rFonts w:ascii="Times New Roman" w:eastAsia="Times New Roman" w:hAnsi="Times New Roman" w:cs="Times New Roman"/>
          <w:sz w:val="24"/>
          <w:szCs w:val="24"/>
          <w:lang w:eastAsia="cs-CZ"/>
        </w:rPr>
        <w:noBreakHyphen/>
        <w:t xml:space="preserve">326/17, prejudiciálne konanie podané rozhodnutím </w:t>
      </w:r>
      <w:proofErr w:type="spellStart"/>
      <w:r w:rsidRPr="001E2021">
        <w:rPr>
          <w:rFonts w:ascii="Times New Roman" w:eastAsia="Times New Roman" w:hAnsi="Times New Roman" w:cs="Times New Roman"/>
          <w:sz w:val="24"/>
          <w:szCs w:val="24"/>
          <w:lang w:eastAsia="cs-CZ"/>
        </w:rPr>
        <w:t>Raad</w:t>
      </w:r>
      <w:proofErr w:type="spellEnd"/>
      <w:r w:rsidRPr="001E2021">
        <w:rPr>
          <w:rFonts w:ascii="Times New Roman" w:eastAsia="Times New Roman" w:hAnsi="Times New Roman" w:cs="Times New Roman"/>
          <w:sz w:val="24"/>
          <w:szCs w:val="24"/>
          <w:lang w:eastAsia="cs-CZ"/>
        </w:rPr>
        <w:t xml:space="preserve"> van State (Štátna rada, Holandsko), ktoré súvisí s konaním </w:t>
      </w:r>
      <w:proofErr w:type="spellStart"/>
      <w:r w:rsidRPr="001E2021">
        <w:rPr>
          <w:rFonts w:ascii="Times New Roman" w:eastAsia="Times New Roman" w:hAnsi="Times New Roman" w:cs="Times New Roman"/>
          <w:sz w:val="24"/>
          <w:szCs w:val="24"/>
          <w:lang w:eastAsia="cs-CZ"/>
        </w:rPr>
        <w:t>Directie</w:t>
      </w:r>
      <w:proofErr w:type="spellEnd"/>
      <w:r w:rsidRPr="001E2021">
        <w:rPr>
          <w:rFonts w:ascii="Times New Roman" w:eastAsia="Times New Roman" w:hAnsi="Times New Roman" w:cs="Times New Roman"/>
          <w:sz w:val="24"/>
          <w:szCs w:val="24"/>
          <w:lang w:eastAsia="cs-CZ"/>
        </w:rPr>
        <w:t xml:space="preserve"> van de </w:t>
      </w:r>
      <w:proofErr w:type="spellStart"/>
      <w:r w:rsidRPr="001E2021">
        <w:rPr>
          <w:rFonts w:ascii="Times New Roman" w:eastAsia="Times New Roman" w:hAnsi="Times New Roman" w:cs="Times New Roman"/>
          <w:sz w:val="24"/>
          <w:szCs w:val="24"/>
          <w:lang w:eastAsia="cs-CZ"/>
        </w:rPr>
        <w:t>Dienst</w:t>
      </w:r>
      <w:proofErr w:type="spellEnd"/>
      <w:r w:rsidRPr="001E2021">
        <w:rPr>
          <w:rFonts w:ascii="Times New Roman" w:eastAsia="Times New Roman" w:hAnsi="Times New Roman" w:cs="Times New Roman"/>
          <w:sz w:val="24"/>
          <w:szCs w:val="24"/>
          <w:lang w:eastAsia="cs-CZ"/>
        </w:rPr>
        <w:t xml:space="preserve"> </w:t>
      </w:r>
      <w:proofErr w:type="spellStart"/>
      <w:r w:rsidRPr="001E2021">
        <w:rPr>
          <w:rFonts w:ascii="Times New Roman" w:eastAsia="Times New Roman" w:hAnsi="Times New Roman" w:cs="Times New Roman"/>
          <w:sz w:val="24"/>
          <w:szCs w:val="24"/>
          <w:lang w:eastAsia="cs-CZ"/>
        </w:rPr>
        <w:t>Wegverkeer</w:t>
      </w:r>
      <w:proofErr w:type="spellEnd"/>
      <w:r w:rsidRPr="001E2021">
        <w:rPr>
          <w:rFonts w:ascii="Times New Roman" w:eastAsia="Times New Roman" w:hAnsi="Times New Roman" w:cs="Times New Roman"/>
          <w:sz w:val="24"/>
          <w:szCs w:val="24"/>
          <w:lang w:eastAsia="cs-CZ"/>
        </w:rPr>
        <w:t xml:space="preserve"> (RDW),</w:t>
      </w:r>
    </w:p>
    <w:p w:rsidR="001E2021" w:rsidRPr="001E2021" w:rsidRDefault="001E2021" w:rsidP="00B52D31">
      <w:pPr>
        <w:numPr>
          <w:ilvl w:val="0"/>
          <w:numId w:val="32"/>
        </w:numPr>
        <w:spacing w:before="120" w:after="0" w:line="240" w:lineRule="auto"/>
        <w:ind w:left="1349" w:hanging="357"/>
        <w:contextualSpacing/>
        <w:jc w:val="both"/>
        <w:rPr>
          <w:rFonts w:ascii="Times New Roman" w:eastAsia="Times New Roman" w:hAnsi="Times New Roman" w:cs="Times New Roman"/>
          <w:sz w:val="24"/>
          <w:szCs w:val="24"/>
          <w:u w:val="single"/>
          <w:lang w:eastAsia="cs-CZ"/>
        </w:rPr>
      </w:pPr>
      <w:r w:rsidRPr="001E2021">
        <w:rPr>
          <w:rFonts w:ascii="Times New Roman" w:eastAsia="Times New Roman" w:hAnsi="Times New Roman" w:cs="Times New Roman"/>
          <w:sz w:val="24"/>
          <w:szCs w:val="24"/>
          <w:u w:val="single"/>
          <w:lang w:eastAsia="cs-CZ"/>
        </w:rPr>
        <w:t>povinná identifikácia a technická kontrola predchádzajúca registrácii vozidiel v členskom štáte</w:t>
      </w:r>
    </w:p>
    <w:p w:rsidR="001E2021" w:rsidRPr="001E2021" w:rsidRDefault="001E2021" w:rsidP="00B52D31">
      <w:pPr>
        <w:numPr>
          <w:ilvl w:val="0"/>
          <w:numId w:val="28"/>
        </w:numPr>
        <w:autoSpaceDE w:val="0"/>
        <w:autoSpaceDN w:val="0"/>
        <w:adjustRightInd w:val="0"/>
        <w:spacing w:after="0" w:line="240" w:lineRule="auto"/>
        <w:ind w:left="1843" w:hanging="425"/>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rozsudok Súdneho dvora (prvá komora) z 20. septembra 2007 vo veci C</w:t>
      </w:r>
      <w:r w:rsidRPr="001E2021">
        <w:rPr>
          <w:rFonts w:ascii="Times New Roman" w:eastAsia="Times New Roman" w:hAnsi="Times New Roman" w:cs="Times New Roman"/>
          <w:sz w:val="24"/>
          <w:szCs w:val="24"/>
          <w:lang w:eastAsia="cs-CZ"/>
        </w:rPr>
        <w:noBreakHyphen/>
        <w:t>297/05, Európska komisia proti Holandskému kráľovstvu.</w:t>
      </w:r>
    </w:p>
    <w:p w:rsidR="001E2021" w:rsidRPr="001E2021" w:rsidRDefault="001E2021" w:rsidP="00B52D31">
      <w:pPr>
        <w:spacing w:after="0" w:line="240" w:lineRule="auto"/>
        <w:jc w:val="both"/>
        <w:rPr>
          <w:rFonts w:ascii="Times New Roman" w:eastAsia="Times New Roman" w:hAnsi="Times New Roman" w:cs="Times New Roman"/>
          <w:sz w:val="24"/>
          <w:szCs w:val="24"/>
          <w:highlight w:val="cyan"/>
          <w:lang w:eastAsia="cs-CZ"/>
        </w:rPr>
      </w:pPr>
    </w:p>
    <w:p w:rsidR="001E2021" w:rsidRPr="001E2021" w:rsidRDefault="001E2021" w:rsidP="00B52D31">
      <w:pPr>
        <w:numPr>
          <w:ilvl w:val="0"/>
          <w:numId w:val="24"/>
        </w:numPr>
        <w:spacing w:after="0" w:line="240" w:lineRule="auto"/>
        <w:jc w:val="both"/>
        <w:rPr>
          <w:rFonts w:ascii="Times New Roman" w:eastAsia="Times New Roman" w:hAnsi="Times New Roman" w:cs="Times New Roman"/>
          <w:b/>
          <w:sz w:val="24"/>
          <w:szCs w:val="24"/>
          <w:lang w:eastAsia="cs-CZ"/>
        </w:rPr>
      </w:pPr>
      <w:r w:rsidRPr="001E2021">
        <w:rPr>
          <w:rFonts w:ascii="Times New Roman" w:eastAsia="Times New Roman" w:hAnsi="Times New Roman" w:cs="Times New Roman"/>
          <w:b/>
          <w:sz w:val="24"/>
          <w:szCs w:val="24"/>
          <w:lang w:eastAsia="cs-CZ"/>
        </w:rPr>
        <w:t>Záväzky Slovenskej republiky vo vzťahu k Európskej únii:</w:t>
      </w:r>
    </w:p>
    <w:p w:rsidR="001E2021" w:rsidRPr="001E2021" w:rsidRDefault="001E2021" w:rsidP="00B52D31">
      <w:pPr>
        <w:numPr>
          <w:ilvl w:val="0"/>
          <w:numId w:val="25"/>
        </w:numPr>
        <w:spacing w:before="120" w:after="0" w:line="240" w:lineRule="auto"/>
        <w:ind w:left="714" w:hanging="357"/>
        <w:jc w:val="both"/>
        <w:rPr>
          <w:rFonts w:ascii="Times New Roman" w:eastAsia="Times New Roman" w:hAnsi="Times New Roman" w:cs="Times New Roman"/>
          <w:sz w:val="24"/>
          <w:szCs w:val="24"/>
          <w:lang w:eastAsia="sk-SK"/>
        </w:rPr>
      </w:pPr>
      <w:r w:rsidRPr="001E2021">
        <w:rPr>
          <w:rFonts w:ascii="Times New Roman" w:eastAsia="Times New Roman" w:hAnsi="Times New Roman" w:cs="Times New Roman"/>
          <w:sz w:val="24"/>
          <w:szCs w:val="24"/>
          <w:lang w:eastAsia="sk-SK"/>
        </w:rPr>
        <w:t xml:space="preserve">uviesť lehotu na prebranie príslušného právneho aktu Európskej únie, príp. aj osobitnú lehotu účinnosti jeho ustanovení </w:t>
      </w:r>
    </w:p>
    <w:p w:rsidR="001E2021" w:rsidRPr="001E2021" w:rsidRDefault="001E2021" w:rsidP="00B52D31">
      <w:pPr>
        <w:numPr>
          <w:ilvl w:val="0"/>
          <w:numId w:val="31"/>
        </w:numPr>
        <w:spacing w:after="0" w:line="240" w:lineRule="auto"/>
        <w:contextualSpacing/>
        <w:jc w:val="both"/>
        <w:rPr>
          <w:rFonts w:ascii="Times New Roman" w:eastAsia="Times New Roman" w:hAnsi="Times New Roman" w:cs="Times New Roman"/>
          <w:bCs/>
          <w:sz w:val="24"/>
          <w:szCs w:val="24"/>
          <w:lang w:eastAsia="cs-CZ"/>
        </w:rPr>
      </w:pPr>
      <w:r w:rsidRPr="001E2021">
        <w:rPr>
          <w:rFonts w:ascii="Times New Roman" w:eastAsia="Times New Roman" w:hAnsi="Times New Roman" w:cs="Times New Roman"/>
          <w:sz w:val="24"/>
          <w:szCs w:val="24"/>
          <w:lang w:eastAsia="cs-CZ"/>
        </w:rPr>
        <w:t>Smernica 89/459/EHS</w:t>
      </w:r>
    </w:p>
    <w:p w:rsidR="001E2021" w:rsidRPr="001E2021" w:rsidRDefault="001E2021" w:rsidP="00B52D31">
      <w:pPr>
        <w:numPr>
          <w:ilvl w:val="0"/>
          <w:numId w:val="28"/>
        </w:numPr>
        <w:spacing w:after="0" w:line="240" w:lineRule="auto"/>
        <w:ind w:left="1418"/>
        <w:contextualSpacing/>
        <w:jc w:val="both"/>
        <w:rPr>
          <w:rFonts w:ascii="Times New Roman" w:eastAsia="Times New Roman" w:hAnsi="Times New Roman" w:cs="Times New Roman"/>
          <w:bCs/>
          <w:sz w:val="24"/>
          <w:szCs w:val="24"/>
          <w:lang w:eastAsia="cs-CZ"/>
        </w:rPr>
      </w:pPr>
      <w:r w:rsidRPr="001E2021">
        <w:rPr>
          <w:rFonts w:ascii="Times New Roman" w:eastAsia="Times New Roman" w:hAnsi="Times New Roman" w:cs="Times New Roman"/>
          <w:sz w:val="24"/>
          <w:szCs w:val="24"/>
          <w:lang w:eastAsia="cs-CZ"/>
        </w:rPr>
        <w:t>do 1. mája 2004 pre smernicu 89/459/EHS,</w:t>
      </w:r>
    </w:p>
    <w:p w:rsidR="001E2021" w:rsidRPr="001E2021" w:rsidRDefault="001E2021" w:rsidP="00B52D31">
      <w:pPr>
        <w:numPr>
          <w:ilvl w:val="0"/>
          <w:numId w:val="31"/>
        </w:numPr>
        <w:spacing w:after="0" w:line="240" w:lineRule="auto"/>
        <w:contextualSpacing/>
        <w:jc w:val="both"/>
        <w:rPr>
          <w:rFonts w:ascii="Times New Roman" w:eastAsia="Times New Roman" w:hAnsi="Times New Roman" w:cs="Times New Roman"/>
          <w:bCs/>
          <w:sz w:val="24"/>
          <w:szCs w:val="24"/>
          <w:lang w:eastAsia="cs-CZ"/>
        </w:rPr>
      </w:pPr>
      <w:r w:rsidRPr="001E2021">
        <w:rPr>
          <w:rFonts w:ascii="Times New Roman" w:eastAsia="Times New Roman" w:hAnsi="Times New Roman" w:cs="Times New Roman"/>
          <w:sz w:val="24"/>
          <w:szCs w:val="24"/>
          <w:lang w:eastAsia="cs-CZ"/>
        </w:rPr>
        <w:t>Smernica 96/53/ES v platnom znení</w:t>
      </w:r>
    </w:p>
    <w:p w:rsidR="001E2021" w:rsidRPr="001E2021" w:rsidRDefault="001E2021" w:rsidP="00B52D31">
      <w:pPr>
        <w:numPr>
          <w:ilvl w:val="0"/>
          <w:numId w:val="28"/>
        </w:numPr>
        <w:spacing w:after="0" w:line="240" w:lineRule="auto"/>
        <w:ind w:left="1418"/>
        <w:contextualSpacing/>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do 1. mája 2004 pre smernicu 96/53/ES v znení smernice 2002/7/ES,</w:t>
      </w:r>
    </w:p>
    <w:p w:rsidR="001E2021" w:rsidRPr="001E2021" w:rsidRDefault="001E2021" w:rsidP="00B52D31">
      <w:pPr>
        <w:numPr>
          <w:ilvl w:val="0"/>
          <w:numId w:val="28"/>
        </w:numPr>
        <w:spacing w:after="0" w:line="240" w:lineRule="auto"/>
        <w:ind w:left="1418"/>
        <w:contextualSpacing/>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do 7. mája 2017 pre smernicu (EÚ) 2015/719,</w:t>
      </w:r>
    </w:p>
    <w:p w:rsidR="001E2021" w:rsidRPr="001E2021" w:rsidRDefault="001E2021" w:rsidP="00B52D31">
      <w:pPr>
        <w:numPr>
          <w:ilvl w:val="0"/>
          <w:numId w:val="31"/>
        </w:numPr>
        <w:spacing w:after="0" w:line="240" w:lineRule="auto"/>
        <w:contextualSpacing/>
        <w:jc w:val="both"/>
        <w:rPr>
          <w:rFonts w:ascii="Times New Roman" w:eastAsia="Times New Roman" w:hAnsi="Times New Roman" w:cs="Times New Roman"/>
          <w:bCs/>
          <w:sz w:val="24"/>
          <w:szCs w:val="24"/>
          <w:lang w:eastAsia="cs-CZ"/>
        </w:rPr>
      </w:pPr>
      <w:r w:rsidRPr="001E2021">
        <w:rPr>
          <w:rFonts w:ascii="Times New Roman" w:eastAsia="Times New Roman" w:hAnsi="Times New Roman" w:cs="Times New Roman"/>
          <w:sz w:val="24"/>
          <w:szCs w:val="24"/>
          <w:lang w:eastAsia="cs-CZ"/>
        </w:rPr>
        <w:t>Smernica 1999/37/ES v platnom znení</w:t>
      </w:r>
    </w:p>
    <w:p w:rsidR="001E2021" w:rsidRPr="001E2021" w:rsidRDefault="001E2021" w:rsidP="00B52D31">
      <w:pPr>
        <w:numPr>
          <w:ilvl w:val="0"/>
          <w:numId w:val="28"/>
        </w:numPr>
        <w:spacing w:after="0" w:line="240" w:lineRule="auto"/>
        <w:ind w:left="1418"/>
        <w:contextualSpacing/>
        <w:jc w:val="both"/>
        <w:rPr>
          <w:rFonts w:ascii="Times New Roman" w:eastAsia="Times New Roman" w:hAnsi="Times New Roman" w:cs="Times New Roman"/>
          <w:bCs/>
          <w:sz w:val="24"/>
          <w:szCs w:val="24"/>
          <w:lang w:eastAsia="cs-CZ"/>
        </w:rPr>
      </w:pPr>
      <w:r w:rsidRPr="001E2021">
        <w:rPr>
          <w:rFonts w:ascii="Times New Roman" w:eastAsia="Times New Roman" w:hAnsi="Times New Roman" w:cs="Times New Roman"/>
          <w:bCs/>
          <w:sz w:val="24"/>
          <w:szCs w:val="24"/>
          <w:lang w:eastAsia="cs-CZ"/>
        </w:rPr>
        <w:t xml:space="preserve">do </w:t>
      </w:r>
      <w:r w:rsidRPr="001E2021">
        <w:rPr>
          <w:rFonts w:ascii="Times New Roman" w:eastAsia="Times New Roman" w:hAnsi="Times New Roman" w:cs="Times New Roman"/>
          <w:sz w:val="24"/>
          <w:szCs w:val="24"/>
          <w:lang w:eastAsia="cs-CZ"/>
        </w:rPr>
        <w:t>1. mája 2004 pre smernicu 1999/37/ES,</w:t>
      </w:r>
    </w:p>
    <w:p w:rsidR="001E2021" w:rsidRPr="001E2021" w:rsidRDefault="001E2021" w:rsidP="00B52D31">
      <w:pPr>
        <w:numPr>
          <w:ilvl w:val="0"/>
          <w:numId w:val="28"/>
        </w:numPr>
        <w:spacing w:after="0" w:line="240" w:lineRule="auto"/>
        <w:ind w:left="1418"/>
        <w:contextualSpacing/>
        <w:jc w:val="both"/>
        <w:rPr>
          <w:rFonts w:ascii="Times New Roman" w:eastAsia="Times New Roman" w:hAnsi="Times New Roman" w:cs="Times New Roman"/>
          <w:bCs/>
          <w:sz w:val="24"/>
          <w:szCs w:val="24"/>
          <w:lang w:eastAsia="cs-CZ"/>
        </w:rPr>
      </w:pPr>
      <w:r w:rsidRPr="001E2021">
        <w:rPr>
          <w:rFonts w:ascii="Times New Roman" w:eastAsia="Times New Roman" w:hAnsi="Times New Roman" w:cs="Times New Roman"/>
          <w:sz w:val="24"/>
          <w:szCs w:val="24"/>
          <w:lang w:eastAsia="cs-CZ"/>
        </w:rPr>
        <w:t>do 15. januára 2005 pre smernicu 2003/127/ES,</w:t>
      </w:r>
    </w:p>
    <w:p w:rsidR="001E2021" w:rsidRPr="001E2021" w:rsidRDefault="001E2021" w:rsidP="00B52D31">
      <w:pPr>
        <w:numPr>
          <w:ilvl w:val="0"/>
          <w:numId w:val="28"/>
        </w:numPr>
        <w:spacing w:after="0" w:line="240" w:lineRule="auto"/>
        <w:ind w:left="1418"/>
        <w:contextualSpacing/>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do 1. januára 2007 pre smernicu 2006/103/ES,</w:t>
      </w:r>
    </w:p>
    <w:p w:rsidR="001E2021" w:rsidRPr="001E2021" w:rsidRDefault="001E2021" w:rsidP="00B52D31">
      <w:pPr>
        <w:numPr>
          <w:ilvl w:val="0"/>
          <w:numId w:val="28"/>
        </w:numPr>
        <w:spacing w:after="0" w:line="240" w:lineRule="auto"/>
        <w:ind w:left="1418"/>
        <w:contextualSpacing/>
        <w:jc w:val="both"/>
        <w:rPr>
          <w:rFonts w:ascii="Times New Roman" w:eastAsia="Times New Roman" w:hAnsi="Times New Roman" w:cs="Times New Roman"/>
          <w:bCs/>
          <w:sz w:val="24"/>
          <w:szCs w:val="24"/>
          <w:lang w:eastAsia="cs-CZ"/>
        </w:rPr>
      </w:pPr>
      <w:r w:rsidRPr="001E2021">
        <w:rPr>
          <w:rFonts w:ascii="Times New Roman" w:eastAsia="Times New Roman" w:hAnsi="Times New Roman" w:cs="Times New Roman"/>
          <w:sz w:val="24"/>
          <w:szCs w:val="24"/>
          <w:lang w:eastAsia="cs-CZ"/>
        </w:rPr>
        <w:t>do 20. mája 2017 pre smernicu 2014/46/EÚ,</w:t>
      </w:r>
    </w:p>
    <w:p w:rsidR="001E2021" w:rsidRPr="001E2021" w:rsidRDefault="001E2021" w:rsidP="00B52D31">
      <w:pPr>
        <w:numPr>
          <w:ilvl w:val="0"/>
          <w:numId w:val="31"/>
        </w:numPr>
        <w:spacing w:after="0" w:line="240" w:lineRule="auto"/>
        <w:contextualSpacing/>
        <w:jc w:val="both"/>
        <w:rPr>
          <w:rFonts w:ascii="Times New Roman" w:eastAsia="Times New Roman" w:hAnsi="Times New Roman" w:cs="Times New Roman"/>
          <w:bCs/>
          <w:sz w:val="24"/>
          <w:szCs w:val="24"/>
          <w:lang w:eastAsia="cs-CZ"/>
        </w:rPr>
      </w:pPr>
      <w:r w:rsidRPr="001E2021">
        <w:rPr>
          <w:rFonts w:ascii="Times New Roman" w:eastAsia="Times New Roman" w:hAnsi="Times New Roman" w:cs="Times New Roman"/>
          <w:sz w:val="24"/>
          <w:szCs w:val="24"/>
          <w:lang w:eastAsia="cs-CZ"/>
        </w:rPr>
        <w:t>Smernica 2014/45/EÚ</w:t>
      </w:r>
    </w:p>
    <w:p w:rsidR="001E2021" w:rsidRPr="001E2021" w:rsidRDefault="001E2021" w:rsidP="00B52D31">
      <w:pPr>
        <w:numPr>
          <w:ilvl w:val="0"/>
          <w:numId w:val="28"/>
        </w:numPr>
        <w:spacing w:after="0" w:line="240" w:lineRule="auto"/>
        <w:ind w:left="1418"/>
        <w:contextualSpacing/>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do 20. mája 2017 pre smernicu 2014/45/EÚ,</w:t>
      </w:r>
    </w:p>
    <w:p w:rsidR="001E2021" w:rsidRPr="001E2021" w:rsidRDefault="001E2021" w:rsidP="00B52D31">
      <w:pPr>
        <w:numPr>
          <w:ilvl w:val="0"/>
          <w:numId w:val="31"/>
        </w:numPr>
        <w:spacing w:after="0" w:line="240" w:lineRule="auto"/>
        <w:contextualSpacing/>
        <w:jc w:val="both"/>
        <w:rPr>
          <w:rFonts w:ascii="Times New Roman" w:eastAsia="Times New Roman" w:hAnsi="Times New Roman" w:cs="Times New Roman"/>
          <w:bCs/>
          <w:sz w:val="24"/>
          <w:szCs w:val="24"/>
          <w:lang w:eastAsia="cs-CZ"/>
        </w:rPr>
      </w:pPr>
      <w:r w:rsidRPr="001E2021">
        <w:rPr>
          <w:rFonts w:ascii="Times New Roman" w:eastAsia="Times New Roman" w:hAnsi="Times New Roman" w:cs="Times New Roman"/>
          <w:sz w:val="24"/>
          <w:szCs w:val="24"/>
          <w:lang w:eastAsia="cs-CZ"/>
        </w:rPr>
        <w:t>Smernica 2014/47/EÚ</w:t>
      </w:r>
    </w:p>
    <w:p w:rsidR="001E2021" w:rsidRPr="001E2021" w:rsidRDefault="001E2021" w:rsidP="00B52D31">
      <w:pPr>
        <w:numPr>
          <w:ilvl w:val="0"/>
          <w:numId w:val="28"/>
        </w:numPr>
        <w:spacing w:after="0" w:line="240" w:lineRule="auto"/>
        <w:ind w:left="1418"/>
        <w:contextualSpacing/>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do 20. mája 2017 pre smernicu 2014/47/EÚ,</w:t>
      </w:r>
    </w:p>
    <w:p w:rsidR="001E2021" w:rsidRPr="001E2021" w:rsidRDefault="001E2021" w:rsidP="00B52D31">
      <w:pPr>
        <w:numPr>
          <w:ilvl w:val="0"/>
          <w:numId w:val="25"/>
        </w:numPr>
        <w:spacing w:before="120" w:after="0" w:line="240" w:lineRule="auto"/>
        <w:ind w:left="714" w:hanging="357"/>
        <w:jc w:val="both"/>
        <w:rPr>
          <w:rFonts w:ascii="Times New Roman" w:eastAsia="Times New Roman" w:hAnsi="Times New Roman" w:cs="Times New Roman"/>
          <w:sz w:val="24"/>
          <w:szCs w:val="24"/>
          <w:lang w:eastAsia="sk-SK"/>
        </w:rPr>
      </w:pPr>
      <w:r w:rsidRPr="001E2021">
        <w:rPr>
          <w:rFonts w:ascii="Times New Roman" w:eastAsia="Times New Roman" w:hAnsi="Times New Roman" w:cs="Times New Roman"/>
          <w:sz w:val="24"/>
          <w:szCs w:val="24"/>
          <w:lang w:eastAsia="sk-SK"/>
        </w:rPr>
        <w:t xml:space="preserve">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w:t>
      </w:r>
    </w:p>
    <w:p w:rsidR="001E2021" w:rsidRPr="001E2021" w:rsidRDefault="001E2021" w:rsidP="00B52D31">
      <w:pPr>
        <w:numPr>
          <w:ilvl w:val="0"/>
          <w:numId w:val="23"/>
        </w:numPr>
        <w:spacing w:after="0" w:line="240" w:lineRule="auto"/>
        <w:contextualSpacing/>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v danej oblasti nie je proti Slovenskej republike začaté konanie,</w:t>
      </w:r>
    </w:p>
    <w:p w:rsidR="001E2021" w:rsidRPr="001E2021" w:rsidRDefault="001E2021" w:rsidP="00B52D31">
      <w:pPr>
        <w:numPr>
          <w:ilvl w:val="0"/>
          <w:numId w:val="25"/>
        </w:numPr>
        <w:spacing w:before="120" w:after="0" w:line="240" w:lineRule="auto"/>
        <w:ind w:left="714" w:hanging="357"/>
        <w:jc w:val="both"/>
        <w:rPr>
          <w:rFonts w:ascii="Times New Roman" w:eastAsia="Times New Roman" w:hAnsi="Times New Roman" w:cs="Times New Roman"/>
          <w:sz w:val="24"/>
          <w:szCs w:val="24"/>
          <w:lang w:eastAsia="sk-SK"/>
        </w:rPr>
      </w:pPr>
      <w:r w:rsidRPr="001E2021">
        <w:rPr>
          <w:rFonts w:ascii="Times New Roman" w:eastAsia="Times New Roman" w:hAnsi="Times New Roman" w:cs="Times New Roman"/>
          <w:sz w:val="24"/>
          <w:szCs w:val="24"/>
          <w:lang w:eastAsia="sk-SK"/>
        </w:rPr>
        <w:t xml:space="preserve">uviesť informáciu o právnych predpisoch, v ktorých sú uvádzané právne akty Európskej únie už prebrané, spolu s uvedením rozsahu ich prebrania, príp. potreby prijatia ďalších úprav </w:t>
      </w:r>
    </w:p>
    <w:p w:rsidR="001E2021" w:rsidRPr="001E2021" w:rsidRDefault="001E2021" w:rsidP="00B52D31">
      <w:pPr>
        <w:numPr>
          <w:ilvl w:val="1"/>
          <w:numId w:val="29"/>
        </w:numPr>
        <w:tabs>
          <w:tab w:val="num" w:pos="993"/>
        </w:tabs>
        <w:spacing w:after="0" w:line="240" w:lineRule="auto"/>
        <w:ind w:left="993" w:hanging="284"/>
        <w:contextualSpacing/>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 xml:space="preserve">Smernica 89/459/EHS je prebratá </w:t>
      </w:r>
    </w:p>
    <w:p w:rsidR="001E2021" w:rsidRPr="001E2021" w:rsidRDefault="001E2021" w:rsidP="00B52D31">
      <w:pPr>
        <w:numPr>
          <w:ilvl w:val="2"/>
          <w:numId w:val="30"/>
        </w:numPr>
        <w:spacing w:after="0" w:line="240" w:lineRule="auto"/>
        <w:ind w:left="1276" w:hanging="283"/>
        <w:contextualSpacing/>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v zákone č. 106/2018 Z. z. o prevádzke vozidiel v cestnej premávke a o zmene a doplnení niektorých zákonov v znení neskorších predpisov,</w:t>
      </w:r>
    </w:p>
    <w:p w:rsidR="001E2021" w:rsidRPr="001E2021" w:rsidRDefault="001E2021" w:rsidP="00B52D31">
      <w:pPr>
        <w:numPr>
          <w:ilvl w:val="2"/>
          <w:numId w:val="30"/>
        </w:numPr>
        <w:spacing w:after="0" w:line="240" w:lineRule="auto"/>
        <w:ind w:left="1276" w:hanging="283"/>
        <w:contextualSpacing/>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lastRenderedPageBreak/>
        <w:t>vo vyhláške Ministerstva dopravy a výstavby Slovenskej republiky č. 134/2018 Z. z., ktorou sa ustanovujú podrobnosti o prevádzke vozidiel v cestnej premávke v znení neskorších predpisov,</w:t>
      </w:r>
    </w:p>
    <w:p w:rsidR="001E2021" w:rsidRPr="001E2021" w:rsidRDefault="001E2021" w:rsidP="00B52D31">
      <w:pPr>
        <w:numPr>
          <w:ilvl w:val="1"/>
          <w:numId w:val="29"/>
        </w:numPr>
        <w:tabs>
          <w:tab w:val="num" w:pos="993"/>
        </w:tabs>
        <w:spacing w:after="0" w:line="240" w:lineRule="auto"/>
        <w:ind w:left="993" w:hanging="284"/>
        <w:contextualSpacing/>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Smernica 96/53/ES v platnom znení je prebratá</w:t>
      </w:r>
    </w:p>
    <w:p w:rsidR="001E2021" w:rsidRPr="001E2021" w:rsidRDefault="001E2021" w:rsidP="00B52D31">
      <w:pPr>
        <w:numPr>
          <w:ilvl w:val="2"/>
          <w:numId w:val="30"/>
        </w:numPr>
        <w:spacing w:after="0" w:line="240" w:lineRule="auto"/>
        <w:ind w:left="1276" w:hanging="283"/>
        <w:contextualSpacing/>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v zákone č. 135/1961 Zb. o pozemných komunikáciách (cestný zákon) v znení neskorších predpisov,</w:t>
      </w:r>
    </w:p>
    <w:p w:rsidR="001E2021" w:rsidRPr="001E2021" w:rsidRDefault="001E2021" w:rsidP="00B52D31">
      <w:pPr>
        <w:numPr>
          <w:ilvl w:val="2"/>
          <w:numId w:val="30"/>
        </w:numPr>
        <w:spacing w:after="0" w:line="240" w:lineRule="auto"/>
        <w:ind w:left="1276" w:hanging="283"/>
        <w:contextualSpacing/>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v zákone č. 106/2018 Z. z. o prevádzke vozidiel v cestnej premávke a o zmene a doplnení niektorých zákonov v znení neskorších predpisov,</w:t>
      </w:r>
    </w:p>
    <w:p w:rsidR="001E2021" w:rsidRPr="001E2021" w:rsidRDefault="001E2021" w:rsidP="00B52D31">
      <w:pPr>
        <w:numPr>
          <w:ilvl w:val="2"/>
          <w:numId w:val="30"/>
        </w:numPr>
        <w:spacing w:after="0" w:line="240" w:lineRule="auto"/>
        <w:ind w:left="1276" w:hanging="283"/>
        <w:contextualSpacing/>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vo vyhláške Ministerstva dopravy a výstavby Slovenskej republiky č. 134/2018 Z. z., ktorou sa ustanovujú podrobnosti o prevádzke vozidiel v cestnej premávke v znení neskorších predpisov,</w:t>
      </w:r>
    </w:p>
    <w:p w:rsidR="001E2021" w:rsidRPr="001E2021" w:rsidRDefault="001E2021" w:rsidP="00B52D31">
      <w:pPr>
        <w:numPr>
          <w:ilvl w:val="1"/>
          <w:numId w:val="29"/>
        </w:numPr>
        <w:tabs>
          <w:tab w:val="num" w:pos="993"/>
        </w:tabs>
        <w:spacing w:after="0" w:line="240" w:lineRule="auto"/>
        <w:ind w:left="993" w:hanging="284"/>
        <w:contextualSpacing/>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 xml:space="preserve">Smernica 1999/37/ES v platnom znení je prebraná </w:t>
      </w:r>
    </w:p>
    <w:p w:rsidR="001E2021" w:rsidRPr="001E2021" w:rsidRDefault="001E2021" w:rsidP="00B52D31">
      <w:pPr>
        <w:numPr>
          <w:ilvl w:val="2"/>
          <w:numId w:val="30"/>
        </w:numPr>
        <w:spacing w:after="0" w:line="240" w:lineRule="auto"/>
        <w:ind w:left="1276" w:hanging="283"/>
        <w:contextualSpacing/>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v zákone č. 8/2009 Z. z. o cestnej premávke a o zmene a doplnení niektorých zákonov v znení neskorších predpisov,</w:t>
      </w:r>
    </w:p>
    <w:p w:rsidR="001E2021" w:rsidRPr="001E2021" w:rsidRDefault="001E2021" w:rsidP="00B52D31">
      <w:pPr>
        <w:numPr>
          <w:ilvl w:val="2"/>
          <w:numId w:val="30"/>
        </w:numPr>
        <w:spacing w:after="0" w:line="240" w:lineRule="auto"/>
        <w:ind w:left="1276" w:hanging="283"/>
        <w:contextualSpacing/>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v zákone č. 106/2018 Z. z. o prevádzke vozidiel v cestnej premávke a o zmene a doplnení niektorých zákonov v znení neskorších predpisov,</w:t>
      </w:r>
    </w:p>
    <w:p w:rsidR="001E2021" w:rsidRPr="001E2021" w:rsidRDefault="001E2021" w:rsidP="00B52D31">
      <w:pPr>
        <w:numPr>
          <w:ilvl w:val="2"/>
          <w:numId w:val="30"/>
        </w:numPr>
        <w:spacing w:after="0" w:line="240" w:lineRule="auto"/>
        <w:ind w:left="1276" w:hanging="283"/>
        <w:contextualSpacing/>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vo vyhláške Ministerstva dopravy a výstavby Slovenskej republiky č. 133/2018 Z. z., ktorou sa ustanovujú podrobnosti o dokladoch vozidla v znení neskorších predpisov,</w:t>
      </w:r>
    </w:p>
    <w:p w:rsidR="001E2021" w:rsidRPr="001E2021" w:rsidRDefault="001E2021" w:rsidP="00B52D31">
      <w:pPr>
        <w:numPr>
          <w:ilvl w:val="1"/>
          <w:numId w:val="29"/>
        </w:numPr>
        <w:tabs>
          <w:tab w:val="num" w:pos="993"/>
        </w:tabs>
        <w:spacing w:after="0" w:line="240" w:lineRule="auto"/>
        <w:ind w:left="993" w:hanging="284"/>
        <w:contextualSpacing/>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Smernica 2014/45/EÚ</w:t>
      </w:r>
    </w:p>
    <w:p w:rsidR="001E2021" w:rsidRPr="001E2021" w:rsidRDefault="001E2021" w:rsidP="00B52D31">
      <w:pPr>
        <w:numPr>
          <w:ilvl w:val="2"/>
          <w:numId w:val="30"/>
        </w:numPr>
        <w:spacing w:after="0" w:line="240" w:lineRule="auto"/>
        <w:ind w:left="1276" w:hanging="283"/>
        <w:contextualSpacing/>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v zákone č. 106/2018 Z. z. o prevádzke vozidiel v cestnej premávke a o zmene a doplnení niektorých zákonov v znení neskorších predpisov,</w:t>
      </w:r>
    </w:p>
    <w:p w:rsidR="001E2021" w:rsidRPr="001E2021" w:rsidRDefault="001E2021" w:rsidP="00B52D31">
      <w:pPr>
        <w:numPr>
          <w:ilvl w:val="2"/>
          <w:numId w:val="30"/>
        </w:numPr>
        <w:spacing w:after="0" w:line="240" w:lineRule="auto"/>
        <w:ind w:left="1276" w:hanging="283"/>
        <w:contextualSpacing/>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vo vyhláške Ministerstva dopravy a výstavby Slovenskej republiky č. 137/2018 Z. z., ktorou sa ustanovujú podrobnosti v oblasti technickej kontroly v znení neskorších predpisov,</w:t>
      </w:r>
    </w:p>
    <w:p w:rsidR="001E2021" w:rsidRPr="001E2021" w:rsidRDefault="001E2021" w:rsidP="00B52D31">
      <w:pPr>
        <w:numPr>
          <w:ilvl w:val="2"/>
          <w:numId w:val="30"/>
        </w:numPr>
        <w:spacing w:after="0" w:line="240" w:lineRule="auto"/>
        <w:ind w:left="1276" w:hanging="283"/>
        <w:contextualSpacing/>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vo vyhláške Ministerstva dopravy a výstavby Slovenskej republiky č. 138/2018 Z. z., ktorou sa ustanovujú podrobnosti v oblasti emisnej kontroly v znení neskorších predpisov,</w:t>
      </w:r>
    </w:p>
    <w:p w:rsidR="001E2021" w:rsidRPr="001E2021" w:rsidRDefault="001E2021" w:rsidP="00B52D31">
      <w:pPr>
        <w:numPr>
          <w:ilvl w:val="1"/>
          <w:numId w:val="29"/>
        </w:numPr>
        <w:tabs>
          <w:tab w:val="num" w:pos="993"/>
        </w:tabs>
        <w:spacing w:after="0" w:line="240" w:lineRule="auto"/>
        <w:ind w:left="993" w:hanging="284"/>
        <w:contextualSpacing/>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Smernica 2014/47/EÚ</w:t>
      </w:r>
    </w:p>
    <w:p w:rsidR="001E2021" w:rsidRPr="001E2021" w:rsidRDefault="001E2021" w:rsidP="00B52D31">
      <w:pPr>
        <w:numPr>
          <w:ilvl w:val="2"/>
          <w:numId w:val="30"/>
        </w:numPr>
        <w:spacing w:after="0" w:line="240" w:lineRule="auto"/>
        <w:ind w:left="1276" w:hanging="283"/>
        <w:contextualSpacing/>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v zákone č. 106/2018 Z. z. o prevádzke vozidiel v cestnej premávke a o zmene a doplnení niektorých zákonov v znení neskorších predpisov,</w:t>
      </w:r>
    </w:p>
    <w:p w:rsidR="001E2021" w:rsidRPr="001E2021" w:rsidRDefault="001E2021" w:rsidP="00B52D31">
      <w:pPr>
        <w:numPr>
          <w:ilvl w:val="2"/>
          <w:numId w:val="30"/>
        </w:numPr>
        <w:spacing w:after="0" w:line="240" w:lineRule="auto"/>
        <w:ind w:left="1276" w:hanging="283"/>
        <w:contextualSpacing/>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vo vyhláške Ministerstva dopravy a výstavby Slovenskej republiky č. 135/2018 Z. z., ktorou sa ustanovujú podrobnosti v oblasti cestnej technickej kontroly v znení neskorších predpisov.</w:t>
      </w:r>
    </w:p>
    <w:p w:rsidR="001E2021" w:rsidRPr="001E2021" w:rsidRDefault="001E2021" w:rsidP="00B52D31">
      <w:pPr>
        <w:spacing w:after="0" w:line="240" w:lineRule="auto"/>
        <w:jc w:val="both"/>
        <w:rPr>
          <w:rFonts w:ascii="Times New Roman" w:eastAsia="Times New Roman" w:hAnsi="Times New Roman" w:cs="Times New Roman"/>
          <w:b/>
          <w:bCs/>
          <w:sz w:val="24"/>
          <w:szCs w:val="24"/>
          <w:lang w:eastAsia="cs-CZ"/>
        </w:rPr>
      </w:pPr>
    </w:p>
    <w:p w:rsidR="001E2021" w:rsidRPr="001E2021" w:rsidRDefault="001E2021" w:rsidP="00B52D31">
      <w:pPr>
        <w:numPr>
          <w:ilvl w:val="0"/>
          <w:numId w:val="24"/>
        </w:numPr>
        <w:spacing w:after="0" w:line="240" w:lineRule="auto"/>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b/>
          <w:bCs/>
          <w:sz w:val="24"/>
          <w:szCs w:val="24"/>
          <w:lang w:eastAsia="cs-CZ"/>
        </w:rPr>
        <w:t xml:space="preserve">Návrh </w:t>
      </w:r>
      <w:r w:rsidRPr="001E2021">
        <w:rPr>
          <w:rFonts w:ascii="Times New Roman" w:eastAsia="Times New Roman" w:hAnsi="Times New Roman" w:cs="Times New Roman"/>
          <w:b/>
          <w:sz w:val="24"/>
          <w:szCs w:val="24"/>
          <w:lang w:eastAsia="cs-CZ"/>
        </w:rPr>
        <w:t>zákona</w:t>
      </w:r>
      <w:r w:rsidRPr="001E2021">
        <w:rPr>
          <w:rFonts w:ascii="Times New Roman" w:eastAsia="Times New Roman" w:hAnsi="Times New Roman" w:cs="Times New Roman"/>
          <w:b/>
          <w:bCs/>
          <w:sz w:val="24"/>
          <w:szCs w:val="24"/>
          <w:lang w:eastAsia="cs-CZ"/>
        </w:rPr>
        <w:t xml:space="preserve"> je zlučiteľný s právom Európskej únie</w:t>
      </w:r>
      <w:r w:rsidRPr="001E2021">
        <w:rPr>
          <w:rFonts w:ascii="Times New Roman" w:eastAsia="Times New Roman" w:hAnsi="Times New Roman" w:cs="Times New Roman"/>
          <w:b/>
          <w:sz w:val="24"/>
          <w:szCs w:val="24"/>
          <w:lang w:eastAsia="cs-CZ"/>
        </w:rPr>
        <w:t>:</w:t>
      </w:r>
    </w:p>
    <w:p w:rsidR="001E2021" w:rsidRPr="001E2021" w:rsidRDefault="001E2021" w:rsidP="00B52D31">
      <w:pPr>
        <w:numPr>
          <w:ilvl w:val="0"/>
          <w:numId w:val="26"/>
        </w:numPr>
        <w:spacing w:before="120" w:after="0" w:line="240" w:lineRule="auto"/>
        <w:ind w:left="924" w:hanging="357"/>
        <w:contextualSpacing/>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úplne.</w:t>
      </w:r>
    </w:p>
    <w:p w:rsidR="001E2021" w:rsidRPr="001E2021" w:rsidRDefault="001E2021" w:rsidP="00B52D31">
      <w:pPr>
        <w:spacing w:after="0" w:line="240" w:lineRule="auto"/>
        <w:jc w:val="both"/>
        <w:rPr>
          <w:rFonts w:ascii="Times New Roman" w:eastAsia="Times New Roman" w:hAnsi="Times New Roman" w:cs="Times New Roman"/>
          <w:sz w:val="24"/>
          <w:szCs w:val="24"/>
          <w:lang w:eastAsia="cs-CZ"/>
        </w:rPr>
      </w:pPr>
      <w:r w:rsidRPr="001E2021">
        <w:rPr>
          <w:rFonts w:ascii="Times New Roman" w:eastAsia="Times New Roman" w:hAnsi="Times New Roman" w:cs="Times New Roman"/>
          <w:sz w:val="24"/>
          <w:szCs w:val="24"/>
          <w:lang w:eastAsia="cs-CZ"/>
        </w:rPr>
        <w:t xml:space="preserve"> </w:t>
      </w:r>
    </w:p>
    <w:p w:rsidR="000F393A" w:rsidRPr="00B52D31" w:rsidRDefault="000F393A" w:rsidP="00B52D31">
      <w:pPr>
        <w:jc w:val="both"/>
        <w:rPr>
          <w:rFonts w:ascii="Times New Roman" w:hAnsi="Times New Roman" w:cs="Times New Roman"/>
        </w:rPr>
      </w:pPr>
    </w:p>
    <w:p w:rsidR="000F393A" w:rsidRPr="00B52D31" w:rsidRDefault="000F393A" w:rsidP="00B52D31">
      <w:pPr>
        <w:jc w:val="both"/>
        <w:rPr>
          <w:rFonts w:ascii="Times New Roman" w:hAnsi="Times New Roman" w:cs="Times New Roman"/>
        </w:rPr>
      </w:pPr>
    </w:p>
    <w:p w:rsidR="000F393A" w:rsidRPr="00B52D31" w:rsidRDefault="000F393A" w:rsidP="00B52D31">
      <w:pPr>
        <w:jc w:val="both"/>
        <w:rPr>
          <w:rFonts w:ascii="Times New Roman" w:hAnsi="Times New Roman" w:cs="Times New Roman"/>
        </w:rPr>
      </w:pPr>
    </w:p>
    <w:p w:rsidR="001E2021" w:rsidRPr="00B52D31" w:rsidRDefault="001E2021" w:rsidP="00B52D31">
      <w:pPr>
        <w:jc w:val="both"/>
        <w:rPr>
          <w:rFonts w:ascii="Times New Roman" w:hAnsi="Times New Roman" w:cs="Times New Roman"/>
        </w:rPr>
      </w:pPr>
    </w:p>
    <w:p w:rsidR="001E2021" w:rsidRPr="00B52D31" w:rsidRDefault="001E2021" w:rsidP="00B52D31">
      <w:pPr>
        <w:jc w:val="both"/>
        <w:rPr>
          <w:rFonts w:ascii="Times New Roman" w:hAnsi="Times New Roman" w:cs="Times New Roman"/>
        </w:rPr>
      </w:pPr>
    </w:p>
    <w:p w:rsidR="001E2021" w:rsidRPr="00B52D31" w:rsidRDefault="001E2021" w:rsidP="00B52D31">
      <w:pPr>
        <w:jc w:val="both"/>
        <w:rPr>
          <w:rFonts w:ascii="Times New Roman" w:hAnsi="Times New Roman" w:cs="Times New Roman"/>
        </w:rPr>
      </w:pPr>
    </w:p>
    <w:p w:rsidR="001E2021" w:rsidRPr="00B52D31" w:rsidRDefault="001E2021" w:rsidP="00B52D31">
      <w:pPr>
        <w:jc w:val="both"/>
        <w:rPr>
          <w:rFonts w:ascii="Times New Roman" w:hAnsi="Times New Roman" w:cs="Times New Roman"/>
        </w:rPr>
      </w:pPr>
    </w:p>
    <w:p w:rsidR="001E2021" w:rsidRPr="001E2021" w:rsidRDefault="001E2021" w:rsidP="00B52D31">
      <w:pPr>
        <w:spacing w:after="0" w:line="240" w:lineRule="auto"/>
        <w:jc w:val="both"/>
        <w:rPr>
          <w:rFonts w:ascii="Times New Roman" w:eastAsia="Calibri" w:hAnsi="Times New Roman" w:cs="Times New Roman"/>
          <w:b/>
          <w:sz w:val="24"/>
          <w:szCs w:val="24"/>
        </w:rPr>
      </w:pPr>
      <w:r w:rsidRPr="001E2021">
        <w:rPr>
          <w:rFonts w:ascii="Times New Roman" w:eastAsia="Calibri" w:hAnsi="Times New Roman" w:cs="Times New Roman"/>
          <w:b/>
          <w:sz w:val="24"/>
          <w:szCs w:val="24"/>
        </w:rPr>
        <w:lastRenderedPageBreak/>
        <w:t>B. Osobitná časť</w:t>
      </w:r>
    </w:p>
    <w:p w:rsidR="001E2021" w:rsidRPr="001E2021" w:rsidRDefault="001E2021" w:rsidP="00B52D31">
      <w:pPr>
        <w:spacing w:after="0" w:line="240" w:lineRule="auto"/>
        <w:jc w:val="both"/>
        <w:rPr>
          <w:rFonts w:ascii="Times New Roman" w:eastAsia="Calibri" w:hAnsi="Times New Roman" w:cs="Times New Roman"/>
          <w:b/>
          <w:sz w:val="24"/>
          <w:szCs w:val="24"/>
        </w:rPr>
      </w:pPr>
    </w:p>
    <w:p w:rsidR="001E2021" w:rsidRDefault="001E2021" w:rsidP="00B52D31">
      <w:pPr>
        <w:spacing w:after="0" w:line="240" w:lineRule="auto"/>
        <w:jc w:val="both"/>
        <w:rPr>
          <w:rFonts w:ascii="Times New Roman" w:eastAsia="Calibri" w:hAnsi="Times New Roman" w:cs="Times New Roman"/>
          <w:b/>
          <w:sz w:val="24"/>
          <w:szCs w:val="24"/>
        </w:rPr>
      </w:pPr>
      <w:r w:rsidRPr="001E2021">
        <w:rPr>
          <w:rFonts w:ascii="Times New Roman" w:eastAsia="Calibri" w:hAnsi="Times New Roman" w:cs="Times New Roman"/>
          <w:b/>
          <w:sz w:val="24"/>
          <w:szCs w:val="24"/>
        </w:rPr>
        <w:t>K čl. I</w:t>
      </w:r>
    </w:p>
    <w:p w:rsidR="00B52D31" w:rsidRPr="001E2021" w:rsidRDefault="00B52D31" w:rsidP="00B52D31">
      <w:pPr>
        <w:spacing w:after="0" w:line="240" w:lineRule="auto"/>
        <w:jc w:val="both"/>
        <w:rPr>
          <w:rFonts w:ascii="Times New Roman" w:eastAsia="Calibri" w:hAnsi="Times New Roman" w:cs="Times New Roman"/>
          <w:b/>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rPr>
      </w:pPr>
      <w:r w:rsidRPr="001E2021">
        <w:rPr>
          <w:rFonts w:ascii="Times New Roman" w:eastAsia="Calibri" w:hAnsi="Times New Roman" w:cs="Times New Roman"/>
          <w:bCs/>
          <w:kern w:val="36"/>
          <w:sz w:val="24"/>
          <w:szCs w:val="24"/>
        </w:rPr>
        <w:t xml:space="preserve">Tento článok obsahuje novelu zákona </w:t>
      </w:r>
      <w:r w:rsidRPr="001E2021">
        <w:rPr>
          <w:rFonts w:ascii="Times New Roman" w:eastAsia="Calibri" w:hAnsi="Times New Roman" w:cs="Times New Roman"/>
          <w:sz w:val="24"/>
          <w:szCs w:val="24"/>
        </w:rPr>
        <w:t>č. 106/2018 Z. z. o prevádzke vozidiel v cestnej premávke a o zmene a doplnení niektorých zákonov v znení neskorších predpisov</w:t>
      </w:r>
      <w:r w:rsidRPr="001E2021">
        <w:rPr>
          <w:rFonts w:ascii="Times New Roman" w:eastAsia="Calibri" w:hAnsi="Times New Roman" w:cs="Times New Roman"/>
          <w:bCs/>
          <w:kern w:val="36"/>
          <w:sz w:val="24"/>
          <w:szCs w:val="24"/>
        </w:rPr>
        <w:t>.</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1 [Poznámka pod čiarou k odkazu 7]</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Aktualizujú sa názvy nariadenia (ES) č. 715/2007 v platnom znení a nariadenia (ES) č. 595/2009 v platnom znení, keďže názvy týchto nariadení boli zmenené.</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2 [Poznámka pod čiarou k odkazu 7]</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Aktualizuje sa poznámka pod čiarou k odkazu 7, kde sa medzi regulačný akt, ktorým môže byť právne záväzný akt Európskej únie ustanovujúci požiadavky na schvaľovací postup a technické požiadavky dopĺňa nariadenie (EÚ) 2019/2144. Zároveň sa z poznámky pod čiarou k odkazu 7 vypúšťajú predpisy, ktoré budú nariadením (EÚ) 2019/2144 zrušené.</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3 [§ 2 ods. 27 a 28]</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Vzhľadom na upustenie povinnej certifikácie opravovní na certifikované miesta opravy sa vypúšťa definícia certifikovaného miesta opravy a namiesto toho sa navrhujú definície autorizovanej opravovne a nezávislej opravovne.</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4 a 6 [Poznámky pod čiarou k odkazu 34 a 36]</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Aktualizuje sa poznámky pod čiarou k odkazu 34 a 36 vzhľadom na to, že povinnosti hospodárskych subjektov ohľadne označovania pneumatík sú od 1. 5. 2021 upravené v nariadení (EÚ) 2020/740.</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5 [§ 22 nový odsek 8]</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 xml:space="preserve">§ 22 sa dopĺňa novým odsekom 8, kde sa ustanovuje povinnosť aj pre poskytovateľov služieb informačnej spoločnosti (tzv. poskytovateľov </w:t>
      </w:r>
      <w:proofErr w:type="spellStart"/>
      <w:r w:rsidRPr="001E2021">
        <w:rPr>
          <w:rFonts w:ascii="Times New Roman" w:eastAsia="Calibri" w:hAnsi="Times New Roman" w:cs="Times New Roman"/>
          <w:sz w:val="24"/>
          <w:szCs w:val="24"/>
        </w:rPr>
        <w:t>hostingových</w:t>
      </w:r>
      <w:proofErr w:type="spellEnd"/>
      <w:r w:rsidRPr="001E2021">
        <w:rPr>
          <w:rFonts w:ascii="Times New Roman" w:eastAsia="Calibri" w:hAnsi="Times New Roman" w:cs="Times New Roman"/>
          <w:sz w:val="24"/>
          <w:szCs w:val="24"/>
        </w:rPr>
        <w:t xml:space="preserve"> služieb) uvedených v § 6 ods. 4 zákona č. 22/2004 Z. z. o elektronickom obchode a o zmene a doplnení zákona č. 128/2002 Z. z. o štátnej kontrole vnútorného trhu vo veciach ochrany spotrebiteľa a o zmene a doplnení niektorých zákonov v znení zákona č. 284/2002 Z. z. v znení neskorších predpisov (transpozícia čl. 14 smernice 2000/31/ES), dodržiavať povinnosti o označovaní pneumatík upravené v nariadení (EÚ) 2020/740.</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7 [§ 29 ods. 9]</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Navrhuje sa doplniť možnosť pre schvaľovací orgán, že v prípade nesprávnej kategórie vozidla alebo nesprávnych údajov v zahraničných registračných dokladoch vozidla bude môcť schvaľovací orgán tieto údaje opraviť, ak ide o jednoznačnú administratívnu chybu.</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8 [§ 38 nový ods. 10]</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Ustanovujú sa podmienky pre zrušenie rozhodnutia o pridelení náhradného identifikačného čísla vozidla VIN, keďže takáto úprava v súčasnosti absentovala.</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9 [§ 40 ods. 1]</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 xml:space="preserve">Vzhľadom na to, že nie je dôvod na obmedzenie platnosti osvedčenia o evidencii časť I na 10 rokov, navrhuje sa neobmedzená platnosť osvedčenia o evidencii časť I okrem prípadu, ktorý ustanoví zákon č. 8/2009 Z. z. o cestnej premávke a o zmene a doplnení niektorých </w:t>
      </w:r>
      <w:r w:rsidRPr="001E2021">
        <w:rPr>
          <w:rFonts w:ascii="Times New Roman" w:eastAsia="Calibri" w:hAnsi="Times New Roman" w:cs="Times New Roman"/>
          <w:sz w:val="24"/>
          <w:szCs w:val="24"/>
        </w:rPr>
        <w:lastRenderedPageBreak/>
        <w:t>zákonov v znení neskorších predpisov; napríklad obmedzenie platnosti pri vydaní tabuľky so zvláštnym evidenčným číslom s písmenom V pri vývoze jednotlivého vozidla.</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10 [§ 45 ods. 1 písm. c) štvrtý bod]</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Opravuje sa chyba spôsobená zákonom č. 198/2020 Z. z., ktorým sa menia a dopĺňajú niektoré zákony v súvislosti so zlepšovaním podnikateľského prostredia zasiahnutým opatreniami na zamedzenie šírenia nebezpečnej nákazlivej ľudskej choroby COVID-19, keď s účinnosťou od 1. 7. 2021 budú zrušené kontrolné nálepky o technickej kontrole a emisnej kontrole, ale zabudla sa zrušiť povinnosť absolvovania technickej kontroly administratívnej a emisnej kontroly administratívnej pri výmene čelného skla.</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12 [§ 45 ods. 2 písm. h)]</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Opravuje sa názvoslovie hmotností, ktoré má správne znieť „najväčšia technicky prípustná hmotnosť“.</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11, 13, 14 a 15 [§ 45 ods. 1 písm. d) prvý bod, § 47 ods. 3 písm. c), § 47 ods. 7, 8 a 9]</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 xml:space="preserve">V súvislosti s vypustením povinnej certifikácie opravovní na certifikované miesto opravy sa tento pojem navrhuje nahradiť pojmami autorizovaná opravovňa a nezávislá opravovňa. Zároveň sa v odseku 7 navrhujú podmienky, kedy bude môcť autorizovaná opravovňa a nezávislá opravovňa vykonať opravu vozidla po dopravnej nehode, ktoré mali vplyv na hlavné bezpečnostné prvky vozidla, ktorými sú zavesenie kolies, deformačné zóny, systémy </w:t>
      </w:r>
      <w:proofErr w:type="spellStart"/>
      <w:r w:rsidRPr="001E2021">
        <w:rPr>
          <w:rFonts w:ascii="Times New Roman" w:eastAsia="Calibri" w:hAnsi="Times New Roman" w:cs="Times New Roman"/>
          <w:sz w:val="24"/>
          <w:szCs w:val="24"/>
        </w:rPr>
        <w:t>airbagov</w:t>
      </w:r>
      <w:proofErr w:type="spellEnd"/>
      <w:r w:rsidRPr="001E2021">
        <w:rPr>
          <w:rFonts w:ascii="Times New Roman" w:eastAsia="Calibri" w:hAnsi="Times New Roman" w:cs="Times New Roman"/>
          <w:sz w:val="24"/>
          <w:szCs w:val="24"/>
        </w:rPr>
        <w:t>, riadenie alebo brzdy, a tiež sa ustanovujú povinnosti pre takúto autorizovanú opravovňu a nezávislú opravovňu.</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16 [§ 48 ods. 1]</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Navrhuje sa vypustiť obmedzenie, že register prevádzkových vozidiel sa týka iba vozidiel prihlásených v evidencii vozidiel v Slovenskej republike z dôvodu, že v tomto registri sa evidujú aj údaje vozidiel, ktoré sú jednotlivo dovážané do Slovenskej republiky, pričom v čase zápisu do registra (pri predaji) tieto vozidlá ešte nie sú prihlásené v evidencii vozidiel.</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17 [§ 48 ods. 2]</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Ide o opravu chyby a zosúladenie terminológie používanej v zákone.</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18 [§ 48 ods. 3 písm. h)]</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Povinnosť zapisovať údaje do registra prevádzkových záznamov vozidiel sa navrhuje doplniť aj pre osoby prevádzkujúce webové sídlo s ponukami na predaj a kúpu cestných motorových vozidiel.</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19 [§ 48 ods. 3 písm. j)]</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Povinnosť zapisovať údaje do registra prevádzkových záznamov vozidiel pre osoby vykonávajúce predaj ojazdených vozidiel sa bližšie špecifikuje nie len na predaj vozidla ale aj na ponuky. Ide o zosúladenie so zákazom uvedeným v § 53 ods. 3.</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20 [§ 48 ods. 3 písm. m)]</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Povinnosť zapisovať údaje do registra prevádzkových záznamov vozidiel sa navrhuje doplniť aj pre osoby vykonávajúce nastavovanie alebo iné zásahy v rámci softvéru riadiacej jednotky motorového vozidla.</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21 [§ 48 ods. 3 písm. o) poznámka pod čiarou k odkazu 46a)]</w:t>
      </w:r>
    </w:p>
    <w:p w:rsidR="001E2021" w:rsidRPr="001E2021" w:rsidRDefault="001E2021" w:rsidP="00B52D31">
      <w:pPr>
        <w:spacing w:after="0" w:line="240" w:lineRule="auto"/>
        <w:ind w:firstLine="708"/>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lastRenderedPageBreak/>
        <w:t>V súvislosti s  novozavedenou poznámkou pod čiarou k odkazu 46a) v § 47 ods. 7 sa aktualizuje číslo poznámky pod čiarou chronologicky na poznámku pod čiarou k odkazu 46b).</w:t>
      </w:r>
    </w:p>
    <w:p w:rsidR="001E2021" w:rsidRPr="001E2021" w:rsidRDefault="001E2021" w:rsidP="00B52D31">
      <w:pPr>
        <w:spacing w:after="0" w:line="240" w:lineRule="auto"/>
        <w:jc w:val="both"/>
        <w:rPr>
          <w:rFonts w:ascii="Times New Roman" w:eastAsia="Calibri" w:hAnsi="Times New Roman" w:cs="Times New Roman"/>
          <w:sz w:val="24"/>
          <w:szCs w:val="24"/>
          <w:u w:val="single"/>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22 [§ 66 ods. 3]</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Navrhuje sa spresniť ustanovenie, kedy sa nahráva správa do celoštátneho informačného systému cestných technických kontrol.</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23 [§ 70 ods. 10]</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V rámci výberového konania sa navrhuje, že uchádzač nebude musieť disponovať platnou akreditáciou na požadovanú činnosť a tiež nebude musieť disponovať informačným systémom, ale bude musieť preukázať, akým spôsobom chce zabezpečiť tieto podmienky. Uvedené podmienky sa pre výberové konanie navrhujú zmeniť z dôvodu, že do výberového konania by sa zapojilo len minimum spoločností, keďže nikto dopredu nevyvinie informačný systém, keď ešte nevie, či bude vo výberovom konaní úspešný. Podobne aj s akreditáciou je to rovnako, nikto nebude žiadať o akreditáciu, keď ešte nevie, či bude úspešný vo výberovom konaní.</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24 [§ 71 ods. 1 písm. n)]</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Navrhuje sa spresniť ustanovenie, že pre udelenie poverenia technickej služby je potrebné mať nielen vhodný informačný systém, ale aj funkčný informačný systém.</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25 [§ 71 ods. 1 písm. o)]</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Medzi podmienky na udelenie oprávnenia sa navrhuje doplniť, že žiadateľ splnil podmienky, ktoré ním boli predstavené vo výberovom konaní.</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26 a 27 [§ 71 ods. 1 písm. p) a ods. 3]</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Navrhuje sa doplniť, že pokiaľ najlepších uchádzať výberového konania nezíska poverenie do šiestich mesiacov, môže o poverenie požiadať aj v poradí ďalší úspešný uchádzač vo výberovom konaní.</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28 [§ 71 ods. 4]</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Platnosť poverenia na výkon činnosti niektorých technických služieb sa navrhuje predĺžiť z päť na desať rokov z dôvodu, že lehota piatich rokov bola krátka na návratnosť vynaloženej investície činnosti technickej služby. Platnosť poverenia sa navrhuje predĺžiť z dôvodu, že technické služby budú musieť pri ukončení platnosti odovzdať informačný systém.</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29 [§ 72 ods. 3 písm. a)]</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Minimálna doba pre ukončenie činnosti technickej služby sa navrhuje predĺžiť zo 120 (stodvadsať) dní na šesť mesiacov.</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30 [§ 72 ods. 5 písm. b)]</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Ako dôvod predĺženia platnosti poverenia technickej služby sa dopĺňa, že úspešný uchádzač výberového konania nezískal poverenie na vykonávanie činnosti technickej služby.</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31, 34 a 37 [§ 74 ods. 1 písm. h), § 75 ods. 1 písm. h), § 76 ods. 1 písm. g)]</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 xml:space="preserve">Navrhuje sa ustanoviť povinnosť technickej službe technickej kontroly, technickej službe emisnej kontroly a technickej službe kontrole originality, že na svojom webovom sídle </w:t>
      </w:r>
      <w:r w:rsidRPr="001E2021">
        <w:rPr>
          <w:rFonts w:ascii="Times New Roman" w:eastAsia="Calibri" w:hAnsi="Times New Roman" w:cs="Times New Roman"/>
          <w:sz w:val="24"/>
          <w:szCs w:val="24"/>
        </w:rPr>
        <w:lastRenderedPageBreak/>
        <w:t>umožní overenie platnosti technickej kontroly, overenie platnosti emisnej kontroly alebo overenie výsledku kontroly originality.</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32, 33, 35, 36, 40 až 43 [§ 74 ods. 11 a 12, § 75 ods. 8 a 9, § 76 ods. 8 a 9, § 77 ods. 5 a 6]</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Medzi povinnosti technickej služby technickej kontroly, technickej služby emisnej kontroly, technickej služby kontroly originality a technickej služby montáže plynových zariadení sa navrhuje doplniť novú povinnosť, že technická služba bude musieť požiadať o schválenie zvýšenia poplatkov za poskytované služby.</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Zároveň sa medzi povinnosti technickej služby technickej kontroly, technickej služby emisnej kontroly, technickej služby kontroly originality a technickej služby montáže plynových zariadení sa navrhuje doplniť nové povinnosti ako disponovať licenciou k celoštátnemu informačnému systému a tiež povinnosti vedúce k tomu, že pri ukončení poverenia budú musieť technické služby poskytnúť príslušný celoštátny informačný systém bezodplatne ministerstvu.</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38 [§ 76 ods. 1 písm. h)]</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Navrhuje sa doplniť, že technická služba kontroly originality umožní overenie výpisu z registra prevádzkových záznamov vozidiel po zadaní základných údajov vzťahujúcich sa k vozidlu a k samotnému výpisu.</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39 [§ 76 ods. 3]</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Navrhuje sa doplniť, že poskytovanie informácií zo zákonom predpísaných registrov sa bude vykonávať nepretržite a priamo na účely celoštátneho informačného systému kontrol originality a na účely registra prevádzkových záznamov vozidiel.</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44 [§ 79 ods. 11 písm. b)]</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Bližšie sa špecifikuje, že kalibrovanie zariadení sa nemusí vykonávať iba v priestore stanice technickej kontroly alebo pracoviska emisnej kontroly, ale postačujúci bude priestor pokrytý monitorovacím záznamovým zariadením. Zároveň sa dopĺňa, ktoré údaje je potrebné vopred nahlásiť technickej službe.</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45 [§ 79 ods. 13 písm. b)]</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Keďže odborný dozor nad odborne spôsobilými osobami vykonávajúcimi kalibráciu môžu vykonávať aj technické služby, vypúšťa sa slovo štátneho, keďže nemusí ísť výlučne iba o štátny odborný dozor.</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46 [§ 83 ods. 1]</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Legislatívno-technická úprava spočívajúca v oprave chyby (vypustenia spojky „a“).</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47, 48, 50 a 51 [§ 83 ods. 6, 11, 13, 17 a 18]</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V snahe predchádzať blokovaniu miest a vzniku nových staníc/pracovísk sa navrhuje, že držiteľ povolenia bude povinný do 12 mesiacov preukázať schvaľovaciemu orgánu právoplatné stavebné povolenie na stavbu, pričom ak tak neurobí, povolenie zanikne.</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Zároveň sa navrhuje nastaviť obmedzenie, že ak držiteľ povolenia nezískal oprávnenie, alebo povolenie bolo zrušené alebo povolenie zaniklo, tak ani schvaľovací orgán a ani Ministerstvo dopravy a výstavby Slovenskej republiky takémuto navrhovateľovi už povolenie nevydajú.</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lastRenderedPageBreak/>
        <w:t>K bodu 49 [§ 83 ods. 12]</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Legislatívno-technická úprava spočívajúca jednotnom používaní spojenia „správny poriadok“.</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52 až 56 [§ 84 ods. 5 písm. b), § 84 ods. 6 písm. b) § 84 ods. 7 písm. b) § 84 ods. 8 písm. b)]</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Navrhuje sa doplniť, že príslušné oprávnenie obsahuje aj identifikačné číslo daného pracoviska.</w:t>
      </w:r>
    </w:p>
    <w:p w:rsidR="001E2021" w:rsidRPr="001E2021" w:rsidRDefault="001E2021" w:rsidP="00B52D31">
      <w:pPr>
        <w:spacing w:after="0" w:line="240" w:lineRule="auto"/>
        <w:contextualSpacing/>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56 a 57 [§ 85 ods. 5 písm. a) šiesty bod a ôsmy bod a písm. b) šiesty bod a ôsmy bod]</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V súvislosti so zmenou povinnosti v § 86 ods. 1 písm. l) a v § 87 ods. 1 písm. l) ohľadne nastavenia monitorovacieho záznamového zariadenia sa navrhuje aj zmena v súvislosti so zrušením oprávnenia na základe porušenia týchto povinností.</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58 až 60 [§ 85 ods. 5 písm. b) ôsmy bod, § 85 ods. 5 písm. c) šiesty bod a § 85 ods. 5 písm. c) ôsmy bod]</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Legislatívno-technická úprava v súvislosti s pridaním nového písmena i) v § 87 ods. 2 a vypustenia písmena e) v § 88 ods. 2.</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61 a 62 [§ 85 ods. 6 písm. b) a nové odseky 10 až 13]</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V súvislosti s prevádzkovaním staníc technickej kontroly, pracovísk emisnej kontroly, pracovísk kontroly originality a pracovísk montáže plynových zariadení sa v prípade fyzickej osoby – podnikateľa, navrhuje obdobný režim v prípade úmrtia takejto osoby a v pokračovaní podnikania, aký je uvedený v § 13 zákona č. 455/1991 Zb. o živnostenskom podnikaní (živnostenský zákon) v znení neskorších predpisov.</w:t>
      </w:r>
    </w:p>
    <w:p w:rsidR="001E2021" w:rsidRPr="001E2021" w:rsidRDefault="001E2021" w:rsidP="00B52D31">
      <w:pPr>
        <w:spacing w:after="0" w:line="240" w:lineRule="auto"/>
        <w:contextualSpacing/>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63 [§ 86 ods. 1 písm. e), § 87 ods. 1 písm. e), § 88 ods. 1 písm. f) a § 89 ods. 1 písm. g)]</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Navrhuje sa zmena spočívajúca len v textácií, kedy oprávnená osoba je povinná znášať náklady za používanie celoštátneho informačného systému tak, aby technické služby mali pokryté náklady na vývoj a prevádzku týchto informačných systémov.</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64 [§ 86 ods. 1 písm. l) a § 87 ods. 1 písm. l)]</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Navrhuje sa upraviť povinnosť pre oprávnenú osobu technickej kontroly a pre oprávnenú osobu emisnej kontroly, kde sa súčasná povinnosť používať monitorovacie záznamové zariadenie rozširuje aj o nastavenie monitorovacieho záznamového zariadenia.</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65 a 66 [§ 86 ods. 2 písm. f) prvý bod a § 86 ods. 2 písm. e) prvý bod]</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Upresňuje sa, že technickú kontrolu administratívnu a emisnú kontrolu administratívnu je možné vykonávať mimo kontrolnej linky stanice technickej kontroly resp. mimo stojiska emisnej kontroly.</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67 [§ 87 ods. 2 nové písm. i)]</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Navrhuje sa doplniť nové obmedzenie pre oprávnené osoby emisnej kontroly, že v bezprostrednom okolí schváleného stojiska emisnej kontroly by sa nemalo nachádzať také prístrojové vybavenie, zariadenie alebo prostriedok, ktoré sa používa pri výkone emisnej kontroly a meraní vozidla, a ktorého vybavenie umožňuje priame prepojenie so schváleným prístrojovým vybavením nachádzajúcim sa na schválenom stojisku emisnej kontroly. V rámci výkonu odborného dozoru boli zaznamenané prípady, kedy vedľa stojiska emisnej kontroly bolo pripravené vozidlo so zariadením, na ktorom sa nasimulovalo meranie.</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68 [§ 88 ods. 2 písm. e)]</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Navrhuje sa vypustiť povinnosť, že kontrolu originality musia vykonávať dvaja technici kontroly originality.</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69 [§ 91 ods. 2]</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Oprava chyby, keďže v tomto odseku nejde o zmenu o rozsahu osvedčenia, ale o akúkoľvek inú zmenu. Zmena rozsahu je upravené v § 91 ods. 1.</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70 [§ 91 ods. 9]</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Legislatívno-technická úprava v súvislosti so zmenou v § 91 ods. 2 a zároveň sa navrhuje doplnenie, že pri zmene rozsahu osvedčenia sa vydá vždy nové osvedčenie technika s platnosťou na päť rokov a nebude potrebné vydávať samostatné osvedčenia technika pre jednotlivé oblasti rozšírenia rozsahu osvedčenia.</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71 [§ 92 ods. 1 až 4]</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Keďže technické služby vykonávajú aj základné školenia a doškoľovacie kurzy osôb vykonávajúcich odborný dozor, je potrebné doplniť tieto ustanovenia aj o túto činnosť, keďže to technické služby organizujú a zabezpečujú.</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72 [§ 103 ods. 6]</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Aj pre technikov cestnej technickej kontroly sa navrhuje, aby mali dva opakované termíny skúšky z odbornej spôsobilosti, ak pri skúške aj druhýkrát nevyhoveli.</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73, 75 a 77 [§ 104 ods. 6 písm. a), § 113 ods. 5 písm. a) a § 122 ods. 3 písm. a)]</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Legislatívno-technická úprava v súvislosti s vypustením odseku 22 v §170.</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74 a 76 [§ 109 ods. 1, § 118 ods. 1, § 125 ods. 1]</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Navrhuje sa doplniť, že ako dôvod na nariadenie technickej kontroly alebo emisnej kontroly mimo lehôt bude ako dôvod podozrenie na okolnosť ustanovenú vo vykonávacom právnom predpise.</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78 [§ 136 ods. 2 písm. a) devätnásty bod]</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Upresňuje sa kompetencia pre Ministerstvo dopravy a výstavby Slovenskej republiky v súvislosti s prideľovaním náhradného identifikačného čísla vozidla VIN vrátane jeho zrušenia.</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79 [§ 136 ods. 2 písm. a) vypustenie bodu 48c]</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V súvislosti s vypustením povinnej certifikácie opravovní sa navrhuje vypustiť kompetenciu typového schvaľovacieho orgánu spočívajúcu v schvaľovaní podmienok certifikácie.</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80 [§ 136 ods. 2 písm. a) bod 49]</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V súvislosti s novou povinnosťou pre technickú službu technickej kontroly, technickú službu emisnej kontroly, technickú službu kontroly originality a technickú službu montáže plynových zariadení sa dopĺňa kompetencia pre typový schvaľovací orgán pre schválenie zvýšenia poplatkov za služby poskytované týmito technickými službami.</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81 [§ 137 písm. a) prvý bod]</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lastRenderedPageBreak/>
        <w:t>Upresňuje sa kompetencia okresného úradu v sídle kraja v súvislosti s vydávaním povolenia na zriadenie stanice technickej kontroly, pracoviska emisnej kontroly a pracoviska kontroly originality vrátane jeho zrušenia.</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82 až 84 [§ 142 ods. 3, 5 a 6]</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Do pôsobnosti orgánov štátneho odborného dozoru sa dopĺňa, že odborný dozor sa vykonáva aj v autorizovanej opravovni aj v nezávislej opravovni.</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85 [§ 143 ods. 5]</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Navrhuje sa upraviť, že odborná spôsobilosť poverených osôb, ktorá sa preukazuje absolvovaním príslušného školenia, sa bude vykonávať v primeranom rozsahu so zameraním na výkon odborného dozoru.</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86 [§ 143 ods. 8 nové písmeno i)]</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Navrhuje sa doplniť nové oprávnenie pre poverených zamestnancov pri výkone odborného dozoru, a to zadržať vybavenie, zariadenie alebo prostriedok nachádzajúce sa v priestoroch kontrolovanej osoby, ktoré môže ovplyvniť výsledok merania alebo kontroly vozidla na ďalšie dokazovanie.</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87 [§ 145 ods. 11]</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Navrhuje sa upraviť, komu sa zasielajú výsledné materiály, a zároveň sa navrhuje spätné informovanie o uložení sankcie.</w:t>
      </w:r>
    </w:p>
    <w:p w:rsidR="001E2021" w:rsidRPr="001E2021" w:rsidRDefault="001E2021" w:rsidP="00B52D31">
      <w:pPr>
        <w:spacing w:after="0" w:line="240" w:lineRule="auto"/>
        <w:jc w:val="both"/>
        <w:rPr>
          <w:rFonts w:ascii="Times New Roman" w:eastAsia="Calibri" w:hAnsi="Times New Roman" w:cs="Times New Roman"/>
          <w:sz w:val="24"/>
          <w:szCs w:val="24"/>
          <w:u w:val="single"/>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88 a 89 [§ 148 ods. 6 písm. c), d) a e)]</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V súvislosti s novými povinnosťami pre technickú službu technickej kontroly, technickú službu emisnej kontroly, technickú službu kontroly originality a technickú službu montáže plynových zariadení sa navrhujú aj nové sankcie.</w:t>
      </w:r>
    </w:p>
    <w:p w:rsidR="001E2021" w:rsidRPr="001E2021" w:rsidRDefault="001E2021" w:rsidP="00B52D31">
      <w:pPr>
        <w:spacing w:after="0" w:line="240" w:lineRule="auto"/>
        <w:jc w:val="both"/>
        <w:rPr>
          <w:rFonts w:ascii="Times New Roman" w:eastAsia="Calibri" w:hAnsi="Times New Roman" w:cs="Times New Roman"/>
          <w:sz w:val="24"/>
          <w:szCs w:val="24"/>
          <w:u w:val="single"/>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90 [§ 148 ods. 12 písm. b)]</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Navrhuje sa doplniť dva nové body, kedy sa neuloží pokuta oprávnenej osobe. Ak oprávnená osoba sama nahlási porušenie povinnosti technika, alebo ak ide o individuálne pochybenie technika a nejde o systémové pochybenie na celom pracovisku.</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91 [§ 148 ods. 13 písm. d) nový štvrtý bod]</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Navrhuje sa doplniť novú sankciu za vykonanie príslušnej kontroly bez predloženia ustanovených dokladov.</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92 [§ 148 ods. 20]</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Legislatívno-technická úprava v súvislosti s rozšírením povinností v § 48.</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93 [§ 148 ods. 30 a 31]</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 xml:space="preserve">V súvislosti s viacnásobným porušením povinnosti pri opravách vozidiel po dopravných nehodách, ktoré mali vplyv na hlavné bezpečnostné prvky vozidla, ktorými sú zavesenie kolies, deformačné zóny, systémy </w:t>
      </w:r>
      <w:proofErr w:type="spellStart"/>
      <w:r w:rsidRPr="001E2021">
        <w:rPr>
          <w:rFonts w:ascii="Times New Roman" w:eastAsia="Calibri" w:hAnsi="Times New Roman" w:cs="Times New Roman"/>
          <w:sz w:val="24"/>
          <w:szCs w:val="24"/>
        </w:rPr>
        <w:t>airbagov</w:t>
      </w:r>
      <w:proofErr w:type="spellEnd"/>
      <w:r w:rsidRPr="001E2021">
        <w:rPr>
          <w:rFonts w:ascii="Times New Roman" w:eastAsia="Calibri" w:hAnsi="Times New Roman" w:cs="Times New Roman"/>
          <w:sz w:val="24"/>
          <w:szCs w:val="24"/>
        </w:rPr>
        <w:t>, riadenie alebo brzdy sa navrhuje ustanoviť vyššiu pokutu a tiež aj postup vedúci k strate živnostenského oprávnenia.</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94 [§ 149 ods. 1 až 3]</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Legislatívno-technická úprava v súvislosti so zavedením nového správneho deliktu.</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lastRenderedPageBreak/>
        <w:t>K bodu 95 [§ 150 ods. 1 písm. g)]</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Bližšie sa špecifikuje poriadková pokuta pri poskytovaní údajov do registra prevádzkových záznamov vozidiel, ktoré bude sankcionované aj za poskytovanie chybných alebo neúplných informácií.</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96 [§ 152 ods. 1]</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 xml:space="preserve">Navrhuje sa úprava pôvodného ustanovenia z dôvodu doplnenia povinností o kontrolu dodržiavania povinností poskytovateľov </w:t>
      </w:r>
      <w:proofErr w:type="spellStart"/>
      <w:r w:rsidRPr="001E2021">
        <w:rPr>
          <w:rFonts w:ascii="Times New Roman" w:eastAsia="Calibri" w:hAnsi="Times New Roman" w:cs="Times New Roman"/>
          <w:sz w:val="24"/>
          <w:szCs w:val="24"/>
        </w:rPr>
        <w:t>hostingových</w:t>
      </w:r>
      <w:proofErr w:type="spellEnd"/>
      <w:r w:rsidRPr="001E2021">
        <w:rPr>
          <w:rFonts w:ascii="Times New Roman" w:eastAsia="Calibri" w:hAnsi="Times New Roman" w:cs="Times New Roman"/>
          <w:sz w:val="24"/>
          <w:szCs w:val="24"/>
        </w:rPr>
        <w:t xml:space="preserve"> služieb v § 22 ods. 8. Zároveň sa aktualizuje poznámka pod čiarou k odkazu 91 vzhľadom na to, že povinnosti ohľadne označovania pneumatík sú od 1. 5. 2021 upravené v nariadení (EÚ) 2020/740.</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97 [§ 152 ods. 10]</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V rámci výkonu dohľadu nad trhom sa dopĺňa, že pri odobratí kontrolnej vzorky vozidla neplatí povinnosť prihlásenia vozidla do evidencie vozidiel, a zároveň sa ustanovuje postup, ako sa vystornuje vydané osvedčenie o evidencii alebo technické osvedčenie vozidla.</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98 [§ 154 ods. 1 úvodná veta. písm. a) a b)  a nový štvrtý bod]</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V súlade s článkom 11 ods. 5 nariadenia (EÚ) 2020/740 sa dopĺňajú ustanovenia o sankciách pri porušení § 22 ods. 8.</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99 [Poznámka pod čiarou k odkazu 94]</w:t>
      </w:r>
    </w:p>
    <w:p w:rsidR="001E2021" w:rsidRPr="001E2021" w:rsidRDefault="001E2021" w:rsidP="00B52D31">
      <w:pPr>
        <w:spacing w:after="0" w:line="240" w:lineRule="auto"/>
        <w:ind w:firstLine="708"/>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 xml:space="preserve">Aktualizuje sa číslo poznámky pod čiarou. </w:t>
      </w:r>
    </w:p>
    <w:p w:rsidR="001E2021" w:rsidRPr="001E2021" w:rsidRDefault="001E2021" w:rsidP="00B52D31">
      <w:pPr>
        <w:spacing w:after="0" w:line="240" w:lineRule="auto"/>
        <w:jc w:val="both"/>
        <w:rPr>
          <w:rFonts w:ascii="Times New Roman" w:eastAsia="Calibri" w:hAnsi="Times New Roman" w:cs="Times New Roman"/>
          <w:sz w:val="24"/>
          <w:szCs w:val="24"/>
          <w:u w:val="single"/>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100 [§ 154 ods. 8]</w:t>
      </w:r>
      <w:r w:rsidRPr="001E2021" w:rsidDel="00421CCB">
        <w:rPr>
          <w:rFonts w:ascii="Times New Roman" w:eastAsia="Calibri" w:hAnsi="Times New Roman" w:cs="Times New Roman"/>
          <w:sz w:val="24"/>
          <w:szCs w:val="24"/>
          <w:u w:val="single"/>
        </w:rPr>
        <w:t xml:space="preserve"> </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Legislatívno-technická úprava v súvislosti s doplnením § 22 ods. 8 a vykonanie aktualizácie čísla poznámky pod čiarou k odkazu 95.</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102 [§ 157 ods. 2 písm. n)]</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Legislatívno-technická úprava v súvislosti s vypustením schvaľovania podmienok certifikácie certifikovaných miest opravy.</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101 a 103 [§ 157 ods. 2 písm. k) a písm. p)]</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Medzi výnimky zo správneho poriadku sa dopĺňa schvaľovanie plánu kontrolnej činnosti a schvaľovanie plánu priebežných overení, keďže sa v týchto prípadoch nevydáva rozhodnutie.</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104 [§ 157 ods. 11]</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Jazyková úprava chybného slova.</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105 [§ 157 vypustenie ods. 13]</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Legislatívno-technická úprava v súvislosti s vypustením konania o certifikácii certifikovaných miest opravy.</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106 [§ 157 nový ods. 16]</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Navrhuje sa podobná úprava, aká je v § 136 ods. 3 zákona č. 8/2009 Z. z. o cestnej premávke a o zmene a doplnení niektorých zákonov v znení neskorších predpisov, kde sa prevádzkovateľovi vozidla pri výmene dokladov vozidla za nové doklady ponechajú staré znehodnotené pôvodné doklady, ktoré majú pre prevádzkovateľa vozidla historickú hodnotu.</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lastRenderedPageBreak/>
        <w:t>K bodu 107 [§ 159 nový ods. 3]</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Navrhuje sa presnejšie špecifikovať príslušnosť správneho orgánu, ak došlo  k zmene prevádzkovateľa vozidla a nový prevádzkovateľ vozidla si nesplnil povinnosť prihlásiť vozidlo v evidencii vozidiel sám na seba na orgáne Policajného zboru v zmysle zákona č. 8/2009 Z. z. o cestnej premávke a o zmene a doplnení niektorých zákonov v znení neskorších predpisov.</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108 [Poznámky pod čiarou k odkazu 104 a 105]</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Legislatívno-technická úprava súvisiaca s opravou chybne uvedeného nariadenia, keďže správne má ísť o delegované nariadenie Komisie (EÚ) č. 44/2014 z  21. novembra 2013, ktorým sa dopĺňa nariadenie Európskeho parlamentu a Rady (EÚ) č. 168/2013, pokiaľ ide o konštrukciu vozidla a všeobecné požiadavky na schvaľovanie dvoj- alebo trojkolesových vozidiel a </w:t>
      </w:r>
      <w:proofErr w:type="spellStart"/>
      <w:r w:rsidRPr="001E2021">
        <w:rPr>
          <w:rFonts w:ascii="Times New Roman" w:eastAsia="Calibri" w:hAnsi="Times New Roman" w:cs="Times New Roman"/>
          <w:sz w:val="24"/>
          <w:szCs w:val="24"/>
        </w:rPr>
        <w:t>štvorkoliek</w:t>
      </w:r>
      <w:proofErr w:type="spellEnd"/>
      <w:r w:rsidRPr="001E2021">
        <w:rPr>
          <w:rFonts w:ascii="Times New Roman" w:eastAsia="Calibri" w:hAnsi="Times New Roman" w:cs="Times New Roman"/>
          <w:sz w:val="24"/>
          <w:szCs w:val="24"/>
        </w:rPr>
        <w:t xml:space="preserve"> v platnom znení. Zároveň sa aktualizujú jednotlivé predpisy, keďže už boli novelizované.</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109 [§ 169 ods. 1]</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Jazyková úprava chybných slov.</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110 [§ 170 vypustenie ods. 22]</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Legislatívno-technická úprava súvisiaca s vypustením prechodného ustanovenia viažuceho sa k certifikácii certifikovaných miest opravy.</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111 [§ 170d]</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V odseku 1 sa v prechodných ustanoveniach navrhuje doplniť, podľa akého znenia sa dokončia konania začaté pred účinnosťou novely zákona.</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V odseku 2 sa dopĺňa obdobné ustanovenia ako v § 83 ods. 6, že do 18 mesiacov musí držiteľ povolenia, ktoré bolo získané pred účinnosťou tohto zákona, predložiť schvaľovaciemu orgánu právoplatné stavebné povolenie potrebné na zriadenie stanice technickej kontroly, pracoviska emisnej kontroly alebo pracoviska kontroly originality, inak povolenie zanikne.</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V odseku 3 sa stanovuje, že podmienky certifikácie certifikovaných miest opravy schválené podľa predchádzajúcej právnej úpravy, sú platné do 1. novembra 2021.</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112 [Príloha č. 1 časť A odsek 1 písm. c)]</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Ako nová podmienka pre vznik miesta nad rámec existujúcej siete sa navrhuje priemer voľnej výkonnosti všetkých kontrolných liniek v danom okrese za posledných dvanásť mesiacov klesol pod 25 %.</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113 až 118 [Príloha č. 1 časť A odsek 2]</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Navrhuje sa aktualizovať výpočet vyťaženia ďalšej kontrolnej linky, keďže v súčasnom znení boli chybne uvedené aj kategórie vozidiel, ktoré nepodliehali technickej kontrole, pričom jednotlivé koeficienty v súčasnom znení nezodpovedali súčasným výkonom v rámci technickej kontroly. Jednotlivé zmeny sú nasledovné:</w:t>
      </w:r>
    </w:p>
    <w:p w:rsidR="001E2021" w:rsidRPr="001E2021" w:rsidRDefault="001E2021" w:rsidP="00B52D31">
      <w:pPr>
        <w:numPr>
          <w:ilvl w:val="0"/>
          <w:numId w:val="15"/>
        </w:numPr>
        <w:spacing w:after="0" w:line="240" w:lineRule="auto"/>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 xml:space="preserve">písm. a): Priemerný čas trvania kontroly jednotlivých kategórií vozidiel tak, ako je uvedený vo forme násobkov JTK (jednotková technická kontrola), bol určený z údajov v celoštátnom informačnom systéme technických kontrol za rok 2020. Interval posunu (takt linky) vozidiel kategórií L3, L4, L5, L6, L7, M1, N1 a O2 (ďalej len „ľahké vozidlá“) bol určený z dát v celoštátnom informačnom systéme technických kontrol ako medián hodnôt z piatich najvýkonnejších liniek typu A </w:t>
      </w:r>
      <w:proofErr w:type="spellStart"/>
      <w:r w:rsidRPr="001E2021">
        <w:rPr>
          <w:rFonts w:ascii="Times New Roman" w:eastAsia="Calibri" w:hAnsi="Times New Roman" w:cs="Times New Roman"/>
          <w:sz w:val="24"/>
          <w:szCs w:val="24"/>
        </w:rPr>
        <w:t>a</w:t>
      </w:r>
      <w:proofErr w:type="spellEnd"/>
      <w:r w:rsidRPr="001E2021">
        <w:rPr>
          <w:rFonts w:ascii="Times New Roman" w:eastAsia="Calibri" w:hAnsi="Times New Roman" w:cs="Times New Roman"/>
          <w:sz w:val="24"/>
          <w:szCs w:val="24"/>
        </w:rPr>
        <w:t xml:space="preserve"> C jednolinkových staníc technickej kontroly za rok 2020. Takt linky pre vozidlá kategórií M2, M3, N2, N3, O3, O4, T, R2, R3 a R4 (ďalej len „ťažké vozidlá“) bol určený vynásobením taktu linky pre ľahké vozidlá pomerom priemerných </w:t>
      </w:r>
      <w:r w:rsidRPr="001E2021">
        <w:rPr>
          <w:rFonts w:ascii="Times New Roman" w:eastAsia="Calibri" w:hAnsi="Times New Roman" w:cs="Times New Roman"/>
          <w:sz w:val="24"/>
          <w:szCs w:val="24"/>
        </w:rPr>
        <w:lastRenderedPageBreak/>
        <w:t>časových náročností kontroly pre obe skupiny vozidiel. Vzhľadom na malý počet jednolinkových staníc technickej kontroly určených výhradne pre ťažké vozidlá a ich malú vyťaženosť (bežný režim chodu zďaleka nezodpovedá režimu ich možného maximálne efektívneho využitia) nebolo na určenie ich taktu použité priame meranie z dát v celoštátnom informačnom systéme technických kontrol,</w:t>
      </w:r>
    </w:p>
    <w:p w:rsidR="001E2021" w:rsidRPr="001E2021" w:rsidRDefault="001E2021" w:rsidP="00B52D31">
      <w:pPr>
        <w:numPr>
          <w:ilvl w:val="0"/>
          <w:numId w:val="15"/>
        </w:numPr>
        <w:spacing w:after="0" w:line="240" w:lineRule="auto"/>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písm. b): Koeficienty v bodoch 1 a 2 boli zrátané ako pomery počtov jednotkových technických kontrol zodpovedajúcich ročnej potrebe vozidiel podliehajúcich technickej kontrole pravidelnej (ktorým už uplynula lehota na absolvovanie prvej technickej kontroly pravidelnej) ku celkovému počtu evidovaných vozidiel, a to osobitne pre skupinu ľahkých a pre skupinu ťažkých vozidiel. Údaje o vozidlách, ktorým uplynula lehota na prvú technickú kontrolu pravidelnú, pochádzali z evidencie vozidiel,</w:t>
      </w:r>
    </w:p>
    <w:p w:rsidR="001E2021" w:rsidRPr="001E2021" w:rsidRDefault="001E2021" w:rsidP="00B52D31">
      <w:pPr>
        <w:numPr>
          <w:ilvl w:val="0"/>
          <w:numId w:val="15"/>
        </w:numPr>
        <w:spacing w:after="0" w:line="240" w:lineRule="auto"/>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písm. c): Podiel opakovaných kontrol vychádza z údajov v celoštátnom informačnom systéme technických kontrol. Oproti doterajším hodnotám je vyšší, dôvodom je vyšší podiel neúspešných vozidiel pri technických kontrolách, zapríčinený efektívnejším vykonávaním štátneho odborného dozoru a odborného dozoru technickej služby nad dodržiavaním predpisov na stanici technickej kontroly. Dôsledkom je vyšší dopyt po opakovaných technických kontrolách,</w:t>
      </w:r>
    </w:p>
    <w:p w:rsidR="001E2021" w:rsidRPr="001E2021" w:rsidRDefault="001E2021" w:rsidP="00B52D31">
      <w:pPr>
        <w:numPr>
          <w:ilvl w:val="0"/>
          <w:numId w:val="15"/>
        </w:numPr>
        <w:spacing w:after="0" w:line="240" w:lineRule="auto"/>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písm. e): Využitie univerzálnych liniek približne v pomere 5:1 medzi ľahkými a ťažkými vozidlami vychádza z pomeru medzi ročnou potrebou jednotkových technických kontrol vozidiel podliehajúcich technickej kontrole pravidelnej (ktorým už uplynula lehota na absolvovanie prvej technickej kontroly pravidelnej) pre obe skupiny vozidiel. Doterajší uvažovaný pomer 1:1 bol zjavne nerealistický, bez akejkoľvek opory v dátach alebo každodennej praxi staníc technickej kontroly.</w:t>
      </w:r>
    </w:p>
    <w:p w:rsidR="001E2021" w:rsidRPr="001E2021" w:rsidRDefault="001E2021" w:rsidP="00B52D31">
      <w:pPr>
        <w:spacing w:after="0" w:line="240" w:lineRule="auto"/>
        <w:jc w:val="both"/>
        <w:rPr>
          <w:rFonts w:ascii="Times New Roman" w:eastAsia="Calibri" w:hAnsi="Times New Roman" w:cs="Times New Roman"/>
          <w:sz w:val="24"/>
          <w:szCs w:val="24"/>
          <w:u w:val="single"/>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119 [Príloha č. 1 časť A odsek 2 písm. f) a g)]</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Navrhuje sa doplniť, že pokiaľ miesto v sieti nebolo zriadené tri roky, ako je dĺžka povolenia na zriadenie stanice technickej kontroly, tak toto miesto v sieti sa nebude počítať do výpočtu siete, keďže ide zjavne o osobu, ktorá blokuje miesto v sieti a doplniť, že stanice technickej kontroly, ktoré vykazujú dlhodobo nízke vyťaženie svojich kontrolných liniek, sa nebudú zarátavať do výpočtu vyťaženia kontrolnej linky.</w:t>
      </w:r>
    </w:p>
    <w:p w:rsidR="001E2021" w:rsidRPr="001E2021" w:rsidRDefault="001E2021" w:rsidP="00B52D31">
      <w:pPr>
        <w:spacing w:after="0" w:line="240" w:lineRule="auto"/>
        <w:contextualSpacing/>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120 [Príloha č. 1 časť A odsek 3]</w:t>
      </w:r>
    </w:p>
    <w:p w:rsidR="001E2021" w:rsidRPr="001E2021" w:rsidRDefault="001E2021" w:rsidP="00B52D31">
      <w:pPr>
        <w:spacing w:after="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Navrhuje sa spôsob výpočtu pre parameter pokles priemeru voľnej výkonnosti všetkých kontrolných liniek v danom okrese za posledných dvanásť mesiacov pod 25 %.</w:t>
      </w:r>
    </w:p>
    <w:p w:rsidR="001E2021" w:rsidRPr="001E2021" w:rsidRDefault="001E2021" w:rsidP="00B52D31">
      <w:pPr>
        <w:spacing w:after="0" w:line="240" w:lineRule="auto"/>
        <w:contextualSpacing/>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121 až 123 [Príloha č. 2]</w:t>
      </w:r>
    </w:p>
    <w:p w:rsidR="001E2021" w:rsidRPr="001E2021" w:rsidRDefault="001E2021" w:rsidP="00B52D31">
      <w:pPr>
        <w:spacing w:after="0" w:line="240" w:lineRule="auto"/>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ab/>
        <w:t xml:space="preserve">Vykonáva sa aktualizácia publikačných zdrojov v zozname preberaných právne záväzných aktov Európskej únie. </w:t>
      </w:r>
    </w:p>
    <w:p w:rsidR="001E2021" w:rsidRPr="001E2021" w:rsidRDefault="001E2021" w:rsidP="00B52D31">
      <w:pPr>
        <w:spacing w:after="0" w:line="240" w:lineRule="auto"/>
        <w:contextualSpacing/>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Default="001E2021" w:rsidP="00B52D31">
      <w:pPr>
        <w:spacing w:after="0" w:line="240" w:lineRule="auto"/>
        <w:jc w:val="both"/>
        <w:rPr>
          <w:rFonts w:ascii="Times New Roman" w:eastAsia="Calibri" w:hAnsi="Times New Roman" w:cs="Times New Roman"/>
          <w:b/>
          <w:sz w:val="24"/>
          <w:szCs w:val="24"/>
        </w:rPr>
      </w:pPr>
      <w:r w:rsidRPr="001E2021">
        <w:rPr>
          <w:rFonts w:ascii="Times New Roman" w:eastAsia="Calibri" w:hAnsi="Times New Roman" w:cs="Times New Roman"/>
          <w:b/>
          <w:sz w:val="24"/>
          <w:szCs w:val="24"/>
        </w:rPr>
        <w:t>K čl. II</w:t>
      </w:r>
    </w:p>
    <w:p w:rsidR="00B52D31" w:rsidRPr="001E2021" w:rsidRDefault="00B52D31" w:rsidP="00B52D31">
      <w:pPr>
        <w:spacing w:after="0" w:line="240" w:lineRule="auto"/>
        <w:jc w:val="both"/>
        <w:rPr>
          <w:rFonts w:ascii="Times New Roman" w:eastAsia="Calibri" w:hAnsi="Times New Roman" w:cs="Times New Roman"/>
          <w:b/>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Tento článok obsahuje návrh novely zákona Národnej rady Slovenskej republiky č. 145/1995 Z. z. o správnych poplatkoch v znení neskorších predpisov.</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1 [Položka 68 písm. l) prvý bod]</w:t>
      </w:r>
    </w:p>
    <w:p w:rsidR="001E2021" w:rsidRPr="001E2021" w:rsidRDefault="001E2021" w:rsidP="00B52D31">
      <w:pPr>
        <w:spacing w:after="0" w:line="240" w:lineRule="auto"/>
        <w:ind w:firstLine="708"/>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Navrhuje sa upresnenie, že uvedená položka sa okrem montáže plynových zariadení týka aj demontáže plynových zariadení.</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lastRenderedPageBreak/>
        <w:t>K bodu 2 [Položka 68 Oslobodenie tretí bod]</w:t>
      </w:r>
    </w:p>
    <w:p w:rsidR="001E2021" w:rsidRPr="001E2021" w:rsidRDefault="001E2021" w:rsidP="00B52D31">
      <w:pPr>
        <w:spacing w:after="0" w:line="240" w:lineRule="auto"/>
        <w:ind w:firstLine="708"/>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Pre výmenu technického osvedčenia vozidla za osvedčenie o evidencii časť II u vozidla kategórie L1e sa navrhuje zaviesť oslobodenie, keďže ide o výmenu dokladov zo zákona. Obdobné oslobodenie pre vozidlá kategórie L1e je aj v položke 65 týkajúce sa zápis držiteľa motorového vozidla do evidencie vozidiel.</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3 a 4 [Položka 72a]</w:t>
      </w:r>
    </w:p>
    <w:p w:rsidR="001E2021" w:rsidRPr="001E2021" w:rsidRDefault="001E2021" w:rsidP="00B52D31">
      <w:pPr>
        <w:spacing w:after="0" w:line="240" w:lineRule="auto"/>
        <w:ind w:firstLine="708"/>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Dopĺňajú sa dva nové správne poplatky v súvislosti s udelením poverenia na vykonávanie určitých činností podľa Európskej dohody o medzinárodnej cestnej preprave nebezpečných vecí.</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5 [Položka 78 písm. e) prvý bod]</w:t>
      </w:r>
    </w:p>
    <w:p w:rsidR="001E2021" w:rsidRPr="001E2021" w:rsidRDefault="001E2021" w:rsidP="00B52D31">
      <w:pPr>
        <w:spacing w:after="0" w:line="240" w:lineRule="auto"/>
        <w:ind w:firstLine="708"/>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Aktualizuje sa správny poplatok za podanie návrhu na vydanie povolenia na zriadenie stanice technickej kontroly vydávané okresným úradom, aby v prípade, ak sa toto povolenie vydáva aj v iných prípadoch, ako je povolenie na zriadenie stanice technickej kontroly nad rámec existujúcej siete, obsahoval aj tento správny poplatok. Cieľom správneho poplatku je obmedziť rôzne posuny povolení medzi držiteľmi povolení a následným blokovaním miesta v sieti staníc technickej kontroly.</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6 [Položka 78 písm. a) prvý bod]</w:t>
      </w:r>
    </w:p>
    <w:p w:rsidR="001E2021" w:rsidRPr="001E2021" w:rsidRDefault="001E2021" w:rsidP="00B52D31">
      <w:pPr>
        <w:spacing w:after="0" w:line="240" w:lineRule="auto"/>
        <w:ind w:firstLine="708"/>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Z dôvodu rôznych špekulatívnych konaní niektorých žiadateľov o vydanie povolenia na zriadenie stanice technickej kontroly nad rámec existujúcej siete sa navrhuje zvýšiť tento správny poplatok až trojnásobne.</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Default="001E2021" w:rsidP="00B52D31">
      <w:pPr>
        <w:spacing w:after="0" w:line="240" w:lineRule="auto"/>
        <w:jc w:val="both"/>
        <w:rPr>
          <w:rFonts w:ascii="Times New Roman" w:eastAsia="Calibri" w:hAnsi="Times New Roman" w:cs="Times New Roman"/>
          <w:b/>
          <w:sz w:val="24"/>
          <w:szCs w:val="24"/>
        </w:rPr>
      </w:pPr>
      <w:r w:rsidRPr="001E2021">
        <w:rPr>
          <w:rFonts w:ascii="Times New Roman" w:eastAsia="Calibri" w:hAnsi="Times New Roman" w:cs="Times New Roman"/>
          <w:b/>
          <w:sz w:val="24"/>
          <w:szCs w:val="24"/>
        </w:rPr>
        <w:t>K čl. III</w:t>
      </w:r>
    </w:p>
    <w:p w:rsidR="00B52D31" w:rsidRPr="001E2021" w:rsidRDefault="00B52D31" w:rsidP="00B52D31">
      <w:pPr>
        <w:spacing w:after="0" w:line="240" w:lineRule="auto"/>
        <w:jc w:val="both"/>
        <w:rPr>
          <w:rFonts w:ascii="Times New Roman" w:eastAsia="Calibri" w:hAnsi="Times New Roman" w:cs="Times New Roman"/>
          <w:b/>
          <w:sz w:val="24"/>
          <w:szCs w:val="24"/>
        </w:rPr>
      </w:pPr>
    </w:p>
    <w:p w:rsidR="001E2021" w:rsidRPr="001E2021" w:rsidRDefault="001E2021" w:rsidP="00B52D31">
      <w:pPr>
        <w:tabs>
          <w:tab w:val="left" w:pos="1134"/>
        </w:tabs>
        <w:spacing w:after="0" w:line="240" w:lineRule="auto"/>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Tento článok obsahuje návrh novely zákona č. 128/2002 Z. z. o štátnej kontrole vnútorného trhu vo veciach ochrany spotrebiteľa a o zmene a doplnení niektorých zákonov v znení neskorších predpisov.</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1 [Poznámka pod čiarou k odkazu 9b]</w:t>
      </w:r>
    </w:p>
    <w:p w:rsidR="001E2021" w:rsidRPr="001E2021" w:rsidRDefault="001E2021" w:rsidP="00B52D31">
      <w:pPr>
        <w:spacing w:after="0" w:line="240" w:lineRule="auto"/>
        <w:ind w:firstLine="708"/>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 xml:space="preserve">Legislatívno-technická úprava súvisiaca s vypustením starého nariadenia o označovaní pneumatík. </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2 [Poznámka pod čiarou k odkazu 9e]</w:t>
      </w:r>
    </w:p>
    <w:p w:rsidR="001E2021" w:rsidRPr="001E2021" w:rsidRDefault="001E2021" w:rsidP="00B52D31">
      <w:pPr>
        <w:spacing w:after="0" w:line="240" w:lineRule="auto"/>
        <w:ind w:firstLine="708"/>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Aktualizuje sa poznámka pod čiarou k odkazu 9e, kde sa dopĺňajú osobitné predpisy súvisiace s dodržiavaním povinností pri uvedení na trh, a sprístupnení na trhu typu vozidla, systému, komponentu, samostatnej technickej jednotky, nebezpečnej časti alebo vybavenia a spaľovacieho motora necestných pojazdných strojov.</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3 [§ 2 písm. l) a m)]</w:t>
      </w:r>
    </w:p>
    <w:p w:rsidR="001E2021" w:rsidRPr="001E2021" w:rsidRDefault="001E2021" w:rsidP="00B52D31">
      <w:pPr>
        <w:spacing w:after="0" w:line="240" w:lineRule="auto"/>
        <w:ind w:firstLine="708"/>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Ako samostatné činnosti kontroly vnútorného trhu sa presne vymedzuje dodržiavanie povinností o označovaní pneumatík vyplývajúce z nariadenia (EÚ) 2020/740 a dodržiavanie povinností o dostupnosti spotrebiteľských informácií o spotrebe paliva a o emisiách CO</w:t>
      </w:r>
      <w:r w:rsidRPr="001E2021">
        <w:rPr>
          <w:rFonts w:ascii="Times New Roman" w:eastAsia="Calibri" w:hAnsi="Times New Roman" w:cs="Times New Roman"/>
          <w:sz w:val="24"/>
          <w:szCs w:val="24"/>
          <w:vertAlign w:val="subscript"/>
        </w:rPr>
        <w:t>2</w:t>
      </w:r>
      <w:r w:rsidRPr="001E2021">
        <w:rPr>
          <w:rFonts w:ascii="Times New Roman" w:eastAsia="Calibri" w:hAnsi="Times New Roman" w:cs="Times New Roman"/>
          <w:sz w:val="24"/>
          <w:szCs w:val="24"/>
        </w:rPr>
        <w:t xml:space="preserve"> pri predaji a leasingu nových osobných automobilov vyplývajúce z nariadenia vlády Slovenskej republiky č. 384/2004 Z. z. o dostupnosti spotrebiteľských informácií o spotrebe paliva a o emisiách CO</w:t>
      </w:r>
      <w:r w:rsidRPr="001E2021">
        <w:rPr>
          <w:rFonts w:ascii="Times New Roman" w:eastAsia="Calibri" w:hAnsi="Times New Roman" w:cs="Times New Roman"/>
          <w:sz w:val="24"/>
          <w:szCs w:val="24"/>
          <w:vertAlign w:val="subscript"/>
        </w:rPr>
        <w:t>2</w:t>
      </w:r>
      <w:r w:rsidRPr="001E2021">
        <w:rPr>
          <w:rFonts w:ascii="Times New Roman" w:eastAsia="Calibri" w:hAnsi="Times New Roman" w:cs="Times New Roman"/>
          <w:sz w:val="24"/>
          <w:szCs w:val="24"/>
        </w:rPr>
        <w:t xml:space="preserve"> pri predaji a leasingu nových osobných automobilov.</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4 [Poznámka pod čiarou k odkazu 18]</w:t>
      </w:r>
    </w:p>
    <w:p w:rsidR="001E2021" w:rsidRPr="001E2021" w:rsidRDefault="001E2021" w:rsidP="00B52D31">
      <w:pPr>
        <w:spacing w:after="0" w:line="240" w:lineRule="auto"/>
        <w:ind w:firstLine="708"/>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lastRenderedPageBreak/>
        <w:t>Legis</w:t>
      </w:r>
      <w:r w:rsidR="00781DE3">
        <w:rPr>
          <w:rFonts w:ascii="Times New Roman" w:eastAsia="Calibri" w:hAnsi="Times New Roman" w:cs="Times New Roman"/>
          <w:sz w:val="24"/>
          <w:szCs w:val="24"/>
        </w:rPr>
        <w:t>latívno-technická úprava spočí</w:t>
      </w:r>
      <w:bookmarkStart w:id="1" w:name="_GoBack"/>
      <w:bookmarkEnd w:id="1"/>
      <w:r w:rsidRPr="001E2021">
        <w:rPr>
          <w:rFonts w:ascii="Times New Roman" w:eastAsia="Calibri" w:hAnsi="Times New Roman" w:cs="Times New Roman"/>
          <w:sz w:val="24"/>
          <w:szCs w:val="24"/>
        </w:rPr>
        <w:t xml:space="preserve">vajúca v aktualizácii poznámky pod čiarou a zároveň sa navrhuje zmena taxatívneho výpočtu na demonštratívny výpočet z dôvodu, že môže byť viac osobitných predpisov, na základe ktorých je možné pozastaviť uvádzanie výrobku na trh. </w:t>
      </w:r>
    </w:p>
    <w:p w:rsidR="001E2021" w:rsidRPr="001E2021" w:rsidRDefault="001E2021" w:rsidP="00B52D31">
      <w:pPr>
        <w:tabs>
          <w:tab w:val="left" w:pos="1134"/>
        </w:tabs>
        <w:spacing w:after="0" w:line="240" w:lineRule="auto"/>
        <w:contextualSpacing/>
        <w:jc w:val="both"/>
        <w:rPr>
          <w:rFonts w:ascii="Times New Roman" w:eastAsia="Calibri" w:hAnsi="Times New Roman" w:cs="Times New Roman"/>
          <w:sz w:val="24"/>
          <w:szCs w:val="24"/>
          <w:highlight w:val="red"/>
        </w:rPr>
      </w:pPr>
    </w:p>
    <w:p w:rsidR="001E2021" w:rsidRDefault="001E2021" w:rsidP="00B52D31">
      <w:pPr>
        <w:spacing w:after="0" w:line="240" w:lineRule="auto"/>
        <w:jc w:val="both"/>
        <w:rPr>
          <w:rFonts w:ascii="Times New Roman" w:eastAsia="Calibri" w:hAnsi="Times New Roman" w:cs="Times New Roman"/>
          <w:b/>
          <w:sz w:val="24"/>
          <w:szCs w:val="24"/>
        </w:rPr>
      </w:pPr>
      <w:r w:rsidRPr="001E2021">
        <w:rPr>
          <w:rFonts w:ascii="Times New Roman" w:eastAsia="Calibri" w:hAnsi="Times New Roman" w:cs="Times New Roman"/>
          <w:b/>
          <w:sz w:val="24"/>
          <w:szCs w:val="24"/>
        </w:rPr>
        <w:t>K čl. IV</w:t>
      </w:r>
    </w:p>
    <w:p w:rsidR="00B52D31" w:rsidRPr="001E2021" w:rsidRDefault="00B52D31" w:rsidP="00B52D31">
      <w:pPr>
        <w:spacing w:after="0" w:line="240" w:lineRule="auto"/>
        <w:jc w:val="both"/>
        <w:rPr>
          <w:rFonts w:ascii="Times New Roman" w:eastAsia="Calibri" w:hAnsi="Times New Roman" w:cs="Times New Roman"/>
          <w:b/>
          <w:sz w:val="24"/>
          <w:szCs w:val="24"/>
        </w:rPr>
      </w:pPr>
    </w:p>
    <w:p w:rsidR="001E2021" w:rsidRPr="001E2021" w:rsidRDefault="001E2021" w:rsidP="00B52D31">
      <w:pPr>
        <w:tabs>
          <w:tab w:val="left" w:pos="1134"/>
        </w:tabs>
        <w:spacing w:after="0" w:line="240" w:lineRule="auto"/>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Tento článok obsahuje návrh novely zákona č. 250/2007 Z. z. o ochrane spotrebiteľa a o zmene zákona Slovenskej národnej rady č. 372/1990 Zb. o priestupkoch v znení neskorších predpisov v znení neskorších predpisov.</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[Poznámka pod čiarou k odkazu 28]</w:t>
      </w:r>
    </w:p>
    <w:p w:rsidR="001E2021" w:rsidRPr="001E2021" w:rsidRDefault="001E2021" w:rsidP="00B52D31">
      <w:pPr>
        <w:spacing w:after="0" w:line="240" w:lineRule="auto"/>
        <w:ind w:firstLine="708"/>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 xml:space="preserve">Legislatívno-technická úprava súvisiaca s vypustením starého nariadenia o označovaní pneumatík, keďže táto problematika nie je riešená zákonom č. 250/2007 Z. z. o ochrane spotrebiteľa a o zmene zákona Slovenskej národnej rady č. 372/1990 Zb. o priestupkoch v znení neskorších predpisov v znení neskorších predpisov, ale prostredníctvom zákona č. 106/2018 Z. z. o prevádzke vozidiel v cestnej premávke a o zmene a doplnení niektorých zákonov v znení neskorších predpisov. </w:t>
      </w:r>
    </w:p>
    <w:p w:rsidR="001E2021" w:rsidRPr="001E2021" w:rsidRDefault="001E2021" w:rsidP="00B52D31">
      <w:pPr>
        <w:tabs>
          <w:tab w:val="left" w:pos="1134"/>
        </w:tabs>
        <w:spacing w:after="0" w:line="240" w:lineRule="auto"/>
        <w:contextualSpacing/>
        <w:jc w:val="both"/>
        <w:rPr>
          <w:rFonts w:ascii="Times New Roman" w:eastAsia="Calibri" w:hAnsi="Times New Roman" w:cs="Times New Roman"/>
          <w:sz w:val="24"/>
          <w:szCs w:val="24"/>
          <w:highlight w:val="red"/>
        </w:rPr>
      </w:pPr>
    </w:p>
    <w:p w:rsidR="001E2021" w:rsidRDefault="001E2021" w:rsidP="00B52D31">
      <w:pPr>
        <w:spacing w:after="0" w:line="240" w:lineRule="auto"/>
        <w:jc w:val="both"/>
        <w:rPr>
          <w:rFonts w:ascii="Times New Roman" w:eastAsia="Calibri" w:hAnsi="Times New Roman" w:cs="Times New Roman"/>
          <w:b/>
          <w:sz w:val="24"/>
          <w:szCs w:val="24"/>
        </w:rPr>
      </w:pPr>
      <w:r w:rsidRPr="001E2021">
        <w:rPr>
          <w:rFonts w:ascii="Times New Roman" w:eastAsia="Calibri" w:hAnsi="Times New Roman" w:cs="Times New Roman"/>
          <w:b/>
          <w:sz w:val="24"/>
          <w:szCs w:val="24"/>
        </w:rPr>
        <w:t>K čl. V</w:t>
      </w:r>
    </w:p>
    <w:p w:rsidR="00B52D31" w:rsidRPr="001E2021" w:rsidRDefault="00B52D31" w:rsidP="00B52D31">
      <w:pPr>
        <w:spacing w:after="0" w:line="240" w:lineRule="auto"/>
        <w:jc w:val="both"/>
        <w:rPr>
          <w:rFonts w:ascii="Times New Roman" w:eastAsia="Calibri" w:hAnsi="Times New Roman" w:cs="Times New Roman"/>
          <w:b/>
          <w:sz w:val="24"/>
          <w:szCs w:val="24"/>
        </w:rPr>
      </w:pPr>
    </w:p>
    <w:p w:rsidR="001E2021" w:rsidRPr="001E2021" w:rsidRDefault="001E2021" w:rsidP="00B52D31">
      <w:pPr>
        <w:tabs>
          <w:tab w:val="left" w:pos="1134"/>
        </w:tabs>
        <w:spacing w:after="0" w:line="240" w:lineRule="auto"/>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 xml:space="preserve">Tento článok obsahuje návrh novely zákona č. </w:t>
      </w:r>
      <w:hyperlink r:id="rId15" w:tooltip="Odkaz na predpis alebo ustanovenie" w:history="1">
        <w:r w:rsidRPr="001E2021">
          <w:rPr>
            <w:rFonts w:ascii="Times New Roman" w:eastAsia="Calibri" w:hAnsi="Times New Roman" w:cs="Times New Roman"/>
            <w:sz w:val="24"/>
            <w:szCs w:val="24"/>
          </w:rPr>
          <w:t>8/2009 Z. z.</w:t>
        </w:r>
      </w:hyperlink>
      <w:r w:rsidRPr="001E2021">
        <w:rPr>
          <w:rFonts w:ascii="Times New Roman" w:eastAsia="Calibri" w:hAnsi="Times New Roman" w:cs="Times New Roman"/>
          <w:sz w:val="24"/>
          <w:szCs w:val="24"/>
        </w:rPr>
        <w:t xml:space="preserve"> o cestnej premávke a o zmene a doplnení niektorých zákonov v znení neskorších predpisov.</w:t>
      </w:r>
    </w:p>
    <w:p w:rsidR="001E2021" w:rsidRPr="001E2021" w:rsidRDefault="001E2021" w:rsidP="00B52D31">
      <w:pPr>
        <w:spacing w:after="0" w:line="240" w:lineRule="auto"/>
        <w:jc w:val="both"/>
        <w:rPr>
          <w:rFonts w:ascii="Times New Roman" w:eastAsia="Calibri" w:hAnsi="Times New Roman" w:cs="Times New Roman"/>
          <w:sz w:val="24"/>
          <w:szCs w:val="24"/>
          <w:highlight w:val="red"/>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1 a 2 [§ 16 ods. 4 a § 35 ods. 1]</w:t>
      </w:r>
    </w:p>
    <w:p w:rsidR="001E2021" w:rsidRPr="001E2021" w:rsidRDefault="001E2021" w:rsidP="00B52D31">
      <w:pPr>
        <w:spacing w:before="120" w:after="12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Z právnej úpravy sa vypúšťa obmedzenie, že na diaľnici v obci je rýchlostné obmedzenie na 90 km/h. Vzhľadom na to, že diaľnica je nadradená infraštruktúra, ktorá je navrhnutá na vyššiu rýchlosť, nie je dôvod obmedzovať rýchlosť na diaľnici či prechádza alebo neprechádza obcou. Ak je potrebné rýchlosť na diaľnici prechádzajúcej obcou obmedziť, vykoná sa tak prostredníctvom príslušných dopravných značiek obmedzujúcich rýchlosť.</w:t>
      </w:r>
    </w:p>
    <w:p w:rsidR="001E2021" w:rsidRPr="001E2021" w:rsidRDefault="001E2021" w:rsidP="00B52D31">
      <w:pPr>
        <w:spacing w:before="120" w:after="12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Navrhovaná zmena sa navrhuje aj z dôvodu, že podľa nariadenia (EÚ) 2019/2144 budú všetky novo schválené typy vozidiel od 6. 7. 2022 a všetky prvýkrát evidované vozidlá od 7. 7. 2024 vybavené systémom inteligentného prispôsobenia rýchlosti, ktorý je definovaný ako systém, ktorý pomáha vodičovi udržiavať rýchlosť zodpovedajúcu podmienkam prevádzky na ceste tým, že mu poskytuje osobitnú a primeranú spätnú väzbu. Systém inteligentného prispôsobenia rýchlosti musí vodiča prostredníctvom ovládača akcelerátora alebo cielenej, primeranej a účinnej spätnej väzby informovať o tom, že bola prekročená maximálna povolená rýchlosť. Cielená a primeraná spätná väzba musí byť založená na informáciách o maximálnej povolenej rýchlosti získaných sledovaním dopravných značiek a signálov, a to na základe signálov z infraštruktúry alebo údajov z elektronických máp alebo z oboch týchto zdrojov.</w:t>
      </w:r>
    </w:p>
    <w:p w:rsidR="001E2021" w:rsidRPr="001E2021" w:rsidRDefault="001E2021" w:rsidP="00B52D31">
      <w:pPr>
        <w:spacing w:before="120" w:after="12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Aby systém inteligentného prispôsobenia rýchlosti fungoval správne bude potrebné z diaľnic odstrániť všetky dopravné značky so začiatkom a koncom obce, keďže systém by nedokázal správne rozoznať, aká najvyššia rýchlosť je na diaľnici povolená. Z dôvodu že na diaľniciach sa nebudú umiestňovať dopravné značky začiatok a koniec obce, sa navrhuje aj vypustenie rýchlostného obmedzenia na diaľnici v obci.</w:t>
      </w:r>
    </w:p>
    <w:p w:rsidR="001E2021" w:rsidRPr="001E2021" w:rsidRDefault="001E2021" w:rsidP="00B52D31">
      <w:pPr>
        <w:spacing w:after="0" w:line="240" w:lineRule="auto"/>
        <w:jc w:val="both"/>
        <w:rPr>
          <w:rFonts w:ascii="Times New Roman" w:eastAsia="Calibri" w:hAnsi="Times New Roman" w:cs="Times New Roman"/>
          <w:sz w:val="24"/>
          <w:szCs w:val="24"/>
          <w:highlight w:val="red"/>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3 [§ 68 ods. 9]</w:t>
      </w:r>
    </w:p>
    <w:p w:rsidR="001E2021" w:rsidRPr="001E2021" w:rsidRDefault="001E2021" w:rsidP="00B52D31">
      <w:pPr>
        <w:spacing w:before="120" w:after="120" w:line="240" w:lineRule="auto"/>
        <w:ind w:firstLine="708"/>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Vzhľadom na zrušenie certifikovaných miest opravy sa upravuje, že sa informácie z evidencie dopravných nehôd budú poskytovať do registra prevádzkových záznamov vozidiel.</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4 až 7 [§ 111 ods. 2 nové písm. p), § 113 ods. 4, § 140 ods. 1 písm. b), ň 140 ods. 6]</w:t>
      </w:r>
    </w:p>
    <w:p w:rsidR="001E2021" w:rsidRPr="001E2021" w:rsidRDefault="001E2021" w:rsidP="00B52D31">
      <w:pPr>
        <w:spacing w:after="0" w:line="240" w:lineRule="auto"/>
        <w:ind w:firstLine="708"/>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 xml:space="preserve">V súvislosti s rozšírením pôsobnosti obcí realizovať porušenia povinností držiteľa vozidla v oblasti parkovania sa predpokladá masívnejšie využívanie tohto inštitútu. Dokumentovanie porušenia zákazu zastavenia a státia je náročná činnosť, navyše každý dôkaz musí byť vyhotovený v takej kvalite, ktorá zabezpečí okamžitý záver, že skutok sa stal; skutok sa pri vyvodzovaní objektívnej zodpovednosti držiteľa vozidla neobjasňuje (len dokumentuje). </w:t>
      </w:r>
    </w:p>
    <w:p w:rsidR="001E2021" w:rsidRPr="001E2021" w:rsidRDefault="001E2021" w:rsidP="00B52D31">
      <w:pPr>
        <w:spacing w:after="0" w:line="240" w:lineRule="auto"/>
        <w:ind w:firstLine="708"/>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 xml:space="preserve">Z uvedeného dôvodu návrh zákona predpokladá úpravu informačného systému evidencie vozidiel, do ktorého budú orgány Policajného zboru po povolení výnimky z dopravnej značky označujúcej zákaz vjazdu, zákaz zastavenia, zákaz státia, zóny zákazu státia, parkovaciu zónu, pešiu zónu, obytnú zónu a školskú zónu, túto skutočnosť zapisovať. V prípade zapísania tejto skutočnosti do karty konkrétneho vozidla sa stane bezpredmetnou možná pochybnosť, či vozidlo malo na viditeľnom mieste doklad o povolení výnimky (zamedzenie možných špekulácií, respektíve zbytočne podaných odporov zo strany držiteľa vozidla). Navrhuje sa teda rozšírenie údajov, ktoré sa v evidencii vozidiel vedú o údaje o povolení výnimky podľa § 140 ods. 1 písm. b) zákona č. </w:t>
      </w:r>
      <w:hyperlink r:id="rId16" w:tooltip="Odkaz na predpis alebo ustanovenie" w:history="1">
        <w:r w:rsidRPr="001E2021">
          <w:rPr>
            <w:rFonts w:ascii="Times New Roman" w:eastAsia="Calibri" w:hAnsi="Times New Roman" w:cs="Times New Roman"/>
            <w:sz w:val="24"/>
            <w:szCs w:val="24"/>
          </w:rPr>
          <w:t>8/2009 Z. z.</w:t>
        </w:r>
      </w:hyperlink>
      <w:r w:rsidRPr="001E2021">
        <w:rPr>
          <w:rFonts w:ascii="Times New Roman" w:eastAsia="Calibri" w:hAnsi="Times New Roman" w:cs="Times New Roman"/>
          <w:sz w:val="24"/>
          <w:szCs w:val="24"/>
        </w:rPr>
        <w:t xml:space="preserve"> o cestnej premávke a o zmene a doplnení niektorých zákonov v znení neskorších predpisov. </w:t>
      </w:r>
    </w:p>
    <w:p w:rsidR="001E2021" w:rsidRPr="001E2021" w:rsidRDefault="001E2021" w:rsidP="00B52D31">
      <w:pPr>
        <w:spacing w:after="0" w:line="240" w:lineRule="auto"/>
        <w:ind w:firstLine="708"/>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 xml:space="preserve">Súčasne sa upravuje s odkazom na prijatie vyhlášky Ministerstva vnútra Slovenskej republiky č. 30/2020 Z. z. o dopravnom značení, ktorou sa zmenil význam, zobrazenie alebo aj názvy niektorých dopravných značiek, aj taxatívny výpočet dopravných značiek, z ktorých významu (zákazu) sa môže výnimka povoliť. V neposlednom rade sa navrhuje upraviť aj spôsob povolenia výnimky z § 140 ods. 1 písm. b), a to tak, že doteraz vydávaný papierový doklad o povolení výnimky nahradí len vydanie upovedomenia o povolení výnimky a povolenie výnimky zapíše orgán Policajného zboru, ktorý výnimku povolil, do evidencie vozidiel. </w:t>
      </w:r>
    </w:p>
    <w:p w:rsidR="001E2021" w:rsidRPr="001E2021" w:rsidRDefault="001E2021" w:rsidP="00B52D31">
      <w:pPr>
        <w:spacing w:after="0" w:line="240" w:lineRule="auto"/>
        <w:ind w:firstLine="708"/>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 xml:space="preserve">Uvedenou zmenou sa zjednoduší, zefektívni úkon povoľovania výnimky, súčasne sa tiež toto konanie </w:t>
      </w:r>
      <w:proofErr w:type="spellStart"/>
      <w:r w:rsidRPr="001E2021">
        <w:rPr>
          <w:rFonts w:ascii="Times New Roman" w:eastAsia="Calibri" w:hAnsi="Times New Roman" w:cs="Times New Roman"/>
          <w:sz w:val="24"/>
          <w:szCs w:val="24"/>
        </w:rPr>
        <w:t>zelektronizuje</w:t>
      </w:r>
      <w:proofErr w:type="spellEnd"/>
      <w:r w:rsidRPr="001E2021">
        <w:rPr>
          <w:rFonts w:ascii="Times New Roman" w:eastAsia="Calibri" w:hAnsi="Times New Roman" w:cs="Times New Roman"/>
          <w:sz w:val="24"/>
          <w:szCs w:val="24"/>
        </w:rPr>
        <w:t xml:space="preserve"> (dnes nemožno posielať fyzický doklad s ochrannými prvkami, odtlačkom pečiatky a podpisom v originálnej podobe elektronicky, v budúcnosti sa zašle elektronicky len neformálne upovedomenie).</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u w:val="single"/>
        </w:rPr>
      </w:pPr>
      <w:r w:rsidRPr="001E2021">
        <w:rPr>
          <w:rFonts w:ascii="Times New Roman" w:eastAsia="Calibri" w:hAnsi="Times New Roman" w:cs="Times New Roman"/>
          <w:sz w:val="24"/>
          <w:szCs w:val="24"/>
          <w:u w:val="single"/>
        </w:rPr>
        <w:t>K bodu 8 [Príloha č. 3]</w:t>
      </w:r>
    </w:p>
    <w:p w:rsidR="001E2021" w:rsidRPr="001E2021" w:rsidRDefault="001E2021" w:rsidP="00B52D31">
      <w:pPr>
        <w:spacing w:after="0" w:line="240" w:lineRule="auto"/>
        <w:ind w:firstLine="708"/>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Vykonáva sa aktualizácia publikačného zdroja v zozname preberaných právne záväzných aktov Európskej únie.</w:t>
      </w:r>
    </w:p>
    <w:p w:rsidR="001E2021" w:rsidRPr="001E2021" w:rsidRDefault="001E2021" w:rsidP="00B52D31">
      <w:pPr>
        <w:spacing w:after="0" w:line="240" w:lineRule="auto"/>
        <w:ind w:firstLine="708"/>
        <w:jc w:val="both"/>
        <w:rPr>
          <w:rFonts w:ascii="Times New Roman" w:eastAsia="Calibri" w:hAnsi="Times New Roman" w:cs="Times New Roman"/>
          <w:sz w:val="24"/>
          <w:szCs w:val="24"/>
        </w:rPr>
      </w:pPr>
    </w:p>
    <w:p w:rsidR="001E2021" w:rsidRDefault="001E2021" w:rsidP="00B52D31">
      <w:pPr>
        <w:spacing w:after="0" w:line="240" w:lineRule="auto"/>
        <w:jc w:val="both"/>
        <w:rPr>
          <w:rFonts w:ascii="Times New Roman" w:eastAsia="Calibri" w:hAnsi="Times New Roman" w:cs="Times New Roman"/>
          <w:b/>
          <w:sz w:val="24"/>
          <w:szCs w:val="24"/>
        </w:rPr>
      </w:pPr>
      <w:r w:rsidRPr="001E2021">
        <w:rPr>
          <w:rFonts w:ascii="Times New Roman" w:eastAsia="Calibri" w:hAnsi="Times New Roman" w:cs="Times New Roman"/>
          <w:b/>
          <w:sz w:val="24"/>
          <w:szCs w:val="24"/>
        </w:rPr>
        <w:t>K čl. VI</w:t>
      </w:r>
    </w:p>
    <w:p w:rsidR="00B52D31" w:rsidRPr="001E2021" w:rsidRDefault="00B52D31" w:rsidP="00B52D31">
      <w:pPr>
        <w:spacing w:after="0" w:line="240" w:lineRule="auto"/>
        <w:jc w:val="both"/>
        <w:rPr>
          <w:rFonts w:ascii="Times New Roman" w:eastAsia="Calibri" w:hAnsi="Times New Roman" w:cs="Times New Roman"/>
          <w:b/>
          <w:sz w:val="24"/>
          <w:szCs w:val="24"/>
        </w:rPr>
      </w:pPr>
    </w:p>
    <w:p w:rsidR="001E2021" w:rsidRPr="001E2021" w:rsidRDefault="001E2021" w:rsidP="00B52D31">
      <w:pPr>
        <w:tabs>
          <w:tab w:val="left" w:pos="1134"/>
        </w:tabs>
        <w:spacing w:after="0" w:line="240" w:lineRule="auto"/>
        <w:contextualSpacing/>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Tento článok obsahuje návrh novely zákona č. 387/2015 Z. z. o jednotnom informačnom systéme v cestnej doprave a o zmene a doplnení niektorých zákonov v znení zákona neskorších predpisov.</w:t>
      </w:r>
    </w:p>
    <w:p w:rsidR="001E2021" w:rsidRPr="001E2021" w:rsidRDefault="001E2021" w:rsidP="00B52D31">
      <w:pPr>
        <w:tabs>
          <w:tab w:val="left" w:pos="1134"/>
        </w:tabs>
        <w:spacing w:after="0" w:line="240" w:lineRule="auto"/>
        <w:contextualSpacing/>
        <w:jc w:val="both"/>
        <w:rPr>
          <w:rFonts w:ascii="Times New Roman" w:eastAsia="Calibri" w:hAnsi="Times New Roman" w:cs="Times New Roman"/>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rPr>
      </w:pPr>
      <w:r w:rsidRPr="001E2021">
        <w:rPr>
          <w:rFonts w:ascii="Times New Roman" w:eastAsia="Calibri" w:hAnsi="Times New Roman" w:cs="Times New Roman"/>
          <w:sz w:val="24"/>
          <w:szCs w:val="24"/>
          <w:u w:val="single"/>
        </w:rPr>
        <w:t>[§ 3 ods.4 písm. d)]</w:t>
      </w:r>
    </w:p>
    <w:p w:rsidR="001E2021" w:rsidRPr="001E2021" w:rsidRDefault="001E2021" w:rsidP="00B52D31">
      <w:pPr>
        <w:spacing w:after="0" w:line="240" w:lineRule="auto"/>
        <w:ind w:firstLine="708"/>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 xml:space="preserve">Vzhľadom na zrušenie certifikovaných miest opravy sa v Jednotnom informačnom systéme v cestnej doprave nebudú evidovať údaje týkajúce sa dopravných nehôd. </w:t>
      </w:r>
    </w:p>
    <w:p w:rsidR="001E2021" w:rsidRPr="001E2021" w:rsidRDefault="001E2021" w:rsidP="00B52D31">
      <w:pPr>
        <w:spacing w:after="0" w:line="240" w:lineRule="auto"/>
        <w:jc w:val="both"/>
        <w:rPr>
          <w:rFonts w:ascii="Times New Roman" w:eastAsia="Calibri" w:hAnsi="Times New Roman" w:cs="Times New Roman"/>
          <w:sz w:val="24"/>
          <w:szCs w:val="24"/>
        </w:rPr>
      </w:pPr>
    </w:p>
    <w:p w:rsidR="00B52D31" w:rsidRDefault="00B52D31" w:rsidP="00B52D31">
      <w:pPr>
        <w:spacing w:after="0" w:line="240" w:lineRule="auto"/>
        <w:jc w:val="both"/>
        <w:rPr>
          <w:rFonts w:ascii="Times New Roman" w:eastAsia="Calibri" w:hAnsi="Times New Roman" w:cs="Times New Roman"/>
          <w:b/>
          <w:sz w:val="24"/>
          <w:szCs w:val="24"/>
        </w:rPr>
      </w:pPr>
    </w:p>
    <w:p w:rsidR="00B52D31" w:rsidRDefault="00B52D31" w:rsidP="00B52D31">
      <w:pPr>
        <w:spacing w:after="0" w:line="240" w:lineRule="auto"/>
        <w:jc w:val="both"/>
        <w:rPr>
          <w:rFonts w:ascii="Times New Roman" w:eastAsia="Calibri" w:hAnsi="Times New Roman" w:cs="Times New Roman"/>
          <w:b/>
          <w:sz w:val="24"/>
          <w:szCs w:val="24"/>
        </w:rPr>
      </w:pPr>
    </w:p>
    <w:p w:rsidR="00B52D31" w:rsidRDefault="00B52D31" w:rsidP="00B52D31">
      <w:pPr>
        <w:spacing w:after="0" w:line="240" w:lineRule="auto"/>
        <w:jc w:val="both"/>
        <w:rPr>
          <w:rFonts w:ascii="Times New Roman" w:eastAsia="Calibri" w:hAnsi="Times New Roman" w:cs="Times New Roman"/>
          <w:b/>
          <w:sz w:val="24"/>
          <w:szCs w:val="24"/>
        </w:rPr>
      </w:pPr>
    </w:p>
    <w:p w:rsidR="00B52D31" w:rsidRDefault="00B52D31" w:rsidP="00B52D31">
      <w:pPr>
        <w:spacing w:after="0" w:line="240" w:lineRule="auto"/>
        <w:jc w:val="both"/>
        <w:rPr>
          <w:rFonts w:ascii="Times New Roman" w:eastAsia="Calibri" w:hAnsi="Times New Roman" w:cs="Times New Roman"/>
          <w:b/>
          <w:sz w:val="24"/>
          <w:szCs w:val="24"/>
        </w:rPr>
      </w:pPr>
    </w:p>
    <w:p w:rsidR="00B52D31" w:rsidRDefault="00B52D31" w:rsidP="00B52D31">
      <w:pPr>
        <w:spacing w:after="0" w:line="240" w:lineRule="auto"/>
        <w:jc w:val="both"/>
        <w:rPr>
          <w:rFonts w:ascii="Times New Roman" w:eastAsia="Calibri" w:hAnsi="Times New Roman" w:cs="Times New Roman"/>
          <w:b/>
          <w:sz w:val="24"/>
          <w:szCs w:val="24"/>
        </w:rPr>
      </w:pPr>
    </w:p>
    <w:p w:rsidR="00B52D31" w:rsidRDefault="00B52D31" w:rsidP="00B52D31">
      <w:pPr>
        <w:spacing w:after="0" w:line="240" w:lineRule="auto"/>
        <w:jc w:val="both"/>
        <w:rPr>
          <w:rFonts w:ascii="Times New Roman" w:eastAsia="Calibri" w:hAnsi="Times New Roman" w:cs="Times New Roman"/>
          <w:b/>
          <w:sz w:val="24"/>
          <w:szCs w:val="24"/>
        </w:rPr>
      </w:pPr>
    </w:p>
    <w:p w:rsidR="001E2021" w:rsidRDefault="001E2021" w:rsidP="00B52D31">
      <w:pPr>
        <w:spacing w:after="0" w:line="240" w:lineRule="auto"/>
        <w:jc w:val="both"/>
        <w:rPr>
          <w:rFonts w:ascii="Times New Roman" w:eastAsia="Calibri" w:hAnsi="Times New Roman" w:cs="Times New Roman"/>
          <w:b/>
          <w:sz w:val="24"/>
          <w:szCs w:val="24"/>
        </w:rPr>
      </w:pPr>
      <w:r w:rsidRPr="001E2021">
        <w:rPr>
          <w:rFonts w:ascii="Times New Roman" w:eastAsia="Calibri" w:hAnsi="Times New Roman" w:cs="Times New Roman"/>
          <w:b/>
          <w:sz w:val="24"/>
          <w:szCs w:val="24"/>
        </w:rPr>
        <w:lastRenderedPageBreak/>
        <w:t>K čl. VII</w:t>
      </w:r>
    </w:p>
    <w:p w:rsidR="00B52D31" w:rsidRPr="001E2021" w:rsidRDefault="00B52D31" w:rsidP="00B52D31">
      <w:pPr>
        <w:spacing w:after="0" w:line="240" w:lineRule="auto"/>
        <w:jc w:val="both"/>
        <w:rPr>
          <w:rFonts w:ascii="Times New Roman" w:eastAsia="Calibri" w:hAnsi="Times New Roman" w:cs="Times New Roman"/>
          <w:b/>
          <w:sz w:val="24"/>
          <w:szCs w:val="24"/>
        </w:rPr>
      </w:pPr>
    </w:p>
    <w:p w:rsidR="001E2021" w:rsidRPr="001E2021" w:rsidRDefault="001E2021" w:rsidP="00B52D31">
      <w:pPr>
        <w:spacing w:after="0" w:line="240" w:lineRule="auto"/>
        <w:jc w:val="both"/>
        <w:rPr>
          <w:rFonts w:ascii="Times New Roman" w:eastAsia="Calibri" w:hAnsi="Times New Roman" w:cs="Times New Roman"/>
          <w:sz w:val="24"/>
          <w:szCs w:val="24"/>
        </w:rPr>
      </w:pPr>
      <w:r w:rsidRPr="001E2021">
        <w:rPr>
          <w:rFonts w:ascii="Times New Roman" w:eastAsia="Calibri" w:hAnsi="Times New Roman" w:cs="Times New Roman"/>
          <w:sz w:val="24"/>
          <w:szCs w:val="24"/>
        </w:rPr>
        <w:t>Účinnosť návrhu zákona sa navrhuje od 1. novembra 2021 okrem ustanovení súvisiacich s nariadením (EÚ) 2019/2144, kde sa navrhuje účinnosť od 6. júla 2022 a okrem nových povinností pre technické služby, ktoré vzídu z výberového konania, ktoré nadobudnú účinnosť od 20. mája 2023.</w:t>
      </w:r>
    </w:p>
    <w:p w:rsidR="001E2021" w:rsidRPr="00B52D31" w:rsidRDefault="001E2021" w:rsidP="00B52D31">
      <w:pPr>
        <w:jc w:val="both"/>
        <w:rPr>
          <w:rFonts w:ascii="Times New Roman" w:hAnsi="Times New Roman" w:cs="Times New Roman"/>
        </w:rPr>
      </w:pPr>
    </w:p>
    <w:p w:rsidR="000B2068" w:rsidRPr="000B2068" w:rsidRDefault="0005443E" w:rsidP="000B2068">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 xml:space="preserve">V </w:t>
      </w:r>
      <w:r w:rsidR="000B2068" w:rsidRPr="000B2068">
        <w:rPr>
          <w:rFonts w:ascii="Times New Roman" w:eastAsia="Times New Roman" w:hAnsi="Times New Roman" w:cs="Times New Roman"/>
          <w:color w:val="000000"/>
          <w:sz w:val="24"/>
          <w:szCs w:val="24"/>
          <w:lang w:eastAsia="sk-SK"/>
        </w:rPr>
        <w:t>Bratislav</w:t>
      </w:r>
      <w:r>
        <w:rPr>
          <w:rFonts w:ascii="Times New Roman" w:eastAsia="Times New Roman" w:hAnsi="Times New Roman" w:cs="Times New Roman"/>
          <w:color w:val="000000"/>
          <w:sz w:val="24"/>
          <w:szCs w:val="24"/>
          <w:lang w:eastAsia="sk-SK"/>
        </w:rPr>
        <w:t>e</w:t>
      </w:r>
      <w:r w:rsidR="000B2068" w:rsidRPr="000B2068">
        <w:rPr>
          <w:rFonts w:ascii="Times New Roman" w:eastAsia="Times New Roman" w:hAnsi="Times New Roman" w:cs="Times New Roman"/>
          <w:color w:val="000000"/>
          <w:sz w:val="24"/>
          <w:szCs w:val="24"/>
          <w:lang w:eastAsia="sk-SK"/>
        </w:rPr>
        <w:t xml:space="preserve"> </w:t>
      </w:r>
      <w:r w:rsidR="000B2068">
        <w:rPr>
          <w:rFonts w:ascii="Times New Roman" w:eastAsia="Times New Roman" w:hAnsi="Times New Roman" w:cs="Times New Roman"/>
          <w:color w:val="000000"/>
          <w:sz w:val="24"/>
          <w:szCs w:val="24"/>
          <w:lang w:eastAsia="sk-SK"/>
        </w:rPr>
        <w:t>26. máj</w:t>
      </w:r>
      <w:r>
        <w:rPr>
          <w:rFonts w:ascii="Times New Roman" w:eastAsia="Times New Roman" w:hAnsi="Times New Roman" w:cs="Times New Roman"/>
          <w:color w:val="000000"/>
          <w:sz w:val="24"/>
          <w:szCs w:val="24"/>
          <w:lang w:eastAsia="sk-SK"/>
        </w:rPr>
        <w:t>a</w:t>
      </w:r>
      <w:r w:rsidR="000B2068">
        <w:rPr>
          <w:rFonts w:ascii="Times New Roman" w:eastAsia="Times New Roman" w:hAnsi="Times New Roman" w:cs="Times New Roman"/>
          <w:color w:val="000000"/>
          <w:sz w:val="24"/>
          <w:szCs w:val="24"/>
          <w:lang w:eastAsia="sk-SK"/>
        </w:rPr>
        <w:t xml:space="preserve"> 2021</w:t>
      </w:r>
    </w:p>
    <w:p w:rsidR="000B2068" w:rsidRPr="000B2068" w:rsidRDefault="000B2068" w:rsidP="000B2068">
      <w:pPr>
        <w:spacing w:after="0" w:line="240" w:lineRule="auto"/>
        <w:rPr>
          <w:rFonts w:ascii="Times New Roman" w:eastAsia="Times New Roman" w:hAnsi="Times New Roman" w:cs="Times New Roman"/>
          <w:color w:val="000000"/>
          <w:sz w:val="24"/>
          <w:szCs w:val="24"/>
          <w:lang w:eastAsia="sk-SK"/>
        </w:rPr>
      </w:pPr>
    </w:p>
    <w:p w:rsidR="000B2068" w:rsidRPr="000B2068" w:rsidRDefault="000B2068" w:rsidP="000B2068">
      <w:pPr>
        <w:spacing w:after="0" w:line="240" w:lineRule="auto"/>
        <w:rPr>
          <w:rFonts w:ascii="Times New Roman" w:eastAsia="Times New Roman" w:hAnsi="Times New Roman" w:cs="Times New Roman"/>
          <w:color w:val="000000"/>
          <w:sz w:val="24"/>
          <w:szCs w:val="24"/>
          <w:lang w:eastAsia="sk-SK"/>
        </w:rPr>
      </w:pPr>
    </w:p>
    <w:p w:rsidR="000B2068" w:rsidRPr="000B2068" w:rsidRDefault="000B2068" w:rsidP="000B2068">
      <w:pPr>
        <w:spacing w:after="0" w:line="240" w:lineRule="auto"/>
        <w:jc w:val="center"/>
        <w:rPr>
          <w:rFonts w:ascii="Times New Roman" w:eastAsia="Times New Roman" w:hAnsi="Times New Roman" w:cs="Times New Roman"/>
          <w:color w:val="000000"/>
          <w:sz w:val="24"/>
          <w:szCs w:val="24"/>
          <w:lang w:eastAsia="sk-SK"/>
        </w:rPr>
      </w:pPr>
    </w:p>
    <w:p w:rsidR="000B2068" w:rsidRPr="000B2068" w:rsidRDefault="000B2068" w:rsidP="000B2068">
      <w:pPr>
        <w:spacing w:after="0" w:line="240" w:lineRule="auto"/>
        <w:jc w:val="center"/>
        <w:rPr>
          <w:rFonts w:ascii="Times New Roman" w:eastAsia="Times New Roman" w:hAnsi="Times New Roman" w:cs="Times New Roman"/>
          <w:sz w:val="24"/>
          <w:szCs w:val="24"/>
          <w:lang w:eastAsia="sk-SK"/>
        </w:rPr>
      </w:pPr>
    </w:p>
    <w:p w:rsidR="000B2068" w:rsidRPr="000B2068" w:rsidRDefault="000B2068" w:rsidP="000B2068">
      <w:pPr>
        <w:spacing w:after="0" w:line="240" w:lineRule="auto"/>
        <w:jc w:val="center"/>
        <w:rPr>
          <w:rFonts w:ascii="Times New Roman" w:eastAsia="Times New Roman" w:hAnsi="Times New Roman" w:cs="Times New Roman"/>
          <w:sz w:val="24"/>
          <w:szCs w:val="24"/>
          <w:lang w:eastAsia="sk-SK"/>
        </w:rPr>
      </w:pPr>
    </w:p>
    <w:p w:rsidR="000B2068" w:rsidRPr="000B2068" w:rsidRDefault="000B2068" w:rsidP="000B2068">
      <w:pPr>
        <w:spacing w:after="0" w:line="240" w:lineRule="auto"/>
        <w:jc w:val="center"/>
        <w:rPr>
          <w:rFonts w:ascii="Times New Roman" w:eastAsia="Times New Roman" w:hAnsi="Times New Roman" w:cs="Times New Roman"/>
          <w:b/>
          <w:sz w:val="24"/>
          <w:szCs w:val="24"/>
          <w:lang w:eastAsia="sk-SK"/>
        </w:rPr>
      </w:pPr>
      <w:r w:rsidRPr="0005443E">
        <w:rPr>
          <w:rFonts w:ascii="Times New Roman" w:eastAsia="Times New Roman" w:hAnsi="Times New Roman" w:cs="Times New Roman"/>
          <w:b/>
          <w:sz w:val="24"/>
          <w:szCs w:val="24"/>
          <w:lang w:eastAsia="sk-SK"/>
        </w:rPr>
        <w:t xml:space="preserve">Eduard </w:t>
      </w:r>
      <w:proofErr w:type="spellStart"/>
      <w:r w:rsidRPr="0005443E">
        <w:rPr>
          <w:rFonts w:ascii="Times New Roman" w:eastAsia="Times New Roman" w:hAnsi="Times New Roman" w:cs="Times New Roman"/>
          <w:b/>
          <w:sz w:val="24"/>
          <w:szCs w:val="24"/>
          <w:lang w:eastAsia="sk-SK"/>
        </w:rPr>
        <w:t>Heger</w:t>
      </w:r>
      <w:proofErr w:type="spellEnd"/>
      <w:r w:rsidRPr="000B2068">
        <w:rPr>
          <w:rFonts w:ascii="Times New Roman" w:eastAsia="Times New Roman" w:hAnsi="Times New Roman" w:cs="Times New Roman"/>
          <w:b/>
          <w:sz w:val="24"/>
          <w:szCs w:val="24"/>
          <w:lang w:eastAsia="sk-SK"/>
        </w:rPr>
        <w:t>, v. r.</w:t>
      </w:r>
    </w:p>
    <w:p w:rsidR="000B2068" w:rsidRPr="000B2068" w:rsidRDefault="000B2068" w:rsidP="000B2068">
      <w:pPr>
        <w:spacing w:after="0" w:line="240" w:lineRule="auto"/>
        <w:jc w:val="center"/>
        <w:rPr>
          <w:rFonts w:ascii="Times New Roman" w:eastAsia="Times New Roman" w:hAnsi="Times New Roman" w:cs="Times New Roman"/>
          <w:sz w:val="24"/>
          <w:szCs w:val="24"/>
          <w:lang w:eastAsia="sk-SK"/>
        </w:rPr>
      </w:pPr>
      <w:r w:rsidRPr="000B2068">
        <w:rPr>
          <w:rFonts w:ascii="Times New Roman" w:eastAsia="Times New Roman" w:hAnsi="Times New Roman" w:cs="Times New Roman"/>
          <w:sz w:val="24"/>
          <w:szCs w:val="24"/>
          <w:lang w:eastAsia="sk-SK"/>
        </w:rPr>
        <w:t>predseda vlády</w:t>
      </w:r>
    </w:p>
    <w:p w:rsidR="000B2068" w:rsidRPr="000B2068" w:rsidRDefault="000B2068" w:rsidP="000B2068">
      <w:pPr>
        <w:spacing w:after="0" w:line="240" w:lineRule="auto"/>
        <w:jc w:val="center"/>
        <w:rPr>
          <w:rFonts w:ascii="Times New Roman" w:eastAsia="Times New Roman" w:hAnsi="Times New Roman" w:cs="Times New Roman"/>
          <w:sz w:val="24"/>
          <w:szCs w:val="24"/>
          <w:lang w:eastAsia="sk-SK"/>
        </w:rPr>
      </w:pPr>
      <w:r w:rsidRPr="000B2068">
        <w:rPr>
          <w:rFonts w:ascii="Times New Roman" w:eastAsia="Times New Roman" w:hAnsi="Times New Roman" w:cs="Times New Roman"/>
          <w:sz w:val="24"/>
          <w:szCs w:val="24"/>
          <w:lang w:eastAsia="sk-SK"/>
        </w:rPr>
        <w:t>Slovenskej republiky</w:t>
      </w:r>
    </w:p>
    <w:p w:rsidR="000B2068" w:rsidRPr="000B2068" w:rsidRDefault="000B2068" w:rsidP="000B2068">
      <w:pPr>
        <w:spacing w:after="0" w:line="240" w:lineRule="auto"/>
        <w:jc w:val="center"/>
        <w:rPr>
          <w:rFonts w:ascii="Times New Roman" w:eastAsia="Times New Roman" w:hAnsi="Times New Roman" w:cs="Times New Roman"/>
          <w:sz w:val="24"/>
          <w:szCs w:val="24"/>
          <w:lang w:eastAsia="sk-SK"/>
        </w:rPr>
      </w:pPr>
    </w:p>
    <w:p w:rsidR="000B2068" w:rsidRPr="000B2068" w:rsidRDefault="000B2068" w:rsidP="000B2068">
      <w:pPr>
        <w:spacing w:after="0" w:line="240" w:lineRule="auto"/>
        <w:jc w:val="center"/>
        <w:rPr>
          <w:rFonts w:ascii="Times New Roman" w:eastAsia="Times New Roman" w:hAnsi="Times New Roman" w:cs="Times New Roman"/>
          <w:sz w:val="24"/>
          <w:szCs w:val="24"/>
          <w:lang w:eastAsia="sk-SK"/>
        </w:rPr>
      </w:pPr>
    </w:p>
    <w:p w:rsidR="000B2068" w:rsidRPr="000B2068" w:rsidRDefault="000B2068" w:rsidP="000B2068">
      <w:pPr>
        <w:spacing w:after="0" w:line="240" w:lineRule="auto"/>
        <w:jc w:val="center"/>
        <w:rPr>
          <w:rFonts w:ascii="Times New Roman" w:eastAsia="Times New Roman" w:hAnsi="Times New Roman" w:cs="Times New Roman"/>
          <w:sz w:val="24"/>
          <w:szCs w:val="24"/>
          <w:lang w:eastAsia="sk-SK"/>
        </w:rPr>
      </w:pPr>
    </w:p>
    <w:p w:rsidR="000B2068" w:rsidRPr="000B2068" w:rsidRDefault="000B2068" w:rsidP="000B2068">
      <w:pPr>
        <w:spacing w:after="0" w:line="240" w:lineRule="auto"/>
        <w:jc w:val="center"/>
        <w:rPr>
          <w:rFonts w:ascii="Times New Roman" w:eastAsia="Times New Roman" w:hAnsi="Times New Roman" w:cs="Times New Roman"/>
          <w:sz w:val="24"/>
          <w:szCs w:val="24"/>
          <w:lang w:eastAsia="sk-SK"/>
        </w:rPr>
      </w:pPr>
    </w:p>
    <w:p w:rsidR="000B2068" w:rsidRPr="000B2068" w:rsidRDefault="000B2068" w:rsidP="000B2068">
      <w:pPr>
        <w:spacing w:after="0" w:line="240" w:lineRule="auto"/>
        <w:jc w:val="center"/>
        <w:rPr>
          <w:rFonts w:ascii="Times New Roman" w:eastAsia="Times New Roman" w:hAnsi="Times New Roman" w:cs="Times New Roman"/>
          <w:b/>
          <w:sz w:val="24"/>
          <w:szCs w:val="24"/>
          <w:lang w:eastAsia="sk-SK"/>
        </w:rPr>
      </w:pPr>
      <w:r w:rsidRPr="000B2068">
        <w:rPr>
          <w:rFonts w:ascii="Times New Roman" w:eastAsia="Times New Roman" w:hAnsi="Times New Roman" w:cs="Times New Roman"/>
          <w:b/>
          <w:sz w:val="24"/>
          <w:szCs w:val="24"/>
          <w:lang w:eastAsia="sk-SK"/>
        </w:rPr>
        <w:t>Andrej Doležal, v. r.</w:t>
      </w:r>
    </w:p>
    <w:p w:rsidR="000B2068" w:rsidRPr="000B2068" w:rsidRDefault="000B2068" w:rsidP="000B2068">
      <w:pPr>
        <w:spacing w:after="0" w:line="240" w:lineRule="auto"/>
        <w:jc w:val="center"/>
        <w:rPr>
          <w:rFonts w:ascii="Times New Roman" w:eastAsia="Times New Roman" w:hAnsi="Times New Roman" w:cs="Times New Roman"/>
          <w:sz w:val="24"/>
          <w:szCs w:val="24"/>
          <w:lang w:eastAsia="sk-SK"/>
        </w:rPr>
      </w:pPr>
      <w:r w:rsidRPr="000B2068">
        <w:rPr>
          <w:rFonts w:ascii="Times New Roman" w:eastAsia="Times New Roman" w:hAnsi="Times New Roman" w:cs="Times New Roman"/>
          <w:color w:val="000000"/>
          <w:sz w:val="24"/>
          <w:szCs w:val="24"/>
          <w:lang w:eastAsia="sk-SK"/>
        </w:rPr>
        <w:t>minister dopravy a výstavby</w:t>
      </w:r>
    </w:p>
    <w:p w:rsidR="000B2068" w:rsidRPr="000B2068" w:rsidRDefault="000B2068" w:rsidP="000B2068">
      <w:pPr>
        <w:spacing w:after="0" w:line="240" w:lineRule="auto"/>
        <w:jc w:val="center"/>
        <w:rPr>
          <w:rFonts w:ascii="Times New Roman" w:eastAsia="Times New Roman" w:hAnsi="Times New Roman" w:cs="Times New Roman"/>
          <w:sz w:val="24"/>
          <w:szCs w:val="24"/>
          <w:lang w:eastAsia="sk-SK"/>
        </w:rPr>
      </w:pPr>
      <w:r w:rsidRPr="000B2068">
        <w:rPr>
          <w:rFonts w:ascii="Times New Roman" w:eastAsia="Times New Roman" w:hAnsi="Times New Roman" w:cs="Times New Roman"/>
          <w:color w:val="000000"/>
          <w:sz w:val="24"/>
          <w:szCs w:val="24"/>
          <w:lang w:eastAsia="sk-SK"/>
        </w:rPr>
        <w:t>Slovenskej republiky</w:t>
      </w:r>
    </w:p>
    <w:p w:rsidR="001E2021" w:rsidRPr="00B52D31" w:rsidRDefault="001E2021" w:rsidP="00B52D31">
      <w:pPr>
        <w:jc w:val="both"/>
        <w:rPr>
          <w:rFonts w:ascii="Times New Roman" w:hAnsi="Times New Roman" w:cs="Times New Roman"/>
        </w:rPr>
      </w:pPr>
    </w:p>
    <w:sectPr w:rsidR="001E2021" w:rsidRPr="00B52D31" w:rsidSect="000F18FB">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EC3" w:rsidRDefault="004A7EC3" w:rsidP="000F18FB">
      <w:pPr>
        <w:spacing w:after="0" w:line="240" w:lineRule="auto"/>
      </w:pPr>
      <w:r>
        <w:separator/>
      </w:r>
    </w:p>
  </w:endnote>
  <w:endnote w:type="continuationSeparator" w:id="0">
    <w:p w:rsidR="004A7EC3" w:rsidRDefault="004A7EC3" w:rsidP="000F1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8FB" w:rsidRDefault="000F18FB">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0F18FB" w:rsidRDefault="000F18FB">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8FB" w:rsidRDefault="000F18FB">
    <w:pPr>
      <w:pStyle w:val="Pta"/>
      <w:jc w:val="right"/>
    </w:pPr>
    <w:r>
      <w:fldChar w:fldCharType="begin"/>
    </w:r>
    <w:r>
      <w:instrText>PAGE   \* MERGEFORMAT</w:instrText>
    </w:r>
    <w:r>
      <w:fldChar w:fldCharType="separate"/>
    </w:r>
    <w:r w:rsidR="00781DE3">
      <w:rPr>
        <w:noProof/>
      </w:rPr>
      <w:t>11</w:t>
    </w:r>
    <w:r>
      <w:fldChar w:fldCharType="end"/>
    </w:r>
  </w:p>
  <w:p w:rsidR="000F18FB" w:rsidRDefault="000F18FB">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8FB" w:rsidRDefault="000F18FB">
    <w:pPr>
      <w:pStyle w:val="Pta"/>
      <w:jc w:val="right"/>
    </w:pPr>
    <w:r>
      <w:fldChar w:fldCharType="begin"/>
    </w:r>
    <w:r>
      <w:instrText>PAGE   \* MERGEFORMAT</w:instrText>
    </w:r>
    <w:r>
      <w:fldChar w:fldCharType="separate"/>
    </w:r>
    <w:r>
      <w:rPr>
        <w:noProof/>
      </w:rPr>
      <w:t>0</w:t>
    </w:r>
    <w:r>
      <w:fldChar w:fldCharType="end"/>
    </w:r>
  </w:p>
  <w:p w:rsidR="000F18FB" w:rsidRDefault="000F18FB">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528685"/>
      <w:docPartObj>
        <w:docPartGallery w:val="Page Numbers (Bottom of Page)"/>
        <w:docPartUnique/>
      </w:docPartObj>
    </w:sdtPr>
    <w:sdtEndPr>
      <w:rPr>
        <w:rFonts w:ascii="Times New Roman" w:hAnsi="Times New Roman" w:cs="Times New Roman"/>
        <w:sz w:val="24"/>
        <w:szCs w:val="24"/>
      </w:rPr>
    </w:sdtEndPr>
    <w:sdtContent>
      <w:p w:rsidR="00827935" w:rsidRPr="005B424E" w:rsidRDefault="00B74287" w:rsidP="000B7881">
        <w:pPr>
          <w:pStyle w:val="Pta1"/>
          <w:jc w:val="center"/>
          <w:rPr>
            <w:rFonts w:ascii="Times New Roman" w:hAnsi="Times New Roman" w:cs="Times New Roman"/>
            <w:sz w:val="24"/>
            <w:szCs w:val="24"/>
          </w:rPr>
        </w:pPr>
        <w:r w:rsidRPr="005B424E">
          <w:rPr>
            <w:rFonts w:ascii="Times New Roman" w:hAnsi="Times New Roman" w:cs="Times New Roman"/>
            <w:sz w:val="24"/>
            <w:szCs w:val="24"/>
          </w:rPr>
          <w:fldChar w:fldCharType="begin"/>
        </w:r>
        <w:r w:rsidRPr="005B424E">
          <w:rPr>
            <w:rFonts w:ascii="Times New Roman" w:hAnsi="Times New Roman" w:cs="Times New Roman"/>
            <w:sz w:val="24"/>
            <w:szCs w:val="24"/>
          </w:rPr>
          <w:instrText>PAGE   \* MERGEFORMAT</w:instrText>
        </w:r>
        <w:r w:rsidRPr="005B424E">
          <w:rPr>
            <w:rFonts w:ascii="Times New Roman" w:hAnsi="Times New Roman" w:cs="Times New Roman"/>
            <w:sz w:val="24"/>
            <w:szCs w:val="24"/>
          </w:rPr>
          <w:fldChar w:fldCharType="separate"/>
        </w:r>
        <w:r w:rsidR="00781DE3">
          <w:rPr>
            <w:rFonts w:ascii="Times New Roman" w:hAnsi="Times New Roman" w:cs="Times New Roman"/>
            <w:noProof/>
            <w:sz w:val="24"/>
            <w:szCs w:val="24"/>
          </w:rPr>
          <w:t>34</w:t>
        </w:r>
        <w:r w:rsidRPr="005B424E">
          <w:rPr>
            <w:rFonts w:ascii="Times New Roman" w:hAnsi="Times New Roman" w:cs="Times New Roman"/>
            <w:sz w:val="24"/>
            <w:szCs w:val="24"/>
          </w:rPr>
          <w:fldChar w:fldCharType="end"/>
        </w:r>
      </w:p>
    </w:sdtContent>
  </w:sdt>
  <w:p w:rsidR="00827935" w:rsidRDefault="004A7EC3">
    <w:pPr>
      <w:pStyle w:val="Pta1"/>
    </w:pPr>
  </w:p>
  <w:p w:rsidR="0098620B" w:rsidRDefault="0098620B"/>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935" w:rsidRDefault="004A7EC3" w:rsidP="00FC3103">
    <w:pPr>
      <w:pStyle w:val="Pta1"/>
      <w:jc w:val="center"/>
    </w:pPr>
  </w:p>
  <w:p w:rsidR="00827935" w:rsidRDefault="004A7EC3">
    <w:pPr>
      <w:pStyle w:val="Pta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EC3" w:rsidRDefault="004A7EC3" w:rsidP="000F18FB">
      <w:pPr>
        <w:spacing w:after="0" w:line="240" w:lineRule="auto"/>
      </w:pPr>
      <w:r>
        <w:separator/>
      </w:r>
    </w:p>
  </w:footnote>
  <w:footnote w:type="continuationSeparator" w:id="0">
    <w:p w:rsidR="004A7EC3" w:rsidRDefault="004A7EC3" w:rsidP="000F1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8FB" w:rsidRDefault="000F18FB" w:rsidP="0056142E">
    <w:pPr>
      <w:pStyle w:val="Hlavika"/>
      <w:jc w:val="right"/>
      <w:rPr>
        <w:sz w:val="24"/>
        <w:szCs w:val="24"/>
      </w:rPr>
    </w:pPr>
    <w:r>
      <w:rPr>
        <w:sz w:val="24"/>
        <w:szCs w:val="24"/>
      </w:rPr>
      <w:t>Príloha č. 2</w:t>
    </w:r>
  </w:p>
  <w:p w:rsidR="000F18FB" w:rsidRPr="00EB59C8" w:rsidRDefault="000F18FB" w:rsidP="0056142E">
    <w:pPr>
      <w:pStyle w:val="Hlavika"/>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1142"/>
    <w:multiLevelType w:val="hybridMultilevel"/>
    <w:tmpl w:val="459AA990"/>
    <w:lvl w:ilvl="0" w:tplc="33327FC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8670B41"/>
    <w:multiLevelType w:val="hybridMultilevel"/>
    <w:tmpl w:val="459AA990"/>
    <w:lvl w:ilvl="0" w:tplc="33327FC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08C77087"/>
    <w:multiLevelType w:val="hybridMultilevel"/>
    <w:tmpl w:val="6DC6CA6E"/>
    <w:lvl w:ilvl="0" w:tplc="2C007456">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3" w15:restartNumberingAfterBreak="0">
    <w:nsid w:val="0B8519DB"/>
    <w:multiLevelType w:val="hybridMultilevel"/>
    <w:tmpl w:val="62363998"/>
    <w:lvl w:ilvl="0" w:tplc="C43A8C22">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 w15:restartNumberingAfterBreak="0">
    <w:nsid w:val="0D216E49"/>
    <w:multiLevelType w:val="hybridMultilevel"/>
    <w:tmpl w:val="7B1A32D6"/>
    <w:lvl w:ilvl="0" w:tplc="041B000F">
      <w:start w:val="1"/>
      <w:numFmt w:val="decimal"/>
      <w:lvlText w:val="%1."/>
      <w:lvlJc w:val="left"/>
      <w:pPr>
        <w:ind w:left="1800" w:hanging="360"/>
      </w:pPr>
      <w:rPr>
        <w:rFonts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 w15:restartNumberingAfterBreak="0">
    <w:nsid w:val="13A12A40"/>
    <w:multiLevelType w:val="hybridMultilevel"/>
    <w:tmpl w:val="DF9267D2"/>
    <w:lvl w:ilvl="0" w:tplc="09A088F6">
      <w:start w:val="1"/>
      <w:numFmt w:val="decimal"/>
      <w:lvlText w:val="%1."/>
      <w:lvlJc w:val="righ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B750F68"/>
    <w:multiLevelType w:val="hybridMultilevel"/>
    <w:tmpl w:val="5ECC45BE"/>
    <w:lvl w:ilvl="0" w:tplc="8C2ACACE">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23221672"/>
    <w:multiLevelType w:val="hybridMultilevel"/>
    <w:tmpl w:val="A2CE2092"/>
    <w:lvl w:ilvl="0" w:tplc="0E0A034A">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724400F"/>
    <w:multiLevelType w:val="hybridMultilevel"/>
    <w:tmpl w:val="96560B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79C090B"/>
    <w:multiLevelType w:val="hybridMultilevel"/>
    <w:tmpl w:val="CCA80808"/>
    <w:lvl w:ilvl="0" w:tplc="8C16A5A8">
      <w:start w:val="1"/>
      <w:numFmt w:val="decimal"/>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0" w15:restartNumberingAfterBreak="0">
    <w:nsid w:val="37AC70E1"/>
    <w:multiLevelType w:val="hybridMultilevel"/>
    <w:tmpl w:val="7340D7A8"/>
    <w:lvl w:ilvl="0" w:tplc="041B0017">
      <w:start w:val="1"/>
      <w:numFmt w:val="lowerLetter"/>
      <w:lvlText w:val="%1)"/>
      <w:lvlJc w:val="left"/>
      <w:pPr>
        <w:ind w:left="-351" w:hanging="360"/>
      </w:pPr>
      <w:rPr>
        <w:rFonts w:hint="default"/>
      </w:rPr>
    </w:lvl>
    <w:lvl w:ilvl="1" w:tplc="041B0019" w:tentative="1">
      <w:start w:val="1"/>
      <w:numFmt w:val="lowerLetter"/>
      <w:lvlText w:val="%2."/>
      <w:lvlJc w:val="left"/>
      <w:pPr>
        <w:ind w:left="369" w:hanging="360"/>
      </w:pPr>
    </w:lvl>
    <w:lvl w:ilvl="2" w:tplc="041B001B" w:tentative="1">
      <w:start w:val="1"/>
      <w:numFmt w:val="lowerRoman"/>
      <w:lvlText w:val="%3."/>
      <w:lvlJc w:val="right"/>
      <w:pPr>
        <w:ind w:left="1089" w:hanging="180"/>
      </w:pPr>
    </w:lvl>
    <w:lvl w:ilvl="3" w:tplc="041B000F" w:tentative="1">
      <w:start w:val="1"/>
      <w:numFmt w:val="decimal"/>
      <w:lvlText w:val="%4."/>
      <w:lvlJc w:val="left"/>
      <w:pPr>
        <w:ind w:left="1809" w:hanging="360"/>
      </w:pPr>
    </w:lvl>
    <w:lvl w:ilvl="4" w:tplc="041B0019" w:tentative="1">
      <w:start w:val="1"/>
      <w:numFmt w:val="lowerLetter"/>
      <w:lvlText w:val="%5."/>
      <w:lvlJc w:val="left"/>
      <w:pPr>
        <w:ind w:left="2529" w:hanging="360"/>
      </w:pPr>
    </w:lvl>
    <w:lvl w:ilvl="5" w:tplc="041B001B" w:tentative="1">
      <w:start w:val="1"/>
      <w:numFmt w:val="lowerRoman"/>
      <w:lvlText w:val="%6."/>
      <w:lvlJc w:val="right"/>
      <w:pPr>
        <w:ind w:left="3249" w:hanging="180"/>
      </w:pPr>
    </w:lvl>
    <w:lvl w:ilvl="6" w:tplc="041B000F" w:tentative="1">
      <w:start w:val="1"/>
      <w:numFmt w:val="decimal"/>
      <w:lvlText w:val="%7."/>
      <w:lvlJc w:val="left"/>
      <w:pPr>
        <w:ind w:left="3969" w:hanging="360"/>
      </w:pPr>
    </w:lvl>
    <w:lvl w:ilvl="7" w:tplc="041B0019" w:tentative="1">
      <w:start w:val="1"/>
      <w:numFmt w:val="lowerLetter"/>
      <w:lvlText w:val="%8."/>
      <w:lvlJc w:val="left"/>
      <w:pPr>
        <w:ind w:left="4689" w:hanging="360"/>
      </w:pPr>
    </w:lvl>
    <w:lvl w:ilvl="8" w:tplc="041B001B" w:tentative="1">
      <w:start w:val="1"/>
      <w:numFmt w:val="lowerRoman"/>
      <w:lvlText w:val="%9."/>
      <w:lvlJc w:val="right"/>
      <w:pPr>
        <w:ind w:left="5409" w:hanging="180"/>
      </w:pPr>
    </w:lvl>
  </w:abstractNum>
  <w:abstractNum w:abstractNumId="11" w15:restartNumberingAfterBreak="0">
    <w:nsid w:val="3B090315"/>
    <w:multiLevelType w:val="hybridMultilevel"/>
    <w:tmpl w:val="4B56A264"/>
    <w:lvl w:ilvl="0" w:tplc="676886D0">
      <w:start w:val="1"/>
      <w:numFmt w:val="lowerLetter"/>
      <w:lvlText w:val="%1)"/>
      <w:lvlJc w:val="left"/>
      <w:pPr>
        <w:ind w:left="720" w:hanging="360"/>
      </w:pPr>
      <w:rPr>
        <w:rFonts w:cs="Times New Roman" w:hint="default"/>
        <w:spacing w:val="2"/>
        <w:position w:val="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E241A19"/>
    <w:multiLevelType w:val="hybridMultilevel"/>
    <w:tmpl w:val="D11837C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4693938"/>
    <w:multiLevelType w:val="hybridMultilevel"/>
    <w:tmpl w:val="8FB0BDA8"/>
    <w:lvl w:ilvl="0" w:tplc="041B0017">
      <w:start w:val="1"/>
      <w:numFmt w:val="lowerLetter"/>
      <w:lvlText w:val="%1)"/>
      <w:lvlJc w:val="left"/>
      <w:pPr>
        <w:ind w:left="708" w:hanging="360"/>
      </w:pPr>
    </w:lvl>
    <w:lvl w:ilvl="1" w:tplc="041B0019" w:tentative="1">
      <w:start w:val="1"/>
      <w:numFmt w:val="lowerLetter"/>
      <w:lvlText w:val="%2."/>
      <w:lvlJc w:val="left"/>
      <w:pPr>
        <w:ind w:left="1428" w:hanging="360"/>
      </w:pPr>
    </w:lvl>
    <w:lvl w:ilvl="2" w:tplc="041B001B" w:tentative="1">
      <w:start w:val="1"/>
      <w:numFmt w:val="lowerRoman"/>
      <w:lvlText w:val="%3."/>
      <w:lvlJc w:val="right"/>
      <w:pPr>
        <w:ind w:left="2148" w:hanging="180"/>
      </w:pPr>
    </w:lvl>
    <w:lvl w:ilvl="3" w:tplc="041B000F" w:tentative="1">
      <w:start w:val="1"/>
      <w:numFmt w:val="decimal"/>
      <w:lvlText w:val="%4."/>
      <w:lvlJc w:val="left"/>
      <w:pPr>
        <w:ind w:left="2868" w:hanging="360"/>
      </w:pPr>
    </w:lvl>
    <w:lvl w:ilvl="4" w:tplc="041B0019" w:tentative="1">
      <w:start w:val="1"/>
      <w:numFmt w:val="lowerLetter"/>
      <w:lvlText w:val="%5."/>
      <w:lvlJc w:val="left"/>
      <w:pPr>
        <w:ind w:left="3588" w:hanging="360"/>
      </w:pPr>
    </w:lvl>
    <w:lvl w:ilvl="5" w:tplc="041B001B" w:tentative="1">
      <w:start w:val="1"/>
      <w:numFmt w:val="lowerRoman"/>
      <w:lvlText w:val="%6."/>
      <w:lvlJc w:val="right"/>
      <w:pPr>
        <w:ind w:left="4308" w:hanging="180"/>
      </w:pPr>
    </w:lvl>
    <w:lvl w:ilvl="6" w:tplc="041B000F" w:tentative="1">
      <w:start w:val="1"/>
      <w:numFmt w:val="decimal"/>
      <w:lvlText w:val="%7."/>
      <w:lvlJc w:val="left"/>
      <w:pPr>
        <w:ind w:left="5028" w:hanging="360"/>
      </w:pPr>
    </w:lvl>
    <w:lvl w:ilvl="7" w:tplc="041B0019" w:tentative="1">
      <w:start w:val="1"/>
      <w:numFmt w:val="lowerLetter"/>
      <w:lvlText w:val="%8."/>
      <w:lvlJc w:val="left"/>
      <w:pPr>
        <w:ind w:left="5748" w:hanging="360"/>
      </w:pPr>
    </w:lvl>
    <w:lvl w:ilvl="8" w:tplc="041B001B" w:tentative="1">
      <w:start w:val="1"/>
      <w:numFmt w:val="lowerRoman"/>
      <w:lvlText w:val="%9."/>
      <w:lvlJc w:val="right"/>
      <w:pPr>
        <w:ind w:left="6468" w:hanging="180"/>
      </w:pPr>
    </w:lvl>
  </w:abstractNum>
  <w:abstractNum w:abstractNumId="14" w15:restartNumberingAfterBreak="0">
    <w:nsid w:val="44CA36D8"/>
    <w:multiLevelType w:val="hybridMultilevel"/>
    <w:tmpl w:val="3DEE2414"/>
    <w:lvl w:ilvl="0" w:tplc="5512F164">
      <w:start w:val="4"/>
      <w:numFmt w:val="bullet"/>
      <w:lvlText w:val="-"/>
      <w:lvlJc w:val="left"/>
      <w:pPr>
        <w:ind w:left="1931" w:hanging="360"/>
      </w:pPr>
      <w:rPr>
        <w:rFonts w:ascii="Times New Roman" w:eastAsia="Times New Roman" w:hAnsi="Times New Roman" w:hint="default"/>
      </w:rPr>
    </w:lvl>
    <w:lvl w:ilvl="1" w:tplc="041B0003" w:tentative="1">
      <w:start w:val="1"/>
      <w:numFmt w:val="bullet"/>
      <w:lvlText w:val="o"/>
      <w:lvlJc w:val="left"/>
      <w:pPr>
        <w:ind w:left="2651" w:hanging="360"/>
      </w:pPr>
      <w:rPr>
        <w:rFonts w:ascii="Courier New" w:hAnsi="Courier New" w:hint="default"/>
      </w:rPr>
    </w:lvl>
    <w:lvl w:ilvl="2" w:tplc="5512F164">
      <w:start w:val="4"/>
      <w:numFmt w:val="bullet"/>
      <w:lvlText w:val="-"/>
      <w:lvlJc w:val="left"/>
      <w:pPr>
        <w:ind w:left="3371" w:hanging="360"/>
      </w:pPr>
      <w:rPr>
        <w:rFonts w:ascii="Times New Roman" w:eastAsia="Times New Roman" w:hAnsi="Times New Roman" w:hint="default"/>
      </w:rPr>
    </w:lvl>
    <w:lvl w:ilvl="3" w:tplc="041B0001" w:tentative="1">
      <w:start w:val="1"/>
      <w:numFmt w:val="bullet"/>
      <w:lvlText w:val=""/>
      <w:lvlJc w:val="left"/>
      <w:pPr>
        <w:ind w:left="4091" w:hanging="360"/>
      </w:pPr>
      <w:rPr>
        <w:rFonts w:ascii="Symbol" w:hAnsi="Symbol" w:hint="default"/>
      </w:rPr>
    </w:lvl>
    <w:lvl w:ilvl="4" w:tplc="041B0003" w:tentative="1">
      <w:start w:val="1"/>
      <w:numFmt w:val="bullet"/>
      <w:lvlText w:val="o"/>
      <w:lvlJc w:val="left"/>
      <w:pPr>
        <w:ind w:left="4811" w:hanging="360"/>
      </w:pPr>
      <w:rPr>
        <w:rFonts w:ascii="Courier New" w:hAnsi="Courier New" w:hint="default"/>
      </w:rPr>
    </w:lvl>
    <w:lvl w:ilvl="5" w:tplc="041B0005" w:tentative="1">
      <w:start w:val="1"/>
      <w:numFmt w:val="bullet"/>
      <w:lvlText w:val=""/>
      <w:lvlJc w:val="left"/>
      <w:pPr>
        <w:ind w:left="5531" w:hanging="360"/>
      </w:pPr>
      <w:rPr>
        <w:rFonts w:ascii="Wingdings" w:hAnsi="Wingdings" w:hint="default"/>
      </w:rPr>
    </w:lvl>
    <w:lvl w:ilvl="6" w:tplc="041B0001" w:tentative="1">
      <w:start w:val="1"/>
      <w:numFmt w:val="bullet"/>
      <w:lvlText w:val=""/>
      <w:lvlJc w:val="left"/>
      <w:pPr>
        <w:ind w:left="6251" w:hanging="360"/>
      </w:pPr>
      <w:rPr>
        <w:rFonts w:ascii="Symbol" w:hAnsi="Symbol" w:hint="default"/>
      </w:rPr>
    </w:lvl>
    <w:lvl w:ilvl="7" w:tplc="041B0003" w:tentative="1">
      <w:start w:val="1"/>
      <w:numFmt w:val="bullet"/>
      <w:lvlText w:val="o"/>
      <w:lvlJc w:val="left"/>
      <w:pPr>
        <w:ind w:left="6971" w:hanging="360"/>
      </w:pPr>
      <w:rPr>
        <w:rFonts w:ascii="Courier New" w:hAnsi="Courier New" w:hint="default"/>
      </w:rPr>
    </w:lvl>
    <w:lvl w:ilvl="8" w:tplc="041B0005" w:tentative="1">
      <w:start w:val="1"/>
      <w:numFmt w:val="bullet"/>
      <w:lvlText w:val=""/>
      <w:lvlJc w:val="left"/>
      <w:pPr>
        <w:ind w:left="7691" w:hanging="360"/>
      </w:pPr>
      <w:rPr>
        <w:rFonts w:ascii="Wingdings" w:hAnsi="Wingdings" w:hint="default"/>
      </w:rPr>
    </w:lvl>
  </w:abstractNum>
  <w:abstractNum w:abstractNumId="15" w15:restartNumberingAfterBreak="0">
    <w:nsid w:val="458C46E2"/>
    <w:multiLevelType w:val="hybridMultilevel"/>
    <w:tmpl w:val="AED845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59518FD"/>
    <w:multiLevelType w:val="singleLevel"/>
    <w:tmpl w:val="9E2450A6"/>
    <w:lvl w:ilvl="0">
      <w:start w:val="1"/>
      <w:numFmt w:val="lowerLetter"/>
      <w:lvlText w:val="%1)"/>
      <w:lvlJc w:val="left"/>
      <w:pPr>
        <w:tabs>
          <w:tab w:val="num" w:pos="720"/>
        </w:tabs>
        <w:ind w:left="720" w:hanging="360"/>
      </w:pPr>
      <w:rPr>
        <w:rFonts w:cs="Times New Roman" w:hint="default"/>
      </w:rPr>
    </w:lvl>
  </w:abstractNum>
  <w:abstractNum w:abstractNumId="17" w15:restartNumberingAfterBreak="0">
    <w:nsid w:val="4A932DD3"/>
    <w:multiLevelType w:val="hybridMultilevel"/>
    <w:tmpl w:val="459AA990"/>
    <w:lvl w:ilvl="0" w:tplc="33327FC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DA508C8"/>
    <w:multiLevelType w:val="hybridMultilevel"/>
    <w:tmpl w:val="9A60F01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252647B"/>
    <w:multiLevelType w:val="hybridMultilevel"/>
    <w:tmpl w:val="31A6106A"/>
    <w:lvl w:ilvl="0" w:tplc="8C2ACACE">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56431FB8"/>
    <w:multiLevelType w:val="hybridMultilevel"/>
    <w:tmpl w:val="A5321CA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2FB7511"/>
    <w:multiLevelType w:val="hybridMultilevel"/>
    <w:tmpl w:val="9AF65242"/>
    <w:lvl w:ilvl="0" w:tplc="43D470E0">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3AB6E16"/>
    <w:multiLevelType w:val="hybridMultilevel"/>
    <w:tmpl w:val="06F689C2"/>
    <w:lvl w:ilvl="0" w:tplc="427E6A4E">
      <w:start w:val="1"/>
      <w:numFmt w:val="lowerLetter"/>
      <w:lvlText w:val="%1)"/>
      <w:lvlJc w:val="left"/>
      <w:pPr>
        <w:tabs>
          <w:tab w:val="num" w:pos="680"/>
        </w:tabs>
        <w:ind w:left="680" w:hanging="34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3" w15:restartNumberingAfterBreak="0">
    <w:nsid w:val="67003015"/>
    <w:multiLevelType w:val="singleLevel"/>
    <w:tmpl w:val="9E2450A6"/>
    <w:lvl w:ilvl="0">
      <w:start w:val="1"/>
      <w:numFmt w:val="lowerLetter"/>
      <w:lvlText w:val="%1)"/>
      <w:lvlJc w:val="left"/>
      <w:pPr>
        <w:tabs>
          <w:tab w:val="num" w:pos="720"/>
        </w:tabs>
        <w:ind w:left="720" w:hanging="360"/>
      </w:pPr>
      <w:rPr>
        <w:rFonts w:cs="Times New Roman" w:hint="default"/>
      </w:rPr>
    </w:lvl>
  </w:abstractNum>
  <w:abstractNum w:abstractNumId="24" w15:restartNumberingAfterBreak="0">
    <w:nsid w:val="6A31210E"/>
    <w:multiLevelType w:val="hybridMultilevel"/>
    <w:tmpl w:val="3E98AC60"/>
    <w:lvl w:ilvl="0" w:tplc="80C21BA6">
      <w:start w:val="1"/>
      <w:numFmt w:val="decimal"/>
      <w:lvlText w:val="%1."/>
      <w:lvlJc w:val="left"/>
      <w:pPr>
        <w:tabs>
          <w:tab w:val="num" w:pos="567"/>
        </w:tabs>
        <w:ind w:left="567" w:hanging="510"/>
      </w:pPr>
      <w:rPr>
        <w:rFonts w:cs="Times New Roman" w:hint="default"/>
        <w:b/>
        <w:color w:val="auto"/>
      </w:rPr>
    </w:lvl>
    <w:lvl w:ilvl="1" w:tplc="041B0001">
      <w:start w:val="1"/>
      <w:numFmt w:val="bullet"/>
      <w:lvlText w:val=""/>
      <w:lvlJc w:val="left"/>
      <w:pPr>
        <w:tabs>
          <w:tab w:val="num" w:pos="1440"/>
        </w:tabs>
        <w:ind w:left="1440" w:hanging="360"/>
      </w:pPr>
      <w:rPr>
        <w:rFonts w:ascii="Symbol" w:hAnsi="Symbol"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8B871DD"/>
    <w:multiLevelType w:val="hybridMultilevel"/>
    <w:tmpl w:val="4E9070D4"/>
    <w:lvl w:ilvl="0" w:tplc="979E3770">
      <w:numFmt w:val="bullet"/>
      <w:lvlText w:val="-"/>
      <w:lvlJc w:val="left"/>
      <w:pPr>
        <w:ind w:left="720" w:hanging="360"/>
      </w:pPr>
      <w:rPr>
        <w:rFonts w:ascii="Times New Roman" w:eastAsia="Times New Roman" w:hAnsi="Times New Roman" w:hint="default"/>
        <w:sz w:val="22"/>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A0F7134"/>
    <w:multiLevelType w:val="hybridMultilevel"/>
    <w:tmpl w:val="119CEE70"/>
    <w:lvl w:ilvl="0" w:tplc="031E18C4">
      <w:start w:val="1"/>
      <w:numFmt w:val="lowerLetter"/>
      <w:lvlText w:val="%1)"/>
      <w:lvlJc w:val="left"/>
      <w:pPr>
        <w:ind w:left="720" w:hanging="360"/>
      </w:pPr>
      <w:rPr>
        <w:rFonts w:ascii="Times New Roman" w:hAnsi="Times New Roman" w:cs="Times New Roman" w:hint="default"/>
        <w:spacing w:val="2"/>
        <w:position w:val="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7A501241"/>
    <w:multiLevelType w:val="hybridMultilevel"/>
    <w:tmpl w:val="11B0F82E"/>
    <w:lvl w:ilvl="0" w:tplc="8C2ACACE">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7BA52CDD"/>
    <w:multiLevelType w:val="multilevel"/>
    <w:tmpl w:val="1C4C114A"/>
    <w:lvl w:ilvl="0">
      <w:start w:val="1"/>
      <w:numFmt w:val="bullet"/>
      <w:lvlText w:val="-"/>
      <w:lvlJc w:val="left"/>
      <w:pPr>
        <w:tabs>
          <w:tab w:val="num" w:pos="1069"/>
        </w:tabs>
        <w:ind w:left="1069" w:hanging="360"/>
      </w:pPr>
      <w:rPr>
        <w:rFonts w:ascii="Times New Roman" w:hAnsi="Times New Roman" w:hint="default"/>
      </w:rPr>
    </w:lvl>
    <w:lvl w:ilvl="1">
      <w:start w:val="1"/>
      <w:numFmt w:val="bullet"/>
      <w:lvlText w:val=""/>
      <w:lvlJc w:val="left"/>
      <w:pPr>
        <w:tabs>
          <w:tab w:val="num" w:pos="1789"/>
        </w:tabs>
        <w:ind w:left="1789" w:hanging="360"/>
      </w:pPr>
      <w:rPr>
        <w:rFonts w:ascii="Symbol" w:hAnsi="Symbol"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9"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30" w15:restartNumberingAfterBreak="0">
    <w:nsid w:val="7F122E5A"/>
    <w:multiLevelType w:val="hybridMultilevel"/>
    <w:tmpl w:val="4C5CBC5C"/>
    <w:lvl w:ilvl="0" w:tplc="96CCB462">
      <w:start w:val="1"/>
      <w:numFmt w:val="decimal"/>
      <w:lvlText w:val="%1."/>
      <w:lvlJc w:val="left"/>
      <w:pPr>
        <w:ind w:left="1080" w:hanging="360"/>
      </w:pPr>
      <w:rPr>
        <w:rFonts w:hint="default"/>
        <w:i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7FEA0DCB"/>
    <w:multiLevelType w:val="hybridMultilevel"/>
    <w:tmpl w:val="B406DC40"/>
    <w:lvl w:ilvl="0" w:tplc="5512F164">
      <w:start w:val="4"/>
      <w:numFmt w:val="bullet"/>
      <w:lvlText w:val="-"/>
      <w:lvlJc w:val="left"/>
      <w:pPr>
        <w:tabs>
          <w:tab w:val="num" w:pos="737"/>
        </w:tabs>
        <w:ind w:left="737" w:hanging="340"/>
      </w:pPr>
      <w:rPr>
        <w:rFonts w:ascii="Times New Roman" w:eastAsia="Times New Roman" w:hAnsi="Times New Roman" w:hint="default"/>
      </w:rPr>
    </w:lvl>
    <w:lvl w:ilvl="1" w:tplc="00000001">
      <w:start w:val="1"/>
      <w:numFmt w:val="bullet"/>
      <w:lvlText w:val="o"/>
      <w:lvlJc w:val="left"/>
      <w:pPr>
        <w:tabs>
          <w:tab w:val="num" w:pos="1837"/>
        </w:tabs>
        <w:ind w:left="1837" w:hanging="360"/>
      </w:pPr>
      <w:rPr>
        <w:rFonts w:ascii="Courier New" w:hAnsi="Courier New"/>
      </w:rPr>
    </w:lvl>
    <w:lvl w:ilvl="2" w:tplc="00000002">
      <w:start w:val="1"/>
      <w:numFmt w:val="bullet"/>
      <w:lvlText w:val=""/>
      <w:lvlJc w:val="left"/>
      <w:pPr>
        <w:tabs>
          <w:tab w:val="num" w:pos="2557"/>
        </w:tabs>
        <w:ind w:left="2557" w:hanging="360"/>
      </w:pPr>
      <w:rPr>
        <w:rFonts w:ascii="Wingdings" w:hAnsi="Wingdings"/>
      </w:rPr>
    </w:lvl>
    <w:lvl w:ilvl="3" w:tplc="00000003">
      <w:start w:val="1"/>
      <w:numFmt w:val="bullet"/>
      <w:lvlText w:val=""/>
      <w:lvlJc w:val="left"/>
      <w:pPr>
        <w:tabs>
          <w:tab w:val="num" w:pos="3277"/>
        </w:tabs>
        <w:ind w:left="3277" w:hanging="360"/>
      </w:pPr>
      <w:rPr>
        <w:rFonts w:ascii="Symbol" w:hAnsi="Symbol"/>
      </w:rPr>
    </w:lvl>
    <w:lvl w:ilvl="4" w:tplc="00000004">
      <w:start w:val="1"/>
      <w:numFmt w:val="bullet"/>
      <w:lvlText w:val="o"/>
      <w:lvlJc w:val="left"/>
      <w:pPr>
        <w:tabs>
          <w:tab w:val="num" w:pos="3997"/>
        </w:tabs>
        <w:ind w:left="3997" w:hanging="360"/>
      </w:pPr>
      <w:rPr>
        <w:rFonts w:ascii="Courier New" w:hAnsi="Courier New"/>
      </w:rPr>
    </w:lvl>
    <w:lvl w:ilvl="5" w:tplc="00000005">
      <w:start w:val="1"/>
      <w:numFmt w:val="bullet"/>
      <w:lvlText w:val=""/>
      <w:lvlJc w:val="left"/>
      <w:pPr>
        <w:tabs>
          <w:tab w:val="num" w:pos="4717"/>
        </w:tabs>
        <w:ind w:left="4717" w:hanging="360"/>
      </w:pPr>
      <w:rPr>
        <w:rFonts w:ascii="Wingdings" w:hAnsi="Wingdings"/>
      </w:rPr>
    </w:lvl>
    <w:lvl w:ilvl="6" w:tplc="00000006">
      <w:start w:val="1"/>
      <w:numFmt w:val="bullet"/>
      <w:lvlText w:val=""/>
      <w:lvlJc w:val="left"/>
      <w:pPr>
        <w:tabs>
          <w:tab w:val="num" w:pos="5437"/>
        </w:tabs>
        <w:ind w:left="5437" w:hanging="360"/>
      </w:pPr>
      <w:rPr>
        <w:rFonts w:ascii="Symbol" w:hAnsi="Symbol"/>
      </w:rPr>
    </w:lvl>
    <w:lvl w:ilvl="7" w:tplc="00000007">
      <w:start w:val="1"/>
      <w:numFmt w:val="bullet"/>
      <w:lvlText w:val="o"/>
      <w:lvlJc w:val="left"/>
      <w:pPr>
        <w:tabs>
          <w:tab w:val="num" w:pos="6157"/>
        </w:tabs>
        <w:ind w:left="6157" w:hanging="360"/>
      </w:pPr>
      <w:rPr>
        <w:rFonts w:ascii="Courier New" w:hAnsi="Courier New"/>
      </w:rPr>
    </w:lvl>
    <w:lvl w:ilvl="8" w:tplc="00000008">
      <w:start w:val="1"/>
      <w:numFmt w:val="bullet"/>
      <w:lvlText w:val=""/>
      <w:lvlJc w:val="left"/>
      <w:pPr>
        <w:tabs>
          <w:tab w:val="num" w:pos="6877"/>
        </w:tabs>
        <w:ind w:left="6877" w:hanging="360"/>
      </w:pPr>
      <w:rPr>
        <w:rFonts w:ascii="Wingdings" w:hAnsi="Wingdings"/>
      </w:rPr>
    </w:lvl>
  </w:abstractNum>
  <w:num w:numId="1">
    <w:abstractNumId w:val="12"/>
  </w:num>
  <w:num w:numId="2">
    <w:abstractNumId w:val="18"/>
  </w:num>
  <w:num w:numId="3">
    <w:abstractNumId w:val="4"/>
  </w:num>
  <w:num w:numId="4">
    <w:abstractNumId w:val="20"/>
  </w:num>
  <w:num w:numId="5">
    <w:abstractNumId w:val="5"/>
  </w:num>
  <w:num w:numId="6">
    <w:abstractNumId w:val="15"/>
  </w:num>
  <w:num w:numId="7">
    <w:abstractNumId w:val="11"/>
  </w:num>
  <w:num w:numId="8">
    <w:abstractNumId w:val="0"/>
  </w:num>
  <w:num w:numId="9">
    <w:abstractNumId w:val="1"/>
  </w:num>
  <w:num w:numId="10">
    <w:abstractNumId w:val="17"/>
  </w:num>
  <w:num w:numId="11">
    <w:abstractNumId w:val="7"/>
  </w:num>
  <w:num w:numId="12">
    <w:abstractNumId w:val="8"/>
  </w:num>
  <w:num w:numId="13">
    <w:abstractNumId w:val="6"/>
  </w:num>
  <w:num w:numId="14">
    <w:abstractNumId w:val="10"/>
  </w:num>
  <w:num w:numId="15">
    <w:abstractNumId w:val="19"/>
  </w:num>
  <w:num w:numId="16">
    <w:abstractNumId w:val="29"/>
  </w:num>
  <w:num w:numId="17">
    <w:abstractNumId w:val="21"/>
  </w:num>
  <w:num w:numId="18">
    <w:abstractNumId w:val="26"/>
  </w:num>
  <w:num w:numId="19">
    <w:abstractNumId w:val="13"/>
  </w:num>
  <w:num w:numId="20">
    <w:abstractNumId w:val="27"/>
  </w:num>
  <w:num w:numId="21">
    <w:abstractNumId w:val="25"/>
  </w:num>
  <w:num w:numId="22">
    <w:abstractNumId w:val="23"/>
    <w:lvlOverride w:ilvl="0">
      <w:startOverride w:val="1"/>
    </w:lvlOverride>
  </w:num>
  <w:num w:numId="23">
    <w:abstractNumId w:val="28"/>
  </w:num>
  <w:num w:numId="24">
    <w:abstractNumId w:val="24"/>
  </w:num>
  <w:num w:numId="25">
    <w:abstractNumId w:val="16"/>
  </w:num>
  <w:num w:numId="26">
    <w:abstractNumId w:val="2"/>
  </w:num>
  <w:num w:numId="27">
    <w:abstractNumId w:val="3"/>
  </w:num>
  <w:num w:numId="28">
    <w:abstractNumId w:val="31"/>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30"/>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169"/>
    <w:rsid w:val="0005443E"/>
    <w:rsid w:val="000B2068"/>
    <w:rsid w:val="000F18FB"/>
    <w:rsid w:val="000F393A"/>
    <w:rsid w:val="0018250E"/>
    <w:rsid w:val="001E2021"/>
    <w:rsid w:val="004A7EC3"/>
    <w:rsid w:val="00602169"/>
    <w:rsid w:val="00781DE3"/>
    <w:rsid w:val="007A64EB"/>
    <w:rsid w:val="0098620B"/>
    <w:rsid w:val="00B52D31"/>
    <w:rsid w:val="00B74287"/>
    <w:rsid w:val="00E17856"/>
    <w:rsid w:val="00EC04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D30F0"/>
  <w15:chartTrackingRefBased/>
  <w15:docId w15:val="{B047034F-7233-4FF7-8678-038432BF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3">
    <w:name w:val="heading 3"/>
    <w:basedOn w:val="Normlny"/>
    <w:next w:val="Normlny"/>
    <w:link w:val="Nadpis3Char"/>
    <w:uiPriority w:val="9"/>
    <w:semiHidden/>
    <w:unhideWhenUsed/>
    <w:qFormat/>
    <w:rsid w:val="000F18FB"/>
    <w:pPr>
      <w:keepNext/>
      <w:spacing w:before="240" w:after="60" w:line="240" w:lineRule="auto"/>
      <w:outlineLvl w:val="2"/>
    </w:pPr>
    <w:rPr>
      <w:rFonts w:ascii="Cambria" w:eastAsia="Times New Roman" w:hAnsi="Cambria" w:cs="Times New Roman"/>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semiHidden/>
    <w:rsid w:val="000F18FB"/>
    <w:rPr>
      <w:rFonts w:ascii="Cambria" w:eastAsia="Times New Roman" w:hAnsi="Cambria" w:cs="Times New Roman"/>
      <w:b/>
      <w:bCs/>
      <w:sz w:val="26"/>
      <w:szCs w:val="26"/>
    </w:rPr>
  </w:style>
  <w:style w:type="numbering" w:customStyle="1" w:styleId="Bezzoznamu1">
    <w:name w:val="Bez zoznamu1"/>
    <w:next w:val="Bezzoznamu"/>
    <w:uiPriority w:val="99"/>
    <w:semiHidden/>
    <w:unhideWhenUsed/>
    <w:rsid w:val="000F18FB"/>
  </w:style>
  <w:style w:type="character" w:styleId="Odkaznakomentr">
    <w:name w:val="annotation reference"/>
    <w:uiPriority w:val="99"/>
    <w:semiHidden/>
    <w:unhideWhenUsed/>
    <w:rsid w:val="000F18FB"/>
    <w:rPr>
      <w:sz w:val="16"/>
      <w:szCs w:val="16"/>
    </w:rPr>
  </w:style>
  <w:style w:type="paragraph" w:styleId="Textkomentra">
    <w:name w:val="annotation text"/>
    <w:basedOn w:val="Normlny"/>
    <w:link w:val="TextkomentraChar"/>
    <w:uiPriority w:val="99"/>
    <w:unhideWhenUsed/>
    <w:rsid w:val="000F18FB"/>
    <w:pPr>
      <w:spacing w:after="200" w:line="276" w:lineRule="auto"/>
    </w:pPr>
    <w:rPr>
      <w:rFonts w:ascii="Calibri" w:eastAsia="Calibri" w:hAnsi="Calibri" w:cs="Times New Roman"/>
      <w:sz w:val="20"/>
      <w:szCs w:val="20"/>
    </w:rPr>
  </w:style>
  <w:style w:type="character" w:customStyle="1" w:styleId="TextkomentraChar">
    <w:name w:val="Text komentára Char"/>
    <w:basedOn w:val="Predvolenpsmoodseku"/>
    <w:link w:val="Textkomentra"/>
    <w:uiPriority w:val="99"/>
    <w:rsid w:val="000F18FB"/>
    <w:rPr>
      <w:rFonts w:ascii="Calibri" w:eastAsia="Calibri" w:hAnsi="Calibri" w:cs="Times New Roman"/>
      <w:sz w:val="20"/>
      <w:szCs w:val="20"/>
    </w:rPr>
  </w:style>
  <w:style w:type="paragraph" w:styleId="Odsekzoznamu">
    <w:name w:val="List Paragraph"/>
    <w:aliases w:val="Odsek zoznamu1,Odsek"/>
    <w:basedOn w:val="Normlny"/>
    <w:link w:val="OdsekzoznamuChar"/>
    <w:uiPriority w:val="34"/>
    <w:qFormat/>
    <w:rsid w:val="000F18FB"/>
    <w:pPr>
      <w:spacing w:after="200" w:line="276" w:lineRule="auto"/>
      <w:ind w:left="720"/>
      <w:contextualSpacing/>
    </w:pPr>
    <w:rPr>
      <w:rFonts w:ascii="Calibri" w:eastAsia="Calibri" w:hAnsi="Calibri" w:cs="Times New Roman"/>
    </w:rPr>
  </w:style>
  <w:style w:type="character" w:customStyle="1" w:styleId="OdsekzoznamuChar">
    <w:name w:val="Odsek zoznamu Char"/>
    <w:aliases w:val="Odsek zoznamu1 Char,Odsek Char"/>
    <w:link w:val="Odsekzoznamu"/>
    <w:uiPriority w:val="34"/>
    <w:locked/>
    <w:rsid w:val="000F18FB"/>
    <w:rPr>
      <w:rFonts w:ascii="Calibri" w:eastAsia="Calibri" w:hAnsi="Calibri" w:cs="Times New Roman"/>
    </w:rPr>
  </w:style>
  <w:style w:type="paragraph" w:customStyle="1" w:styleId="Odstavecseseznamem">
    <w:name w:val="Odstavec se seznamem"/>
    <w:basedOn w:val="Normlny"/>
    <w:uiPriority w:val="34"/>
    <w:qFormat/>
    <w:rsid w:val="000F18FB"/>
    <w:pPr>
      <w:spacing w:after="200" w:line="276" w:lineRule="auto"/>
      <w:ind w:left="720"/>
      <w:contextualSpacing/>
    </w:pPr>
    <w:rPr>
      <w:rFonts w:ascii="Calibri" w:eastAsia="Calibri" w:hAnsi="Calibri" w:cs="Times New Roman"/>
    </w:rPr>
  </w:style>
  <w:style w:type="paragraph" w:styleId="Nzov">
    <w:name w:val="Title"/>
    <w:basedOn w:val="Normlny"/>
    <w:link w:val="NzovChar"/>
    <w:qFormat/>
    <w:rsid w:val="000F18FB"/>
    <w:pPr>
      <w:spacing w:after="0" w:line="240" w:lineRule="auto"/>
      <w:jc w:val="center"/>
    </w:pPr>
    <w:rPr>
      <w:rFonts w:ascii="Times New Roman" w:eastAsia="Times New Roman" w:hAnsi="Times New Roman" w:cs="Times New Roman"/>
      <w:b/>
      <w:sz w:val="24"/>
      <w:szCs w:val="20"/>
      <w:lang w:eastAsia="sk-SK"/>
    </w:rPr>
  </w:style>
  <w:style w:type="character" w:customStyle="1" w:styleId="NzovChar">
    <w:name w:val="Názov Char"/>
    <w:basedOn w:val="Predvolenpsmoodseku"/>
    <w:link w:val="Nzov"/>
    <w:rsid w:val="000F18FB"/>
    <w:rPr>
      <w:rFonts w:ascii="Times New Roman" w:eastAsia="Times New Roman" w:hAnsi="Times New Roman" w:cs="Times New Roman"/>
      <w:b/>
      <w:sz w:val="24"/>
      <w:szCs w:val="20"/>
      <w:lang w:eastAsia="sk-SK"/>
    </w:rPr>
  </w:style>
  <w:style w:type="paragraph" w:customStyle="1" w:styleId="Hlavika1">
    <w:name w:val="Hlavička1"/>
    <w:basedOn w:val="Normlny"/>
    <w:next w:val="Hlavika"/>
    <w:link w:val="HlavikaChar"/>
    <w:uiPriority w:val="99"/>
    <w:unhideWhenUsed/>
    <w:rsid w:val="000F18FB"/>
    <w:pPr>
      <w:tabs>
        <w:tab w:val="center" w:pos="4536"/>
        <w:tab w:val="right" w:pos="9072"/>
      </w:tabs>
      <w:spacing w:after="0" w:line="240" w:lineRule="auto"/>
    </w:pPr>
  </w:style>
  <w:style w:type="character" w:customStyle="1" w:styleId="HlavikaChar">
    <w:name w:val="Hlavička Char"/>
    <w:basedOn w:val="Predvolenpsmoodseku"/>
    <w:link w:val="Hlavika1"/>
    <w:uiPriority w:val="99"/>
    <w:rsid w:val="000F18FB"/>
  </w:style>
  <w:style w:type="paragraph" w:customStyle="1" w:styleId="Pta1">
    <w:name w:val="Päta1"/>
    <w:basedOn w:val="Normlny"/>
    <w:next w:val="Pta"/>
    <w:link w:val="PtaChar"/>
    <w:uiPriority w:val="99"/>
    <w:unhideWhenUsed/>
    <w:rsid w:val="000F18FB"/>
    <w:pPr>
      <w:tabs>
        <w:tab w:val="center" w:pos="4536"/>
        <w:tab w:val="right" w:pos="9072"/>
      </w:tabs>
      <w:spacing w:after="0" w:line="240" w:lineRule="auto"/>
    </w:pPr>
  </w:style>
  <w:style w:type="character" w:customStyle="1" w:styleId="PtaChar">
    <w:name w:val="Päta Char"/>
    <w:basedOn w:val="Predvolenpsmoodseku"/>
    <w:link w:val="Pta1"/>
    <w:uiPriority w:val="99"/>
    <w:rsid w:val="000F18FB"/>
  </w:style>
  <w:style w:type="character" w:styleId="Zstupntext">
    <w:name w:val="Placeholder Text"/>
    <w:basedOn w:val="Predvolenpsmoodseku"/>
    <w:uiPriority w:val="99"/>
    <w:rsid w:val="000F18FB"/>
    <w:rPr>
      <w:rFonts w:ascii="Times New Roman" w:hAnsi="Times New Roman" w:cs="Times New Roman"/>
      <w:color w:val="808080"/>
    </w:rPr>
  </w:style>
  <w:style w:type="paragraph" w:customStyle="1" w:styleId="Textbubliny1">
    <w:name w:val="Text bubliny1"/>
    <w:basedOn w:val="Normlny"/>
    <w:next w:val="Textbubliny"/>
    <w:link w:val="TextbublinyChar"/>
    <w:uiPriority w:val="99"/>
    <w:semiHidden/>
    <w:unhideWhenUsed/>
    <w:rsid w:val="000F18FB"/>
    <w:pPr>
      <w:spacing w:after="0" w:line="240" w:lineRule="auto"/>
    </w:pPr>
    <w:rPr>
      <w:rFonts w:ascii="Tahoma" w:hAnsi="Tahoma" w:cs="Tahoma"/>
      <w:sz w:val="16"/>
      <w:szCs w:val="16"/>
    </w:rPr>
  </w:style>
  <w:style w:type="character" w:customStyle="1" w:styleId="TextbublinyChar">
    <w:name w:val="Text bubliny Char"/>
    <w:basedOn w:val="Predvolenpsmoodseku"/>
    <w:link w:val="Textbubliny1"/>
    <w:uiPriority w:val="99"/>
    <w:semiHidden/>
    <w:rsid w:val="000F18FB"/>
    <w:rPr>
      <w:rFonts w:ascii="Tahoma" w:hAnsi="Tahoma" w:cs="Tahoma"/>
      <w:sz w:val="16"/>
      <w:szCs w:val="16"/>
    </w:rPr>
  </w:style>
  <w:style w:type="paragraph" w:customStyle="1" w:styleId="Text">
    <w:name w:val="Text"/>
    <w:rsid w:val="000F18FB"/>
    <w:pPr>
      <w:spacing w:after="0" w:line="240" w:lineRule="auto"/>
      <w:ind w:firstLine="425"/>
      <w:jc w:val="both"/>
    </w:pPr>
    <w:rPr>
      <w:rFonts w:ascii="Times New Roman" w:eastAsia="Times New Roman" w:hAnsi="Times New Roman" w:cs="Times New Roman"/>
      <w:sz w:val="24"/>
      <w:szCs w:val="24"/>
      <w:lang w:val="en-US" w:eastAsia="sk-SK"/>
    </w:rPr>
  </w:style>
  <w:style w:type="paragraph" w:customStyle="1" w:styleId="Predmetkomentra1">
    <w:name w:val="Predmet komentára1"/>
    <w:basedOn w:val="Textkomentra"/>
    <w:next w:val="Textkomentra"/>
    <w:uiPriority w:val="99"/>
    <w:semiHidden/>
    <w:unhideWhenUsed/>
    <w:rsid w:val="000F18FB"/>
    <w:pPr>
      <w:spacing w:line="240" w:lineRule="auto"/>
    </w:pPr>
    <w:rPr>
      <w:b/>
      <w:bCs/>
    </w:rPr>
  </w:style>
  <w:style w:type="character" w:customStyle="1" w:styleId="PredmetkomentraChar">
    <w:name w:val="Predmet komentára Char"/>
    <w:basedOn w:val="TextkomentraChar"/>
    <w:link w:val="Predmetkomentra"/>
    <w:uiPriority w:val="99"/>
    <w:semiHidden/>
    <w:rsid w:val="000F18FB"/>
    <w:rPr>
      <w:rFonts w:ascii="Calibri" w:eastAsia="Calibri" w:hAnsi="Calibri" w:cs="Times New Roman"/>
      <w:b/>
      <w:bCs/>
      <w:sz w:val="20"/>
      <w:szCs w:val="20"/>
    </w:rPr>
  </w:style>
  <w:style w:type="paragraph" w:customStyle="1" w:styleId="Default">
    <w:name w:val="Default"/>
    <w:rsid w:val="000F18FB"/>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1"/>
    <w:uiPriority w:val="99"/>
    <w:unhideWhenUsed/>
    <w:rsid w:val="000F18FB"/>
    <w:pPr>
      <w:tabs>
        <w:tab w:val="center" w:pos="4536"/>
        <w:tab w:val="right" w:pos="9072"/>
      </w:tabs>
      <w:spacing w:after="0" w:line="240" w:lineRule="auto"/>
    </w:pPr>
  </w:style>
  <w:style w:type="character" w:customStyle="1" w:styleId="HlavikaChar1">
    <w:name w:val="Hlavička Char1"/>
    <w:basedOn w:val="Predvolenpsmoodseku"/>
    <w:link w:val="Hlavika"/>
    <w:uiPriority w:val="99"/>
    <w:rsid w:val="000F18FB"/>
  </w:style>
  <w:style w:type="paragraph" w:styleId="Pta">
    <w:name w:val="footer"/>
    <w:basedOn w:val="Normlny"/>
    <w:link w:val="PtaChar1"/>
    <w:uiPriority w:val="99"/>
    <w:unhideWhenUsed/>
    <w:rsid w:val="000F18FB"/>
    <w:pPr>
      <w:tabs>
        <w:tab w:val="center" w:pos="4536"/>
        <w:tab w:val="right" w:pos="9072"/>
      </w:tabs>
      <w:spacing w:after="0" w:line="240" w:lineRule="auto"/>
    </w:pPr>
  </w:style>
  <w:style w:type="character" w:customStyle="1" w:styleId="PtaChar1">
    <w:name w:val="Päta Char1"/>
    <w:basedOn w:val="Predvolenpsmoodseku"/>
    <w:link w:val="Pta"/>
    <w:uiPriority w:val="99"/>
    <w:semiHidden/>
    <w:rsid w:val="000F18FB"/>
  </w:style>
  <w:style w:type="paragraph" w:styleId="Textbubliny">
    <w:name w:val="Balloon Text"/>
    <w:basedOn w:val="Normlny"/>
    <w:link w:val="TextbublinyChar1"/>
    <w:uiPriority w:val="99"/>
    <w:semiHidden/>
    <w:unhideWhenUsed/>
    <w:rsid w:val="000F18FB"/>
    <w:pPr>
      <w:spacing w:after="0" w:line="240" w:lineRule="auto"/>
    </w:pPr>
    <w:rPr>
      <w:rFonts w:ascii="Segoe UI" w:hAnsi="Segoe UI" w:cs="Segoe UI"/>
      <w:sz w:val="18"/>
      <w:szCs w:val="18"/>
    </w:rPr>
  </w:style>
  <w:style w:type="character" w:customStyle="1" w:styleId="TextbublinyChar1">
    <w:name w:val="Text bubliny Char1"/>
    <w:basedOn w:val="Predvolenpsmoodseku"/>
    <w:link w:val="Textbubliny"/>
    <w:uiPriority w:val="99"/>
    <w:semiHidden/>
    <w:rsid w:val="000F18FB"/>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0F18FB"/>
    <w:pPr>
      <w:spacing w:after="160" w:line="240" w:lineRule="auto"/>
    </w:pPr>
    <w:rPr>
      <w:b/>
      <w:bCs/>
    </w:rPr>
  </w:style>
  <w:style w:type="character" w:customStyle="1" w:styleId="PredmetkomentraChar1">
    <w:name w:val="Predmet komentára Char1"/>
    <w:basedOn w:val="TextkomentraChar"/>
    <w:uiPriority w:val="99"/>
    <w:semiHidden/>
    <w:rsid w:val="000F18FB"/>
    <w:rPr>
      <w:rFonts w:ascii="Calibri" w:eastAsia="Calibri" w:hAnsi="Calibri" w:cs="Times New Roman"/>
      <w:b/>
      <w:bCs/>
      <w:sz w:val="20"/>
      <w:szCs w:val="20"/>
    </w:rPr>
  </w:style>
  <w:style w:type="table" w:styleId="Mriekatabuky">
    <w:name w:val="Table Grid"/>
    <w:basedOn w:val="Normlnatabuka"/>
    <w:uiPriority w:val="59"/>
    <w:rsid w:val="000F18F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0F18FB"/>
    <w:rPr>
      <w:rFonts w:cs="Times New Roman"/>
    </w:rPr>
  </w:style>
  <w:style w:type="table" w:customStyle="1" w:styleId="Mriekatabuky1">
    <w:name w:val="Mriežka tabuľky1"/>
    <w:basedOn w:val="Normlnatabuka"/>
    <w:next w:val="Mriekatabuky"/>
    <w:uiPriority w:val="59"/>
    <w:rsid w:val="000F393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1E2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omir.moravcik@mindop.sk" TargetMode="Externa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lov-lex.sk/pravne-predpisy/SK/ZZ/2009/8/" TargetMode="Externa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lov-lex.sk/pravne-predpisy/SK/ZZ/2009/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slov-lex.sk/pravne-predpisy/SK/ZZ/2009/8/"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36</Pages>
  <Words>14015</Words>
  <Characters>79892</Characters>
  <Application>Microsoft Office Word</Application>
  <DocSecurity>0</DocSecurity>
  <Lines>665</Lines>
  <Paragraphs>187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Krausová, Katarína</dc:creator>
  <cp:keywords/>
  <dc:description/>
  <cp:lastModifiedBy>Krausová, Katarína</cp:lastModifiedBy>
  <cp:revision>9</cp:revision>
  <cp:lastPrinted>2021-05-26T09:30:00Z</cp:lastPrinted>
  <dcterms:created xsi:type="dcterms:W3CDTF">2021-05-26T07:23:00Z</dcterms:created>
  <dcterms:modified xsi:type="dcterms:W3CDTF">2021-05-26T09:49:00Z</dcterms:modified>
</cp:coreProperties>
</file>