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824000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824000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824000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824000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965312">
        <w:rPr>
          <w:rFonts w:ascii="Times New Roman" w:hAnsi="Times New Roman"/>
          <w:sz w:val="24"/>
          <w:szCs w:val="24"/>
          <w:lang w:val="sk-SK"/>
        </w:rPr>
        <w:t>skupina poslancov</w:t>
      </w:r>
      <w:r w:rsidRPr="00824000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824000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01174C" w:rsidRPr="00965312" w:rsidP="00965312">
      <w:pPr>
        <w:spacing w:after="0" w:line="240" w:lineRule="auto"/>
        <w:ind w:left="360" w:hanging="360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2270FC" w:rsidR="00961DDB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01174C" w:rsidR="00961DDB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Pr="00965312" w:rsidR="00965312">
        <w:rPr>
          <w:rFonts w:ascii="Times New Roman" w:hAnsi="Times New Roman"/>
          <w:bCs/>
          <w:sz w:val="24"/>
          <w:szCs w:val="24"/>
          <w:lang w:val="sk-SK"/>
        </w:rPr>
        <w:t>N</w:t>
      </w:r>
      <w:r w:rsidR="00965312">
        <w:rPr>
          <w:rFonts w:ascii="Times New Roman" w:hAnsi="Times New Roman"/>
          <w:bCs/>
          <w:sz w:val="24"/>
          <w:szCs w:val="24"/>
          <w:lang w:val="sk-SK"/>
        </w:rPr>
        <w:t>ávrh zákona o</w:t>
      </w:r>
      <w:r w:rsidRPr="00965312" w:rsidR="00965312">
        <w:rPr>
          <w:rFonts w:ascii="Times New Roman" w:hAnsi="Times New Roman"/>
          <w:bCs/>
          <w:sz w:val="24"/>
          <w:szCs w:val="24"/>
          <w:lang w:val="sk-SK"/>
        </w:rPr>
        <w:t xml:space="preserve"> poskytovaní služby starostlivosti o deti v detských skupinách a o zmene a doplnení niektorých zákonov</w:t>
      </w:r>
    </w:p>
    <w:p w:rsidR="004651C0" w:rsidRPr="0001174C" w:rsidP="0001174C">
      <w:pPr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  <w:lang w:val="sk-SK"/>
        </w:rPr>
      </w:pPr>
    </w:p>
    <w:p w:rsidR="00961DDB" w:rsidRPr="00824000" w:rsidP="002270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0"/>
        </w:tabs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  <w:r w:rsidR="002270FC">
        <w:rPr>
          <w:rFonts w:ascii="Times New Roman" w:hAnsi="Times New Roman"/>
          <w:b/>
          <w:bCs/>
          <w:sz w:val="24"/>
          <w:szCs w:val="24"/>
          <w:lang w:val="sk-SK"/>
        </w:rPr>
        <w:tab/>
      </w:r>
    </w:p>
    <w:p w:rsidR="00961DDB" w:rsidRPr="00824000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P="00B6625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="00965312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  <w:r w:rsidR="00B6625A">
        <w:rPr>
          <w:rFonts w:ascii="Times New Roman" w:hAnsi="Times New Roman"/>
          <w:sz w:val="24"/>
          <w:szCs w:val="24"/>
          <w:lang w:val="sk-SK"/>
        </w:rPr>
        <w:t xml:space="preserve">: </w:t>
      </w:r>
    </w:p>
    <w:p w:rsidR="00961DDB" w:rsidRPr="00824000" w:rsidP="00961DDB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824000" w:rsidP="00961DDB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824000" w:rsidP="00E5752D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82400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824000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824000" w:rsidRPr="00824000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 w:rsidR="00961DDB">
        <w:rPr>
          <w:rFonts w:ascii="Times New Roman" w:hAnsi="Times New Roman"/>
          <w:sz w:val="24"/>
          <w:szCs w:val="24"/>
          <w:lang w:val="sk-SK"/>
        </w:rPr>
        <w:br/>
      </w:r>
    </w:p>
    <w:p w:rsidR="00961DDB" w:rsidRPr="00824000" w:rsidP="00824000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824000" w:rsidR="00824000">
        <w:rPr>
          <w:rFonts w:ascii="Times New Roman" w:hAnsi="Times New Roman"/>
          <w:sz w:val="24"/>
          <w:szCs w:val="24"/>
          <w:lang w:val="sk-SK"/>
        </w:rPr>
        <w:br w:type="page"/>
      </w:r>
    </w:p>
    <w:p w:rsidR="00824000" w:rsidRPr="00824000" w:rsidP="00824000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824000" w:rsidRPr="00824000" w:rsidP="0082400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824000" w:rsidRPr="00824000" w:rsidP="0082400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824000" w:rsidRPr="00824000" w:rsidP="0082400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824000" w:rsidRPr="00824000" w:rsidP="0082400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965312" w:rsidR="00965312">
        <w:rPr>
          <w:rFonts w:ascii="Times New Roman" w:hAnsi="Times New Roman"/>
          <w:bCs/>
          <w:sz w:val="24"/>
          <w:szCs w:val="24"/>
          <w:lang w:val="sk-SK"/>
        </w:rPr>
        <w:t>N</w:t>
      </w:r>
      <w:r w:rsidR="00965312">
        <w:rPr>
          <w:rFonts w:ascii="Times New Roman" w:hAnsi="Times New Roman"/>
          <w:bCs/>
          <w:sz w:val="24"/>
          <w:szCs w:val="24"/>
          <w:lang w:val="sk-SK"/>
        </w:rPr>
        <w:t>ávrh zákona o</w:t>
      </w:r>
      <w:r w:rsidRPr="00965312" w:rsidR="00965312">
        <w:rPr>
          <w:rFonts w:ascii="Times New Roman" w:hAnsi="Times New Roman"/>
          <w:bCs/>
          <w:sz w:val="24"/>
          <w:szCs w:val="24"/>
          <w:lang w:val="sk-SK"/>
        </w:rPr>
        <w:t xml:space="preserve"> poskytovaní služby starostlivosti o deti v detských skupinách a o zmene a doplnení niektorých zákonov</w:t>
      </w:r>
    </w:p>
    <w:p w:rsidR="004651C0" w:rsidRPr="00824000" w:rsidP="0082400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824000" w:rsidRPr="00824000" w:rsidP="0082400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00"/>
      </w:tblPr>
      <w:tblGrid>
        <w:gridCol w:w="5758"/>
        <w:gridCol w:w="1206"/>
        <w:gridCol w:w="1206"/>
        <w:gridCol w:w="1206"/>
      </w:tblGrid>
      <w:tr w:rsidTr="00824000"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 w:rsidTr="00824000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9653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651C0" w:rsidRPr="00824000" w:rsidP="004651C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 w:rsidTr="00824000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4651C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 w:rsidTr="00824000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 w:rsidTr="00824000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01174C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01174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4651C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 w:rsidTr="00824000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9653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 w:rsidTr="00824000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01174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 w:rsidTr="00824000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9653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 w:rsidTr="00824000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96531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24000" w:rsidRPr="00824000" w:rsidP="00824000">
            <w:pPr>
              <w:widowControl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824000" w:rsidRPr="00824000" w:rsidP="00824000">
      <w:pPr>
        <w:widowControl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4651C0" w:rsidP="0082400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 w:rsid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127AD5" w:rsidP="00965312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 w:rsidR="0001174C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Predpokladáme </w:t>
      </w:r>
      <w:r w:rsidR="00965312">
        <w:rPr>
          <w:rFonts w:ascii="Times New Roman" w:hAnsi="Times New Roman"/>
          <w:iCs/>
          <w:color w:val="000000"/>
          <w:sz w:val="24"/>
          <w:szCs w:val="24"/>
          <w:lang w:val="sk-SK"/>
        </w:rPr>
        <w:t>pozitívny v</w:t>
      </w:r>
      <w:r w:rsidR="00965312">
        <w:rPr>
          <w:rFonts w:ascii="Times New Roman" w:hAnsi="Times New Roman"/>
          <w:iCs/>
          <w:color w:val="000000"/>
          <w:sz w:val="24"/>
          <w:szCs w:val="24"/>
          <w:lang w:val="sk-SK"/>
        </w:rPr>
        <w:t xml:space="preserve">plyv na štátny rozpočet, keďže túto službu budú využívať najmä rodičia participujúci na trhu práce, čím sa zvýši podiel zamestnaných osôb, najmä žien, ktoré budú prispievať do štátneho rozpočtu v podobe daní. Vyššou zamestnanosťou rodičov sa zároveň prejaví aj pozitívny vplyv na hospodárenie obyvateľstva. Dopad na rovnosť príležitostí a rodovú rovnosť, ako aj zamestnanosť bude rovnako pozitívny, keďže rozšírením možností služieb starostlivosti o deti sa zníži počet žien, ktoré sa pre nedostatok dostupných miest v materských školách nedokážu zamestnať vôbec alebo na plný pracovný úväzok. Pozitívny dopad na zamestnanosť vyplynie aj z vytvárania nových pracovných miest opatrovateľov v detských skupinách. Z príkladov zo zahraničia môžeme taktiež predpokladať pozitívny vplyv na rovnováhu medzi pracovným a rodinným životom a zvyšovanie pôrodnosti, keďže ide o nástroj rodinnej politiky.   </w:t>
      </w:r>
    </w:p>
    <w:p w:rsidR="00824000" w:rsidRPr="000B2E04" w:rsidP="0082400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824000" w:rsidRPr="00824000" w:rsidP="0082400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824000" w:rsidRPr="00824000" w:rsidP="0082400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824000" w:rsidRPr="00824000" w:rsidP="0082400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824000" w:rsidRPr="00824000" w:rsidP="00824000">
      <w:pPr>
        <w:pStyle w:val="NormalWeb"/>
        <w:spacing w:before="0" w:beforeAutospacing="0" w:after="0" w:afterAutospacing="0"/>
        <w:ind w:left="567" w:hanging="567"/>
        <w:jc w:val="both"/>
      </w:pPr>
      <w:r w:rsidRPr="00824000">
        <w:rPr>
          <w:b/>
          <w:bCs/>
        </w:rPr>
        <w:t xml:space="preserve">A.5. </w:t>
        <w:tab/>
        <w:t>Stanovisko gestorov</w:t>
      </w:r>
    </w:p>
    <w:p w:rsidR="00961DDB" w:rsidRPr="00824000" w:rsidP="00127AD5">
      <w:pPr>
        <w:spacing w:after="0" w:line="240" w:lineRule="auto"/>
        <w:jc w:val="both"/>
        <w:rPr>
          <w:rFonts w:ascii="Times New Roman" w:hAnsi="Times New Roman" w:cs="Verdana"/>
          <w:sz w:val="24"/>
          <w:szCs w:val="24"/>
          <w:lang w:val="sk-SK"/>
        </w:rPr>
      </w:pPr>
      <w:r w:rsidRPr="00824000" w:rsidR="00824000"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sectPr w:rsidSect="00521C50">
      <w:pgSz w:w="12240" w:h="15840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</w:rPr>
    </w:lvl>
  </w:abstractNum>
  <w:abstractNum w:abstractNumId="1">
    <w:nsid w:val="194510A4"/>
    <w:multiLevelType w:val="hybridMultilevel"/>
    <w:tmpl w:val="8696D0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</w:rPr>
    </w:lvl>
  </w:abstractNum>
  <w:abstractNum w:abstractNumId="3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DDA"/>
    <w:rsid w:val="0001174C"/>
    <w:rsid w:val="000B2E04"/>
    <w:rsid w:val="000D484F"/>
    <w:rsid w:val="00113283"/>
    <w:rsid w:val="00127AD5"/>
    <w:rsid w:val="0014120F"/>
    <w:rsid w:val="002270FC"/>
    <w:rsid w:val="00290632"/>
    <w:rsid w:val="003111CA"/>
    <w:rsid w:val="004651C0"/>
    <w:rsid w:val="004C3411"/>
    <w:rsid w:val="00521C50"/>
    <w:rsid w:val="005B7011"/>
    <w:rsid w:val="00691194"/>
    <w:rsid w:val="0072418C"/>
    <w:rsid w:val="00727CE3"/>
    <w:rsid w:val="00746DDA"/>
    <w:rsid w:val="008003CB"/>
    <w:rsid w:val="00824000"/>
    <w:rsid w:val="00922803"/>
    <w:rsid w:val="00961DDB"/>
    <w:rsid w:val="00965312"/>
    <w:rsid w:val="00B47BCE"/>
    <w:rsid w:val="00B6625A"/>
    <w:rsid w:val="00B92199"/>
    <w:rsid w:val="00BB44C3"/>
    <w:rsid w:val="00BD61B2"/>
    <w:rsid w:val="00C177DB"/>
    <w:rsid w:val="00C330C5"/>
    <w:rsid w:val="00C60A22"/>
    <w:rsid w:val="00E36EF4"/>
    <w:rsid w:val="00E5752D"/>
    <w:rsid w:val="00E8213B"/>
    <w:rsid w:val="00F94C2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59" w:unhideWhenUsed="0"/>
    <w:lsdException w:name="Placeholder Text" w:locked="1" w:unhideWhenUsed="0"/>
    <w:lsdException w:name="No Spacing" w:locked="1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locked="1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locked="1" w:uiPriority="37"/>
    <w:lsdException w:name="TOC Heading" w:locked="1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21C50"/>
    <w:pPr>
      <w:widowControl w:val="0"/>
      <w:adjustRightInd w:val="0"/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NormalWeb">
    <w:name w:val="Normal (Web)"/>
    <w:basedOn w:val="Normal"/>
    <w:semiHidden/>
    <w:rsid w:val="0082400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063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Kancelaria NR SR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PISOVA Monika</cp:lastModifiedBy>
  <cp:revision>6</cp:revision>
  <cp:lastPrinted>2012-04-17T12:14:00Z</cp:lastPrinted>
  <dcterms:created xsi:type="dcterms:W3CDTF">2015-08-18T08:20:00Z</dcterms:created>
  <dcterms:modified xsi:type="dcterms:W3CDTF">2021-05-26T16:27:00Z</dcterms:modified>
</cp:coreProperties>
</file>