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FF95" w14:textId="77777777" w:rsidR="00602787" w:rsidRPr="00CF66E2" w:rsidRDefault="00851C13">
      <w:pPr>
        <w:pStyle w:val="Normlnywebov"/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66E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6238FDA0" w14:textId="77777777" w:rsidR="00602787" w:rsidRPr="00CF66E2" w:rsidRDefault="00602787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F66BEC3" w14:textId="77777777" w:rsidR="00602787" w:rsidRPr="00CF66E2" w:rsidRDefault="00851C13" w:rsidP="0007540C">
      <w:pPr>
        <w:pStyle w:val="Standarduser"/>
        <w:suppressAutoHyphens w:val="0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A. Všeobecná časť</w:t>
      </w:r>
    </w:p>
    <w:p w14:paraId="63B11E4C" w14:textId="4F2B7BB8" w:rsidR="00602787" w:rsidRPr="00B71DE9" w:rsidRDefault="00851C13" w:rsidP="00D61400">
      <w:pPr>
        <w:pStyle w:val="Standarduser"/>
        <w:autoSpaceDE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Poslanci za stranu Kotleba – Ľudová strana Naše Slovensko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Marian Kotleba,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Rastislav Schlosár,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Joze Šimko </w:t>
      </w:r>
      <w:r w:rsidR="00982F14">
        <w:rPr>
          <w:rFonts w:ascii="Book Antiqua" w:hAnsi="Book Antiqua" w:cs="Book Antiqua"/>
          <w:kern w:val="0"/>
          <w:sz w:val="22"/>
          <w:szCs w:val="22"/>
          <w:lang w:eastAsia="zh-CN"/>
        </w:rPr>
        <w:t>a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> Stanislav Mizík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predkladajú do Národnej rady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Slovenskej republiky návrh ústavného zákona, ktorým sa mení a dopĺňa Ú</w:t>
      </w:r>
      <w:r w:rsidR="00960AA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stava Slovenskej republiky č.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460/1992 Zb. v znení </w:t>
      </w:r>
      <w:r w:rsidR="0094746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neskorších predpisov.</w:t>
      </w:r>
    </w:p>
    <w:p w14:paraId="1CE43330" w14:textId="52363442" w:rsidR="00624728" w:rsidRPr="00B71DE9" w:rsidRDefault="003F659A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 cieľom upevňovania demokratických pr</w:t>
      </w:r>
      <w:r w:rsidR="00960AA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incípov a tradícií na Slovensku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prichádza</w:t>
      </w:r>
      <w:r w:rsidR="0094746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me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                   </w:t>
      </w:r>
      <w:r w:rsidR="00D46FC3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 návrhom ústavného zákona, ktorý prehĺbi demokratický systém štátneho zriadenia.</w:t>
      </w:r>
    </w:p>
    <w:p w14:paraId="1AB02635" w14:textId="77777777" w:rsidR="003F659A" w:rsidRPr="00B71DE9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Každý demokratický štát musí disponovať legislatívnym prostredím, využitím ktorého doc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hádza k naplneniu skutočnej idey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demokracie a nie len jej iluzórnej formy. Občania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Slove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skej republiky čoraz viac pochybujú o reálnosti demokratického zriadenia v našom štáte. Pochybnosti vyplývajú zo série neúspešných všeľudových hlasovaní, teda nefunkčného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systému referenda na Slovensku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v spojitosti s chýbajúcim imperatívnym mandátom volených zástupcov. Súčasná legislatíva upravujúca demokratické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inštitúty je nastavená spôsobom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neumožňujúcim ich reálne využitie. Preto si tento legislatívny návrh dáva za cieľ zefektívniť inštitút referenda a presunúť tak moc v štáte do rúk jeho občanov.</w:t>
      </w:r>
    </w:p>
    <w:p w14:paraId="60AC0FF1" w14:textId="77777777" w:rsidR="003F659A" w:rsidRPr="00B71DE9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Kvórum minimálnej účasti oprávnených voličov stanovené na 50 % zo všetkých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opráv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nených voličov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je nastavené spôsobom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ktorý odrádza občanov zúčastňovať sa referenda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.</w:t>
      </w:r>
      <w:r w:rsidR="00CF66E2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Tým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sa referendum samotné stáva takmer nerealizovateľným. Nedemokratickým politikom, ignorujúcim potreby a názory svojho národa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sa tak na Slovensku vytvoril ideálny systém,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kedy sa demokracia stáva iluzórnou a skutočné rozhodovacie právomoci nad osudom miliónov ľudí ostávajú v rukách malej skupiny, v mnohých prípadoch nedisponujúcej žiadnym </w:t>
      </w:r>
      <w:r w:rsidR="00875C09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demokraticky získaným mandátom.</w:t>
      </w:r>
    </w:p>
    <w:p w14:paraId="377FE2F0" w14:textId="42063C42" w:rsidR="00D61400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Z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>rušenie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kvóra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účasti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50 % všetkých oprávnených voličov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zodpovedá skutočnosti,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 xml:space="preserve">že ani vo voľbách do Národnej rady Slovenskej republiky, voľbách do Európskeho parlamentu, voľbách prezidenta Slovenskej republiky, voľbách do orgánov samosprávnych krajov a voľbách do orgánov samosprávy obcí  neexistuje žiadne kvórum minimálnej účasti </w:t>
      </w:r>
      <w:r w:rsidR="00D6140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oprávnených voličov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na to, aby boli výsledky týchto volieb platné.</w:t>
      </w:r>
    </w:p>
    <w:p w14:paraId="229C7C9B" w14:textId="3F06F4EE" w:rsidR="003F659A" w:rsidRPr="00B71DE9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Referendum je však pri súčasnej legislatíve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z postavenia radových občanov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nerealizovateľným inštitútom. Je potrebné v rámci snahy o zlepšenie úrovne demokracie znížiť aj minimálny počet podpisov slovenských občanov, </w:t>
      </w:r>
      <w:r w:rsidR="0062472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ktorý je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nutný na samotné vyhlásenie </w:t>
      </w:r>
      <w:r w:rsidR="00875B78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referenda. </w:t>
      </w:r>
      <w:r w:rsidR="00D711D6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V návrhu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ústavného </w:t>
      </w:r>
      <w:r w:rsidR="00D711D6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zákona je preto znížený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minimálny počet </w:t>
      </w:r>
      <w:r w:rsidR="00D711D6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podpisov od občanov Slovenska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z 350 000 na </w:t>
      </w:r>
      <w:r w:rsidR="00D61400">
        <w:rPr>
          <w:rFonts w:ascii="Book Antiqua" w:hAnsi="Book Antiqua" w:cs="Book Antiqua"/>
          <w:kern w:val="0"/>
          <w:sz w:val="22"/>
          <w:szCs w:val="22"/>
          <w:lang w:eastAsia="zh-CN"/>
        </w:rPr>
        <w:t>100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 000, čím sa samotný inštitút referenda výrazným spôsobom priblíži k skutočne demokratickým krajinám, kde je referendum bežnou súčasťou fungovania štátu.</w:t>
      </w:r>
    </w:p>
    <w:p w14:paraId="026E7264" w14:textId="77777777" w:rsidR="003F659A" w:rsidRPr="00B71DE9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Vzhľadom na navrhované úpravy, ktoré v konečnom dôsledku docielia výrazný posun k reálne funkčnému inštitútu referenda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,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je však potrebné zavie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sť v ústave nové ochranné prvky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 cieľom zabrániť rôznym iredentistickým snahám zo strany protislovensky naladených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lastRenderedPageBreak/>
        <w:t>jednotlivcov a hnutí. Preto navrhujeme rozšíriť okruh tém, pri k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torých je referendum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>neumožnené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o otázku </w:t>
      </w:r>
      <w:r w:rsidR="00E63A3C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zmeny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štátnych hraníc, postavenie orgánov štátnej moci, jednotnosť </w:t>
      </w:r>
      <w:r w:rsidR="005A5310"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a nedeliteľnosť územia Slovenskej republiky.</w:t>
      </w:r>
    </w:p>
    <w:p w14:paraId="13492C2A" w14:textId="77777777" w:rsidR="003F659A" w:rsidRPr="00B71DE9" w:rsidRDefault="00A10C0C" w:rsidP="00D61400">
      <w:pPr>
        <w:pStyle w:val="Standard"/>
        <w:suppressAutoHyphens/>
        <w:spacing w:after="12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Sme presvedčení, že týmito legislatívnymi úpravami docielime posun Slovenska smerom k väčšej demokracii, všeobecnej slobode a skutočnej vláde ľudu, ktorá je dnes len iluzórnym javom. Rovnako však pomôžeme obmedziť extrémizmus štandardných politikov, prejavujúci sa v bezbrehom rozkrádaní štátneho majetku, ignorovaní vôle občanov a potlačovaní ich práv.</w:t>
      </w:r>
    </w:p>
    <w:p w14:paraId="79300F30" w14:textId="77777777" w:rsidR="00602787" w:rsidRPr="00CF66E2" w:rsidRDefault="00602787" w:rsidP="0007540C">
      <w:pPr>
        <w:pStyle w:val="Standarduser"/>
        <w:suppressAutoHyphens w:val="0"/>
        <w:autoSpaceDE/>
        <w:spacing w:after="160" w:line="242" w:lineRule="auto"/>
        <w:ind w:firstLine="708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43C38CAA" w14:textId="77777777" w:rsidR="003E4691" w:rsidRPr="00CF66E2" w:rsidRDefault="00851C13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sz w:val="22"/>
          <w:szCs w:val="22"/>
          <w:lang w:bidi="hi-IN"/>
        </w:rPr>
        <w:tab/>
      </w:r>
    </w:p>
    <w:p w14:paraId="3FF822B6" w14:textId="77777777" w:rsidR="003E4691" w:rsidRDefault="003E4691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D586880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3ADBBCF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B0ACEB7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8A90624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675D6DBD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647E3A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EF41D3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610666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E36089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9F53E8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06CDCF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B65EFC8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10ACB5C2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CC58EBF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20202DD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234AB15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9941375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0BB2647" w14:textId="4C5DC7A4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4C0BFD6" w14:textId="318C45BE" w:rsid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6D5C4B0F" w14:textId="08EF2681" w:rsid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9A4E6BF" w14:textId="26351CF5" w:rsidR="00D61400" w:rsidRDefault="00D6140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EA4A83C" w14:textId="77777777" w:rsidR="00D61400" w:rsidRDefault="00D6140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16B8432B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727CB6D" w14:textId="77777777" w:rsidR="00602787" w:rsidRPr="00CF66E2" w:rsidRDefault="00851C13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lastRenderedPageBreak/>
        <w:t>B. Osobitná časť</w:t>
      </w:r>
    </w:p>
    <w:p w14:paraId="3CB3DEDA" w14:textId="77777777" w:rsidR="00602787" w:rsidRPr="00CF66E2" w:rsidRDefault="00602787">
      <w:pPr>
        <w:pStyle w:val="Standarduser"/>
        <w:tabs>
          <w:tab w:val="left" w:pos="2835"/>
        </w:tabs>
        <w:autoSpaceDE/>
        <w:spacing w:after="160" w:line="242" w:lineRule="auto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5B792B42" w14:textId="77777777" w:rsidR="00602787" w:rsidRPr="00A621EC" w:rsidRDefault="005A5310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Č</w:t>
      </w:r>
      <w:r w:rsidR="00851C13"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l. I</w:t>
      </w:r>
    </w:p>
    <w:p w14:paraId="527D698D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 bodu 1</w:t>
      </w:r>
    </w:p>
    <w:p w14:paraId="3047399D" w14:textId="3CE0CC34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Rozširuje sa okruh otázok, ktoré nemôžu byť predmetom referenda o oblasť zmeny 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štátnych hraníc, postavenia orgánov štátnej moci, jednotnosti a nedeliteľnosti územia </w:t>
      </w:r>
      <w:r w:rsid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Slovenskej republiky.</w:t>
      </w:r>
    </w:p>
    <w:p w14:paraId="377A0B63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 bodu 2</w:t>
      </w:r>
    </w:p>
    <w:p w14:paraId="60139627" w14:textId="550BC862" w:rsidR="00602787" w:rsidRPr="00A621EC" w:rsidRDefault="00851C13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Znižuje sa požiadavka na počet občanov petíciou pož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adujúcich vyhlásenie referenda,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a to tak</w:t>
      </w:r>
      <w:r w:rsidR="005A5310"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,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aby na vyhlásenie referenda postačila žiadosť </w:t>
      </w:r>
      <w:r w:rsidR="00D61400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100</w:t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000 občanov namiesto súčasných </w:t>
      </w:r>
      <w:r w:rsidR="00982F14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350 000 občanov.</w:t>
      </w:r>
    </w:p>
    <w:p w14:paraId="6A74310E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 bodu 3</w:t>
      </w:r>
    </w:p>
    <w:p w14:paraId="068ACC97" w14:textId="56617EB6" w:rsidR="00602787" w:rsidRPr="00A621EC" w:rsidRDefault="00D61400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Ruší sa kvórum 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minimálnej účasti oprávnených voličov</w:t>
      </w:r>
      <w:r>
        <w:rPr>
          <w:rFonts w:ascii="Book Antiqua" w:hAnsi="Book Antiqua" w:cs="Book Antiqua"/>
          <w:kern w:val="0"/>
          <w:sz w:val="22"/>
          <w:szCs w:val="22"/>
          <w:lang w:eastAsia="zh-CN"/>
        </w:rPr>
        <w:t>, pôvodne</w:t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stanovené na 50 % </w:t>
      </w:r>
      <w:r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B71DE9">
        <w:rPr>
          <w:rFonts w:ascii="Book Antiqua" w:hAnsi="Book Antiqua" w:cs="Book Antiqua"/>
          <w:kern w:val="0"/>
          <w:sz w:val="22"/>
          <w:szCs w:val="22"/>
          <w:lang w:eastAsia="zh-CN"/>
        </w:rPr>
        <w:t>zo všetkých oprávnených voličov</w:t>
      </w:r>
      <w:r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na to, aby boli výsledky referenda platné.</w:t>
      </w:r>
    </w:p>
    <w:p w14:paraId="5EA616D5" w14:textId="77777777" w:rsidR="00982F14" w:rsidRP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sz w:val="14"/>
          <w:szCs w:val="14"/>
          <w:lang w:bidi="hi-IN"/>
        </w:rPr>
      </w:pPr>
    </w:p>
    <w:p w14:paraId="2D6536DA" w14:textId="77777777" w:rsidR="00602787" w:rsidRPr="00CF66E2" w:rsidRDefault="005A5310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>
        <w:rPr>
          <w:rFonts w:ascii="Book Antiqua" w:hAnsi="Book Antiqua" w:cs="Book Antiqua"/>
          <w:b/>
          <w:bCs/>
          <w:sz w:val="22"/>
          <w:szCs w:val="22"/>
          <w:lang w:bidi="hi-IN"/>
        </w:rPr>
        <w:t>Č</w:t>
      </w:r>
      <w:r w:rsidR="00851C13"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l. II</w:t>
      </w:r>
    </w:p>
    <w:p w14:paraId="63DBBFBE" w14:textId="296DCF0D" w:rsidR="00A621EC" w:rsidRPr="00A621EC" w:rsidRDefault="00982F14" w:rsidP="00982F14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  <w:sectPr w:rsidR="00A621EC" w:rsidRPr="00A621EC" w:rsidSect="00982F14">
          <w:pgSz w:w="12240" w:h="15840"/>
          <w:pgMar w:top="1417" w:right="1417" w:bottom="851" w:left="1417" w:header="708" w:footer="708" w:gutter="0"/>
          <w:cols w:space="708"/>
        </w:sectPr>
      </w:pPr>
      <w:r w:rsidRPr="00982F14">
        <w:rPr>
          <w:rFonts w:ascii="Book Antiqua" w:hAnsi="Book Antiqua" w:cs="Arial"/>
          <w:sz w:val="22"/>
          <w:szCs w:val="22"/>
        </w:rPr>
        <w:t>Navrhuje sa účinnosť</w:t>
      </w:r>
      <w:r w:rsidR="00D61400">
        <w:rPr>
          <w:rFonts w:ascii="Book Antiqua" w:hAnsi="Book Antiqua" w:cs="Arial"/>
          <w:sz w:val="22"/>
          <w:szCs w:val="22"/>
        </w:rPr>
        <w:t xml:space="preserve"> ústavného</w:t>
      </w:r>
      <w:r w:rsidRPr="00982F14">
        <w:rPr>
          <w:rFonts w:ascii="Book Antiqua" w:hAnsi="Book Antiqua" w:cs="Arial"/>
          <w:sz w:val="22"/>
          <w:szCs w:val="22"/>
        </w:rPr>
        <w:t xml:space="preserve"> zákona </w:t>
      </w:r>
      <w:r w:rsidRPr="00982F14">
        <w:rPr>
          <w:rFonts w:ascii="Book Antiqua" w:hAnsi="Book Antiqua"/>
          <w:sz w:val="22"/>
        </w:rPr>
        <w:t>pätnástym dňom po jeho vyhlásení v Zbierke z</w:t>
      </w:r>
      <w:r>
        <w:rPr>
          <w:rFonts w:ascii="Book Antiqua" w:hAnsi="Book Antiqua"/>
          <w:sz w:val="22"/>
        </w:rPr>
        <w:t>ákonov.</w:t>
      </w:r>
    </w:p>
    <w:p w14:paraId="2B0FD061" w14:textId="158ECAAD" w:rsidR="00982F14" w:rsidRPr="00CF66E2" w:rsidRDefault="00982F14">
      <w:pPr>
        <w:pStyle w:val="Standarduser"/>
        <w:rPr>
          <w:rFonts w:ascii="Book Antiqua" w:hAnsi="Book Antiqua" w:cs="Book Antiqua"/>
          <w:sz w:val="22"/>
          <w:szCs w:val="22"/>
          <w:lang w:eastAsia="zh-CN" w:bidi="hi-IN"/>
        </w:rPr>
      </w:pPr>
    </w:p>
    <w:sectPr w:rsidR="00982F14" w:rsidRPr="00CF66E2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CDC1" w14:textId="77777777" w:rsidR="0003752B" w:rsidRDefault="0003752B" w:rsidP="00982F14">
      <w:r>
        <w:separator/>
      </w:r>
    </w:p>
  </w:endnote>
  <w:endnote w:type="continuationSeparator" w:id="0">
    <w:p w14:paraId="32C33700" w14:textId="77777777" w:rsidR="0003752B" w:rsidRDefault="0003752B" w:rsidP="0098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5FF6" w14:textId="77777777" w:rsidR="0003752B" w:rsidRDefault="0003752B" w:rsidP="00982F14">
      <w:r>
        <w:separator/>
      </w:r>
    </w:p>
  </w:footnote>
  <w:footnote w:type="continuationSeparator" w:id="0">
    <w:p w14:paraId="7A995044" w14:textId="77777777" w:rsidR="0003752B" w:rsidRDefault="0003752B" w:rsidP="0098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867C3"/>
    <w:multiLevelType w:val="multilevel"/>
    <w:tmpl w:val="D31085A8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787"/>
    <w:rsid w:val="0003752B"/>
    <w:rsid w:val="0007540C"/>
    <w:rsid w:val="000C0274"/>
    <w:rsid w:val="001C02E1"/>
    <w:rsid w:val="001D4D9A"/>
    <w:rsid w:val="002A5D03"/>
    <w:rsid w:val="003E4691"/>
    <w:rsid w:val="003F659A"/>
    <w:rsid w:val="004069DE"/>
    <w:rsid w:val="005A5310"/>
    <w:rsid w:val="00602787"/>
    <w:rsid w:val="00624728"/>
    <w:rsid w:val="0063075A"/>
    <w:rsid w:val="006C416D"/>
    <w:rsid w:val="00851C13"/>
    <w:rsid w:val="00854B6F"/>
    <w:rsid w:val="00875B78"/>
    <w:rsid w:val="00875C09"/>
    <w:rsid w:val="00947463"/>
    <w:rsid w:val="00960AA9"/>
    <w:rsid w:val="00982F14"/>
    <w:rsid w:val="00A10C0C"/>
    <w:rsid w:val="00A621EC"/>
    <w:rsid w:val="00B50504"/>
    <w:rsid w:val="00B71DE9"/>
    <w:rsid w:val="00CF66E2"/>
    <w:rsid w:val="00D46FC3"/>
    <w:rsid w:val="00D61400"/>
    <w:rsid w:val="00D711D6"/>
    <w:rsid w:val="00E63A3C"/>
    <w:rsid w:val="00EA3B6A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D553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autoSpaceDE w:val="0"/>
      <w:autoSpaceDN w:val="0"/>
      <w:textAlignment w:val="baseline"/>
    </w:pPr>
    <w:rPr>
      <w:kern w:val="3"/>
      <w:sz w:val="24"/>
      <w:szCs w:val="24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3"/>
      <w:sz w:val="32"/>
      <w:szCs w:val="32"/>
      <w:rtl w:val="0"/>
      <w:cs w:val="0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Podtitul">
    <w:name w:val="Subtitle"/>
    <w:basedOn w:val="Nzov"/>
    <w:next w:val="Textbody"/>
    <w:link w:val="PodtitulChar"/>
    <w:uiPriority w:val="99"/>
    <w:qFormat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Times New Roman"/>
      <w:rtl w:val="0"/>
      <w:cs w:val="0"/>
    </w:rPr>
  </w:style>
  <w:style w:type="paragraph" w:styleId="Zoznam">
    <w:name w:val="List"/>
    <w:basedOn w:val="Textbodyuser"/>
    <w:uiPriority w:val="99"/>
    <w:rPr>
      <w:rFonts w:cs="Lucida Sans"/>
    </w:rPr>
  </w:style>
  <w:style w:type="paragraph" w:styleId="Popis">
    <w:name w:val="caption"/>
    <w:basedOn w:val="Standarduser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user"/>
    <w:uiPriority w:val="99"/>
    <w:rPr>
      <w:rFonts w:cs="Lucida Sans"/>
    </w:rPr>
  </w:style>
  <w:style w:type="paragraph" w:customStyle="1" w:styleId="Standarduser">
    <w:name w:val="Standard (user)"/>
    <w:uiPriority w:val="99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paragraph" w:customStyle="1" w:styleId="Textbodyuser">
    <w:name w:val="Text body (user)"/>
    <w:basedOn w:val="Standarduser"/>
    <w:uiPriority w:val="99"/>
    <w:pPr>
      <w:spacing w:after="120"/>
    </w:pPr>
  </w:style>
  <w:style w:type="paragraph" w:customStyle="1" w:styleId="TableContentsuser">
    <w:name w:val="Table Contents (user)"/>
    <w:basedOn w:val="Standarduser"/>
    <w:uiPriority w:val="99"/>
  </w:style>
  <w:style w:type="paragraph" w:customStyle="1" w:styleId="TableHeadinguser">
    <w:name w:val="Table Heading (user)"/>
    <w:basedOn w:val="TableContentsuser"/>
    <w:uiPriority w:val="99"/>
    <w:pPr>
      <w:jc w:val="center"/>
    </w:pPr>
    <w:rPr>
      <w:b/>
      <w:bCs/>
    </w:rPr>
  </w:style>
  <w:style w:type="paragraph" w:styleId="Normlnywebov">
    <w:name w:val="Normal (Web)"/>
    <w:basedOn w:val="Standarduser"/>
    <w:uiPriority w:val="99"/>
    <w:pPr>
      <w:autoSpaceDE/>
      <w:spacing w:before="280" w:after="280"/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Internetlinkuser">
    <w:name w:val="Internet link (user)"/>
    <w:uiPriority w:val="99"/>
    <w:rPr>
      <w:color w:val="000080"/>
      <w:u w:val="single"/>
    </w:rPr>
  </w:style>
  <w:style w:type="character" w:customStyle="1" w:styleId="NumberingSymbolsuser">
    <w:name w:val="Numbering Symbols (user)"/>
    <w:uiPriority w:val="99"/>
  </w:style>
  <w:style w:type="numbering" w:customStyle="1" w:styleId="RTFNum2">
    <w:name w:val="RTF_Num 2"/>
    <w:basedOn w:val="Bezzoznamu"/>
    <w:pPr>
      <w:numPr>
        <w:numId w:val="1"/>
      </w:numPr>
    </w:pPr>
  </w:style>
  <w:style w:type="paragraph" w:customStyle="1" w:styleId="Default">
    <w:name w:val="Default"/>
    <w:rsid w:val="00982F14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2F14"/>
    <w:rPr>
      <w:kern w:val="3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2F14"/>
    <w:rPr>
      <w:kern w:val="3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Kupka</dc:creator>
  <cp:lastModifiedBy>ADMIN</cp:lastModifiedBy>
  <cp:revision>5</cp:revision>
  <cp:lastPrinted>2016-10-17T21:58:00Z</cp:lastPrinted>
  <dcterms:created xsi:type="dcterms:W3CDTF">2017-05-26T09:36:00Z</dcterms:created>
  <dcterms:modified xsi:type="dcterms:W3CDTF">2021-05-26T08:11:00Z</dcterms:modified>
</cp:coreProperties>
</file>