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89D5E" w14:textId="77777777" w:rsidR="00023051" w:rsidRPr="00380774" w:rsidRDefault="00023051" w:rsidP="00023051">
      <w:pPr>
        <w:jc w:val="center"/>
        <w:rPr>
          <w:rFonts w:ascii="Book Antiqua" w:hAnsi="Book Antiqua" w:cs="Arial"/>
          <w:b/>
        </w:rPr>
      </w:pPr>
      <w:r>
        <w:rPr>
          <w:rFonts w:ascii="Book Antiqua" w:hAnsi="Book Antiqua" w:cs="Arial"/>
          <w:b/>
        </w:rPr>
        <w:t>D</w:t>
      </w:r>
      <w:r w:rsidRPr="00380774">
        <w:rPr>
          <w:rFonts w:ascii="Book Antiqua" w:hAnsi="Book Antiqua" w:cs="Arial"/>
          <w:b/>
        </w:rPr>
        <w:t>ôvodová správa</w:t>
      </w:r>
    </w:p>
    <w:p w14:paraId="15F9E31C" w14:textId="77777777" w:rsidR="00023051" w:rsidRPr="00430035" w:rsidRDefault="00023051" w:rsidP="00023051">
      <w:pPr>
        <w:numPr>
          <w:ilvl w:val="0"/>
          <w:numId w:val="1"/>
        </w:numPr>
        <w:ind w:left="270" w:hanging="180"/>
        <w:jc w:val="both"/>
        <w:rPr>
          <w:rFonts w:ascii="Book Antiqua" w:hAnsi="Book Antiqua" w:cs="Arial"/>
          <w:b/>
          <w:i/>
        </w:rPr>
      </w:pPr>
      <w:r w:rsidRPr="00430035">
        <w:rPr>
          <w:rFonts w:ascii="Book Antiqua" w:hAnsi="Book Antiqua" w:cs="Arial"/>
          <w:b/>
          <w:i/>
        </w:rPr>
        <w:t>Všeobecná časť</w:t>
      </w:r>
    </w:p>
    <w:p w14:paraId="2E8A7959" w14:textId="77777777" w:rsidR="00023051" w:rsidRPr="00AC7C7A" w:rsidRDefault="00A2524E" w:rsidP="00023051">
      <w:pPr>
        <w:ind w:left="360"/>
        <w:jc w:val="both"/>
        <w:rPr>
          <w:rFonts w:ascii="Book Antiqua" w:hAnsi="Book Antiqua" w:cs="Arial"/>
        </w:rPr>
      </w:pPr>
      <w:r>
        <w:rPr>
          <w:noProof/>
          <w:lang w:eastAsia="sk-SK"/>
        </w:rPr>
        <mc:AlternateContent>
          <mc:Choice Requires="wps">
            <w:drawing>
              <wp:anchor distT="4294967295" distB="4294967295" distL="114300" distR="114300" simplePos="0" relativeHeight="251660288" behindDoc="0" locked="0" layoutInCell="1" allowOverlap="1" wp14:anchorId="54385EB5" wp14:editId="11961FBF">
                <wp:simplePos x="0" y="0"/>
                <wp:positionH relativeFrom="column">
                  <wp:posOffset>-4445</wp:posOffset>
                </wp:positionH>
                <wp:positionV relativeFrom="paragraph">
                  <wp:posOffset>34924</wp:posOffset>
                </wp:positionV>
                <wp:extent cx="5778500" cy="0"/>
                <wp:effectExtent l="0" t="0" r="0" b="0"/>
                <wp:wrapNone/>
                <wp:docPr id="4"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A97CD" id="_x0000_t32" coordsize="21600,21600" o:spt="32" o:oned="t" path="m,l21600,21600e" filled="f">
                <v:path arrowok="t" fillok="f" o:connecttype="none"/>
                <o:lock v:ext="edit" shapetype="t"/>
              </v:shapetype>
              <v:shape id="Rovná spojovacia šípka 2" o:spid="_x0000_s1026" type="#_x0000_t32" style="position:absolute;margin-left:-.35pt;margin-top:2.75pt;width:4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"/>
            </w:pict>
          </mc:Fallback>
        </mc:AlternateContent>
      </w:r>
    </w:p>
    <w:p w14:paraId="115E0C73" w14:textId="7B2B27E0" w:rsidR="00D267B2" w:rsidRDefault="00D267B2" w:rsidP="00A07A2E">
      <w:pPr>
        <w:ind w:firstLine="708"/>
        <w:jc w:val="both"/>
        <w:rPr>
          <w:rFonts w:ascii="Book Antiqua" w:hAnsi="Book Antiqua" w:cs="Arial"/>
          <w:color w:val="000000" w:themeColor="text1"/>
        </w:rPr>
      </w:pPr>
      <w:r>
        <w:rPr>
          <w:rFonts w:ascii="Book Antiqua" w:hAnsi="Book Antiqua" w:cs="Arial"/>
        </w:rPr>
        <w:t>N</w:t>
      </w:r>
      <w:r w:rsidRPr="00AC7C7A">
        <w:rPr>
          <w:rFonts w:ascii="Book Antiqua" w:hAnsi="Book Antiqua" w:cs="Arial"/>
        </w:rPr>
        <w:t>ávrh</w:t>
      </w:r>
      <w:r>
        <w:rPr>
          <w:rFonts w:ascii="Book Antiqua" w:hAnsi="Book Antiqua" w:cs="Arial"/>
        </w:rPr>
        <w:t xml:space="preserve"> </w:t>
      </w:r>
      <w:r w:rsidRPr="00AC7C7A">
        <w:rPr>
          <w:rFonts w:ascii="Book Antiqua" w:hAnsi="Book Antiqua" w:cs="Arial"/>
        </w:rPr>
        <w:t>zákona, ktorým sa mení</w:t>
      </w:r>
      <w:r>
        <w:rPr>
          <w:rFonts w:ascii="Book Antiqua" w:hAnsi="Book Antiqua" w:cs="Arial"/>
        </w:rPr>
        <w:t xml:space="preserve"> a dopĺňa zákon </w:t>
      </w:r>
      <w:r w:rsidR="00A07A2E" w:rsidRPr="00A07A2E">
        <w:rPr>
          <w:rFonts w:ascii="Book Antiqua" w:hAnsi="Book Antiqua" w:cs="Arial"/>
          <w:bCs/>
        </w:rPr>
        <w:t xml:space="preserve">č. 85/2005 Z. z.  o politických stranách </w:t>
      </w:r>
      <w:r w:rsidR="00A07A2E" w:rsidRPr="00A07A2E">
        <w:rPr>
          <w:rFonts w:ascii="Book Antiqua" w:hAnsi="Book Antiqua" w:cs="Arial"/>
          <w:bCs/>
        </w:rPr>
        <w:br/>
        <w:t>a politických hnutiach v znení neskorších predpisov</w:t>
      </w:r>
      <w:r>
        <w:rPr>
          <w:rFonts w:ascii="Book Antiqua" w:hAnsi="Book Antiqua"/>
        </w:rPr>
        <w:t xml:space="preserve"> </w:t>
      </w:r>
      <w:r>
        <w:rPr>
          <w:rFonts w:ascii="Book Antiqua" w:hAnsi="Book Antiqua" w:cs="Arial"/>
        </w:rPr>
        <w:t xml:space="preserve">predkladajú </w:t>
      </w:r>
      <w:r w:rsidRPr="00AC7C7A">
        <w:rPr>
          <w:rFonts w:ascii="Book Antiqua" w:hAnsi="Book Antiqua" w:cs="Arial"/>
        </w:rPr>
        <w:t>do Nár</w:t>
      </w:r>
      <w:r>
        <w:rPr>
          <w:rFonts w:ascii="Book Antiqua" w:hAnsi="Book Antiqua" w:cs="Arial"/>
        </w:rPr>
        <w:t xml:space="preserve">odnej rady Slovenskej republiky </w:t>
      </w:r>
      <w:r w:rsidRPr="00D267B2">
        <w:rPr>
          <w:rFonts w:ascii="Book Antiqua" w:hAnsi="Book Antiqua" w:cs="Arial"/>
          <w:color w:val="000000" w:themeColor="text1"/>
        </w:rPr>
        <w:t xml:space="preserve">poslanci za politickú stranu Kotlebovci – Ľudová strana Naše Slovensko </w:t>
      </w:r>
      <w:r w:rsidR="00A07A2E">
        <w:rPr>
          <w:rFonts w:ascii="Book Antiqua" w:hAnsi="Book Antiqua" w:cs="Arial"/>
          <w:color w:val="000000" w:themeColor="text1"/>
        </w:rPr>
        <w:br/>
      </w:r>
      <w:r w:rsidRPr="00D267B2">
        <w:rPr>
          <w:rFonts w:ascii="Book Antiqua" w:hAnsi="Book Antiqua" w:cs="Arial"/>
          <w:color w:val="000000" w:themeColor="text1"/>
        </w:rPr>
        <w:t xml:space="preserve">Marian Kotleba, Rastislav Schlosár, </w:t>
      </w:r>
      <w:r w:rsidR="0025190F">
        <w:rPr>
          <w:rFonts w:ascii="Book Antiqua" w:hAnsi="Book Antiqua" w:cs="Arial"/>
          <w:color w:val="000000" w:themeColor="text1"/>
        </w:rPr>
        <w:t xml:space="preserve">Martin Beluský, </w:t>
      </w:r>
      <w:r w:rsidR="00A07A2E">
        <w:rPr>
          <w:rFonts w:ascii="Book Antiqua" w:hAnsi="Book Antiqua" w:cs="Arial"/>
          <w:color w:val="000000" w:themeColor="text1"/>
        </w:rPr>
        <w:t>Andrej Medvecký a Peter Krupa</w:t>
      </w:r>
      <w:r w:rsidRPr="00D267B2">
        <w:rPr>
          <w:rFonts w:ascii="Book Antiqua" w:hAnsi="Book Antiqua" w:cs="Arial"/>
          <w:color w:val="000000" w:themeColor="text1"/>
        </w:rPr>
        <w:t xml:space="preserve">. </w:t>
      </w:r>
    </w:p>
    <w:p w14:paraId="64833B66" w14:textId="598F3F19" w:rsidR="007774A2" w:rsidRDefault="007774A2" w:rsidP="007774A2">
      <w:pPr>
        <w:ind w:firstLine="708"/>
        <w:jc w:val="both"/>
        <w:rPr>
          <w:rFonts w:ascii="Book Antiqua" w:hAnsi="Book Antiqua" w:cs="Arial"/>
          <w:b/>
          <w:bCs/>
          <w:color w:val="000000" w:themeColor="text1"/>
        </w:rPr>
      </w:pPr>
      <w:r w:rsidRPr="007774A2">
        <w:rPr>
          <w:rFonts w:ascii="Book Antiqua" w:hAnsi="Book Antiqua" w:cs="Arial"/>
          <w:b/>
          <w:bCs/>
          <w:color w:val="000000" w:themeColor="text1"/>
        </w:rPr>
        <w:t xml:space="preserve">Cieľom legislatívneho návrhu je </w:t>
      </w:r>
      <w:r w:rsidR="00F21C8C">
        <w:rPr>
          <w:rFonts w:ascii="Book Antiqua" w:hAnsi="Book Antiqua" w:cs="Arial"/>
          <w:b/>
          <w:bCs/>
          <w:color w:val="000000" w:themeColor="text1"/>
        </w:rPr>
        <w:t xml:space="preserve">zníženie zaťaženia štátneho rozpočtu </w:t>
      </w:r>
      <w:r w:rsidR="00F21C8C">
        <w:rPr>
          <w:rFonts w:ascii="Book Antiqua" w:hAnsi="Book Antiqua" w:cs="Arial"/>
          <w:b/>
          <w:bCs/>
          <w:color w:val="000000" w:themeColor="text1"/>
        </w:rPr>
        <w:br/>
        <w:t>na financovanie politických strán a politických hnutí.</w:t>
      </w:r>
    </w:p>
    <w:p w14:paraId="6774825D" w14:textId="52F53E66" w:rsidR="00A96EFE" w:rsidRDefault="00A96EFE" w:rsidP="007774A2">
      <w:pPr>
        <w:ind w:firstLine="708"/>
        <w:jc w:val="both"/>
        <w:rPr>
          <w:rFonts w:ascii="Book Antiqua" w:hAnsi="Book Antiqua" w:cs="Arial"/>
          <w:bCs/>
          <w:color w:val="000000" w:themeColor="text1"/>
        </w:rPr>
      </w:pPr>
      <w:r>
        <w:rPr>
          <w:rFonts w:ascii="Book Antiqua" w:hAnsi="Book Antiqua" w:cs="Arial"/>
          <w:bCs/>
          <w:color w:val="000000" w:themeColor="text1"/>
        </w:rPr>
        <w:t>Podľa § 25 až § 28</w:t>
      </w:r>
      <w:r w:rsidR="00CC6613">
        <w:rPr>
          <w:rFonts w:ascii="Book Antiqua" w:hAnsi="Book Antiqua" w:cs="Arial"/>
          <w:bCs/>
          <w:color w:val="000000" w:themeColor="text1"/>
        </w:rPr>
        <w:t xml:space="preserve"> zákona č. </w:t>
      </w:r>
      <w:r w:rsidR="00CC6613" w:rsidRPr="00CC6613">
        <w:rPr>
          <w:rFonts w:ascii="Book Antiqua" w:hAnsi="Book Antiqua" w:cs="Arial"/>
          <w:bCs/>
          <w:color w:val="000000" w:themeColor="text1"/>
        </w:rPr>
        <w:t>85/2005</w:t>
      </w:r>
      <w:r w:rsidR="00CC6613">
        <w:rPr>
          <w:rFonts w:ascii="Book Antiqua" w:hAnsi="Book Antiqua" w:cs="Arial"/>
          <w:bCs/>
          <w:color w:val="000000" w:themeColor="text1"/>
        </w:rPr>
        <w:t xml:space="preserve"> </w:t>
      </w:r>
      <w:r w:rsidR="00CC6613" w:rsidRPr="00CC6613">
        <w:rPr>
          <w:rFonts w:ascii="Book Antiqua" w:hAnsi="Book Antiqua" w:cs="Arial"/>
          <w:bCs/>
          <w:color w:val="000000" w:themeColor="text1"/>
        </w:rPr>
        <w:t>o politických stranách a politických hnutiach</w:t>
      </w:r>
      <w:r w:rsidR="00CC6613">
        <w:rPr>
          <w:rFonts w:ascii="Book Antiqua" w:hAnsi="Book Antiqua" w:cs="Arial"/>
          <w:bCs/>
          <w:color w:val="000000" w:themeColor="text1"/>
        </w:rPr>
        <w:t xml:space="preserve"> majú politické strany, ktoré vo voľbách do Národnej rady Slovenskej republiky získali viac ako 3 % z celkového počtu odovzdaných platných hlasov, nárok na finančný príspevok vo forme:</w:t>
      </w:r>
    </w:p>
    <w:p w14:paraId="56419787" w14:textId="3CB5C082" w:rsidR="00CC6613" w:rsidRPr="00CC6613" w:rsidRDefault="00CC6613" w:rsidP="00CC6613">
      <w:pPr>
        <w:pStyle w:val="Odsekzoznamu"/>
        <w:numPr>
          <w:ilvl w:val="0"/>
          <w:numId w:val="2"/>
        </w:numPr>
        <w:jc w:val="both"/>
        <w:rPr>
          <w:rFonts w:ascii="Book Antiqua" w:hAnsi="Book Antiqua" w:cs="Arial"/>
          <w:bCs/>
          <w:color w:val="000000" w:themeColor="text1"/>
        </w:rPr>
      </w:pPr>
      <w:r w:rsidRPr="00CC6613">
        <w:rPr>
          <w:rFonts w:ascii="Book Antiqua" w:hAnsi="Book Antiqua" w:cs="Arial"/>
          <w:bCs/>
          <w:color w:val="000000" w:themeColor="text1"/>
        </w:rPr>
        <w:t>príspevku za hlasy získané vo voľbách,</w:t>
      </w:r>
    </w:p>
    <w:p w14:paraId="2FDA6F1E" w14:textId="08558A16" w:rsidR="00CC6613" w:rsidRPr="00CC6613" w:rsidRDefault="00CC6613" w:rsidP="00CC6613">
      <w:pPr>
        <w:pStyle w:val="Odsekzoznamu"/>
        <w:numPr>
          <w:ilvl w:val="0"/>
          <w:numId w:val="2"/>
        </w:numPr>
        <w:jc w:val="both"/>
        <w:rPr>
          <w:rFonts w:ascii="Book Antiqua" w:hAnsi="Book Antiqua" w:cs="Arial"/>
          <w:bCs/>
          <w:color w:val="000000" w:themeColor="text1"/>
        </w:rPr>
      </w:pPr>
      <w:r w:rsidRPr="00CC6613">
        <w:rPr>
          <w:rFonts w:ascii="Book Antiqua" w:hAnsi="Book Antiqua" w:cs="Arial"/>
          <w:bCs/>
          <w:color w:val="000000" w:themeColor="text1"/>
        </w:rPr>
        <w:t>príspevku na činnosť a</w:t>
      </w:r>
    </w:p>
    <w:p w14:paraId="2567B21D" w14:textId="708A68D9" w:rsidR="00CC6613" w:rsidRPr="00CC6613" w:rsidRDefault="00CC6613" w:rsidP="00CC6613">
      <w:pPr>
        <w:pStyle w:val="Odsekzoznamu"/>
        <w:numPr>
          <w:ilvl w:val="0"/>
          <w:numId w:val="2"/>
        </w:numPr>
        <w:jc w:val="both"/>
        <w:rPr>
          <w:rFonts w:ascii="Book Antiqua" w:hAnsi="Book Antiqua" w:cs="Arial"/>
          <w:bCs/>
          <w:color w:val="000000" w:themeColor="text1"/>
        </w:rPr>
      </w:pPr>
      <w:r w:rsidRPr="00CC6613">
        <w:rPr>
          <w:rFonts w:ascii="Book Antiqua" w:hAnsi="Book Antiqua" w:cs="Arial"/>
          <w:bCs/>
          <w:color w:val="000000" w:themeColor="text1"/>
        </w:rPr>
        <w:t>príspevku na mandát.</w:t>
      </w:r>
    </w:p>
    <w:p w14:paraId="07A10DC3" w14:textId="12E5FA33" w:rsidR="00F71646" w:rsidRDefault="00F71646" w:rsidP="00075BB4">
      <w:pPr>
        <w:ind w:firstLine="708"/>
        <w:jc w:val="both"/>
        <w:rPr>
          <w:rFonts w:ascii="Book Antiqua" w:hAnsi="Book Antiqua" w:cs="Arial"/>
          <w:bCs/>
          <w:color w:val="000000" w:themeColor="text1"/>
        </w:rPr>
      </w:pPr>
      <w:r w:rsidRPr="00F71646">
        <w:rPr>
          <w:rFonts w:ascii="Book Antiqua" w:hAnsi="Book Antiqua" w:cs="Arial"/>
          <w:bCs/>
          <w:color w:val="000000" w:themeColor="text1"/>
        </w:rPr>
        <w:t>Príspevok za hlasy</w:t>
      </w:r>
      <w:r w:rsidR="00075BB4">
        <w:rPr>
          <w:rFonts w:ascii="Book Antiqua" w:hAnsi="Book Antiqua" w:cs="Arial"/>
          <w:bCs/>
          <w:color w:val="000000" w:themeColor="text1"/>
        </w:rPr>
        <w:t xml:space="preserve"> a</w:t>
      </w:r>
      <w:r>
        <w:rPr>
          <w:rFonts w:ascii="Book Antiqua" w:hAnsi="Book Antiqua" w:cs="Arial"/>
          <w:bCs/>
          <w:color w:val="000000" w:themeColor="text1"/>
        </w:rPr>
        <w:t xml:space="preserve"> </w:t>
      </w:r>
      <w:r w:rsidR="00075BB4">
        <w:rPr>
          <w:rFonts w:ascii="Book Antiqua" w:hAnsi="Book Antiqua" w:cs="Arial"/>
          <w:bCs/>
          <w:color w:val="000000" w:themeColor="text1"/>
        </w:rPr>
        <w:t>p</w:t>
      </w:r>
      <w:r w:rsidRPr="00F71646">
        <w:rPr>
          <w:rFonts w:ascii="Book Antiqua" w:hAnsi="Book Antiqua" w:cs="Arial"/>
          <w:bCs/>
          <w:color w:val="000000" w:themeColor="text1"/>
        </w:rPr>
        <w:t>ríspevok na činnosť</w:t>
      </w:r>
      <w:r w:rsidR="00075BB4">
        <w:rPr>
          <w:rFonts w:ascii="Book Antiqua" w:hAnsi="Book Antiqua" w:cs="Arial"/>
          <w:bCs/>
          <w:color w:val="000000" w:themeColor="text1"/>
        </w:rPr>
        <w:t xml:space="preserve"> sa vyplácajú v rovnakej výške, a to stranám, ktoré</w:t>
      </w:r>
      <w:r w:rsidRPr="00F71646">
        <w:rPr>
          <w:rFonts w:ascii="Book Antiqua" w:hAnsi="Book Antiqua" w:cs="Arial"/>
          <w:bCs/>
          <w:color w:val="000000" w:themeColor="text1"/>
        </w:rPr>
        <w:t xml:space="preserve"> vo voľbách do Národnej r</w:t>
      </w:r>
      <w:r w:rsidR="00075BB4">
        <w:rPr>
          <w:rFonts w:ascii="Book Antiqua" w:hAnsi="Book Antiqua" w:cs="Arial"/>
          <w:bCs/>
          <w:color w:val="000000" w:themeColor="text1"/>
        </w:rPr>
        <w:t>ady Slovenskej republiky získali</w:t>
      </w:r>
      <w:r w:rsidRPr="00F71646">
        <w:rPr>
          <w:rFonts w:ascii="Book Antiqua" w:hAnsi="Book Antiqua" w:cs="Arial"/>
          <w:bCs/>
          <w:color w:val="000000" w:themeColor="text1"/>
        </w:rPr>
        <w:t xml:space="preserve"> viac ako 3 % z celkového poč</w:t>
      </w:r>
      <w:r w:rsidR="00075BB4">
        <w:rPr>
          <w:rFonts w:ascii="Book Antiqua" w:hAnsi="Book Antiqua" w:cs="Arial"/>
          <w:bCs/>
          <w:color w:val="000000" w:themeColor="text1"/>
        </w:rPr>
        <w:t>tu odovzdaných platných hlasov. M</w:t>
      </w:r>
      <w:r w:rsidRPr="00F71646">
        <w:rPr>
          <w:rFonts w:ascii="Book Antiqua" w:hAnsi="Book Antiqua" w:cs="Arial"/>
          <w:bCs/>
          <w:color w:val="000000" w:themeColor="text1"/>
        </w:rPr>
        <w:t xml:space="preserve">inisterstvo financií uhradí za každý taký hlas </w:t>
      </w:r>
      <w:r w:rsidR="00704E65">
        <w:rPr>
          <w:rFonts w:ascii="Book Antiqua" w:hAnsi="Book Antiqua" w:cs="Arial"/>
          <w:bCs/>
          <w:color w:val="000000" w:themeColor="text1"/>
        </w:rPr>
        <w:br/>
      </w:r>
      <w:r w:rsidRPr="00F71646">
        <w:rPr>
          <w:rFonts w:ascii="Book Antiqua" w:hAnsi="Book Antiqua" w:cs="Arial"/>
          <w:bCs/>
          <w:color w:val="000000" w:themeColor="text1"/>
        </w:rPr>
        <w:t xml:space="preserve">zo štátneho rozpočtu Slovenskej republiky príspevok vo výške 1 % z priemernej mesačnej nominálnej mzdy zamestnanca v hospodárstve Slovenskej republiky zverejnenej Štatistickým úradom Slovenskej republiky za kalendárny rok, ktorý predchádza kalendárnemu roku, </w:t>
      </w:r>
      <w:r w:rsidR="00704E65">
        <w:rPr>
          <w:rFonts w:ascii="Book Antiqua" w:hAnsi="Book Antiqua" w:cs="Arial"/>
          <w:bCs/>
          <w:color w:val="000000" w:themeColor="text1"/>
        </w:rPr>
        <w:br/>
      </w:r>
      <w:r w:rsidRPr="00F71646">
        <w:rPr>
          <w:rFonts w:ascii="Book Antiqua" w:hAnsi="Book Antiqua" w:cs="Arial"/>
          <w:bCs/>
          <w:color w:val="000000" w:themeColor="text1"/>
        </w:rPr>
        <w:t>v ktorom sa konajú voľby do Národnej rady Slovenskej republiky.</w:t>
      </w:r>
    </w:p>
    <w:p w14:paraId="7CAA1C14" w14:textId="11CFCF6A" w:rsidR="00F71646" w:rsidRDefault="00F71646" w:rsidP="00075BB4">
      <w:pPr>
        <w:ind w:firstLine="708"/>
        <w:jc w:val="both"/>
        <w:rPr>
          <w:rFonts w:ascii="Book Antiqua" w:hAnsi="Book Antiqua" w:cs="Arial"/>
          <w:bCs/>
          <w:color w:val="000000" w:themeColor="text1"/>
        </w:rPr>
      </w:pPr>
      <w:r w:rsidRPr="00F71646">
        <w:rPr>
          <w:rFonts w:ascii="Book Antiqua" w:hAnsi="Book Antiqua" w:cs="Arial"/>
          <w:bCs/>
          <w:color w:val="000000" w:themeColor="text1"/>
        </w:rPr>
        <w:t>Príspevok na mandát</w:t>
      </w:r>
      <w:r w:rsidR="00075BB4">
        <w:rPr>
          <w:rFonts w:ascii="Book Antiqua" w:hAnsi="Book Antiqua" w:cs="Arial"/>
          <w:bCs/>
          <w:color w:val="000000" w:themeColor="text1"/>
        </w:rPr>
        <w:t xml:space="preserve"> </w:t>
      </w:r>
      <w:r w:rsidRPr="00F71646">
        <w:rPr>
          <w:rFonts w:ascii="Book Antiqua" w:hAnsi="Book Antiqua" w:cs="Arial"/>
          <w:bCs/>
          <w:color w:val="000000" w:themeColor="text1"/>
        </w:rPr>
        <w:t xml:space="preserve">patrí </w:t>
      </w:r>
      <w:r w:rsidR="00075BB4">
        <w:rPr>
          <w:rFonts w:ascii="Book Antiqua" w:hAnsi="Book Antiqua" w:cs="Arial"/>
          <w:bCs/>
          <w:color w:val="000000" w:themeColor="text1"/>
        </w:rPr>
        <w:t xml:space="preserve">stranám </w:t>
      </w:r>
      <w:r w:rsidRPr="00F71646">
        <w:rPr>
          <w:rFonts w:ascii="Book Antiqua" w:hAnsi="Book Antiqua" w:cs="Arial"/>
          <w:bCs/>
          <w:color w:val="000000" w:themeColor="text1"/>
        </w:rPr>
        <w:t>podľa počtu získaných mandátov v Národnej rade Slovenskej republiky</w:t>
      </w:r>
      <w:r w:rsidR="00075BB4">
        <w:rPr>
          <w:rFonts w:ascii="Book Antiqua" w:hAnsi="Book Antiqua" w:cs="Arial"/>
          <w:bCs/>
          <w:color w:val="000000" w:themeColor="text1"/>
        </w:rPr>
        <w:t>.</w:t>
      </w:r>
      <w:r w:rsidRPr="00F71646">
        <w:rPr>
          <w:rFonts w:ascii="Book Antiqua" w:hAnsi="Book Antiqua" w:cs="Arial"/>
          <w:bCs/>
          <w:color w:val="000000" w:themeColor="text1"/>
        </w:rPr>
        <w:t xml:space="preserve"> </w:t>
      </w:r>
      <w:r w:rsidR="00075BB4">
        <w:rPr>
          <w:rFonts w:ascii="Book Antiqua" w:hAnsi="Book Antiqua" w:cs="Arial"/>
          <w:bCs/>
          <w:color w:val="000000" w:themeColor="text1"/>
        </w:rPr>
        <w:t>P</w:t>
      </w:r>
      <w:r w:rsidRPr="00F71646">
        <w:rPr>
          <w:rFonts w:ascii="Book Antiqua" w:hAnsi="Book Antiqua" w:cs="Arial"/>
          <w:bCs/>
          <w:color w:val="000000" w:themeColor="text1"/>
        </w:rPr>
        <w:t xml:space="preserve">ríspevok na mandát </w:t>
      </w:r>
      <w:r w:rsidR="00075BB4">
        <w:rPr>
          <w:rFonts w:ascii="Book Antiqua" w:hAnsi="Book Antiqua" w:cs="Arial"/>
          <w:bCs/>
          <w:color w:val="000000" w:themeColor="text1"/>
        </w:rPr>
        <w:t xml:space="preserve">je vyplatený </w:t>
      </w:r>
      <w:r w:rsidRPr="00F71646">
        <w:rPr>
          <w:rFonts w:ascii="Book Antiqua" w:hAnsi="Book Antiqua" w:cs="Arial"/>
          <w:bCs/>
          <w:color w:val="000000" w:themeColor="text1"/>
        </w:rPr>
        <w:t xml:space="preserve">v sume násobku priemernej nominálnej mesačnej mzdy v hospodárstve Slovenskej republiky zistenej Štatistickým úradom Slovenskej republiky za kalendárny rok predchádzajúci roku, v ktorom sa konali voľby. </w:t>
      </w:r>
      <w:r w:rsidR="00704E65">
        <w:rPr>
          <w:rFonts w:ascii="Book Antiqua" w:hAnsi="Book Antiqua" w:cs="Arial"/>
          <w:bCs/>
          <w:color w:val="000000" w:themeColor="text1"/>
        </w:rPr>
        <w:br/>
      </w:r>
      <w:r w:rsidRPr="00F71646">
        <w:rPr>
          <w:rFonts w:ascii="Book Antiqua" w:hAnsi="Book Antiqua" w:cs="Arial"/>
          <w:bCs/>
          <w:color w:val="000000" w:themeColor="text1"/>
        </w:rPr>
        <w:t>Za každý získaný mandát, a to najviac za dvadsať mandátov, patrí strane príspevok na mandát v sume tridsaťnásobku priemernej mzdy. Za dvadsiaty prvý mandát a každý ďalší mandát patrí strane príspevok na mandát v sume dvadsaťnásobku priemernej mzdy.</w:t>
      </w:r>
    </w:p>
    <w:p w14:paraId="26370677" w14:textId="149EAE63" w:rsidR="00B25A23" w:rsidRDefault="00B25A23" w:rsidP="00075BB4">
      <w:pPr>
        <w:ind w:firstLine="708"/>
        <w:jc w:val="both"/>
        <w:rPr>
          <w:rFonts w:ascii="Book Antiqua" w:hAnsi="Book Antiqua" w:cs="Arial"/>
          <w:bCs/>
          <w:color w:val="000000" w:themeColor="text1"/>
        </w:rPr>
      </w:pPr>
      <w:r>
        <w:rPr>
          <w:rFonts w:ascii="Book Antiqua" w:hAnsi="Book Antiqua" w:cs="Arial"/>
          <w:bCs/>
          <w:color w:val="000000" w:themeColor="text1"/>
        </w:rPr>
        <w:t>V minulých volebných obdobiach sa viaceré politické strany a politické hnutia snažili z pozície opozičnej strany presadiť úplne zrušenie financovania politických strán zo štátneho rozpočtu. Po zvolení týchto strán do koalície však z tohto sľubu upustili.</w:t>
      </w:r>
      <w:r w:rsidR="001757E3">
        <w:rPr>
          <w:rFonts w:ascii="Book Antiqua" w:hAnsi="Book Antiqua" w:cs="Arial"/>
          <w:bCs/>
          <w:color w:val="000000" w:themeColor="text1"/>
        </w:rPr>
        <w:t xml:space="preserve"> </w:t>
      </w:r>
      <w:r w:rsidR="00704E65">
        <w:rPr>
          <w:rFonts w:ascii="Book Antiqua" w:hAnsi="Book Antiqua" w:cs="Arial"/>
          <w:bCs/>
          <w:color w:val="000000" w:themeColor="text1"/>
        </w:rPr>
        <w:t>ĽS</w:t>
      </w:r>
      <w:r w:rsidR="001757E3">
        <w:rPr>
          <w:rFonts w:ascii="Book Antiqua" w:hAnsi="Book Antiqua" w:cs="Arial"/>
          <w:bCs/>
          <w:color w:val="000000" w:themeColor="text1"/>
        </w:rPr>
        <w:t xml:space="preserve"> Naše Slovensko preto do Národnej rade Slovenskej republiky prichádza s kompromisným návrhom, </w:t>
      </w:r>
      <w:r w:rsidR="00704E65">
        <w:rPr>
          <w:rFonts w:ascii="Book Antiqua" w:hAnsi="Book Antiqua" w:cs="Arial"/>
          <w:bCs/>
          <w:color w:val="000000" w:themeColor="text1"/>
        </w:rPr>
        <w:br/>
      </w:r>
      <w:r w:rsidR="001757E3">
        <w:rPr>
          <w:rFonts w:ascii="Book Antiqua" w:hAnsi="Book Antiqua" w:cs="Arial"/>
          <w:bCs/>
          <w:color w:val="000000" w:themeColor="text1"/>
        </w:rPr>
        <w:t>aby sa zmenil spôsob výpočtu príspevkov. Navrhujeme, aby sa výška príspevkov nepočítala v závislosti od priemernej mzdy, ale od minimálnej mzdy, čím dôjde k radikálnemu zníženiu výdavkov zo štátneho rozpočtu.</w:t>
      </w:r>
    </w:p>
    <w:p w14:paraId="58B97085" w14:textId="77777777" w:rsidR="001757E3" w:rsidRDefault="001757E3" w:rsidP="001757E3">
      <w:pPr>
        <w:ind w:firstLine="708"/>
        <w:jc w:val="both"/>
        <w:rPr>
          <w:rFonts w:ascii="Book Antiqua" w:hAnsi="Book Antiqua" w:cs="Arial"/>
          <w:color w:val="000000" w:themeColor="text1"/>
        </w:rPr>
      </w:pPr>
      <w:r w:rsidRPr="007774A2">
        <w:rPr>
          <w:rFonts w:ascii="Book Antiqua" w:hAnsi="Book Antiqua" w:cs="Arial"/>
          <w:color w:val="000000" w:themeColor="text1"/>
        </w:rPr>
        <w:t>Pri zohľadnení stavu verejných financií, zdravotníctva, školstva a mnohých ďalších rezortov je nemorálne, aby sa zo štátneho rozpočtu naďalej zákonom dotovala činnosť politických strán</w:t>
      </w:r>
      <w:r>
        <w:rPr>
          <w:rFonts w:ascii="Book Antiqua" w:hAnsi="Book Antiqua" w:cs="Arial"/>
          <w:color w:val="000000" w:themeColor="text1"/>
        </w:rPr>
        <w:t xml:space="preserve"> v takom vysokom rozsahu, ako doteraz. </w:t>
      </w:r>
    </w:p>
    <w:p w14:paraId="1DBFA6D1" w14:textId="33037F47" w:rsidR="00795DA3" w:rsidRPr="003F1D03" w:rsidRDefault="00DC251B" w:rsidP="003F1D03">
      <w:pPr>
        <w:ind w:firstLine="708"/>
        <w:jc w:val="both"/>
        <w:rPr>
          <w:rFonts w:ascii="Book Antiqua" w:hAnsi="Book Antiqua" w:cs="Arial"/>
          <w:color w:val="000000" w:themeColor="text1"/>
        </w:rPr>
      </w:pPr>
      <w:r>
        <w:rPr>
          <w:rFonts w:ascii="Book Antiqua" w:hAnsi="Book Antiqua" w:cs="Arial"/>
          <w:color w:val="000000" w:themeColor="text1"/>
        </w:rPr>
        <w:lastRenderedPageBreak/>
        <w:t>P</w:t>
      </w:r>
      <w:r w:rsidR="003F1D03">
        <w:rPr>
          <w:rFonts w:ascii="Book Antiqua" w:hAnsi="Book Antiqua" w:cs="Arial"/>
          <w:color w:val="000000" w:themeColor="text1"/>
        </w:rPr>
        <w:t>ríspevky pre politické strany</w:t>
      </w:r>
      <w:r>
        <w:rPr>
          <w:rFonts w:ascii="Book Antiqua" w:hAnsi="Book Antiqua" w:cs="Arial"/>
          <w:color w:val="000000" w:themeColor="text1"/>
        </w:rPr>
        <w:t xml:space="preserve"> po každých voľbách do Národnej rady Slovenskej republiky</w:t>
      </w:r>
      <w:r w:rsidR="003F1D03">
        <w:rPr>
          <w:rFonts w:ascii="Book Antiqua" w:hAnsi="Book Antiqua" w:cs="Arial"/>
          <w:color w:val="000000" w:themeColor="text1"/>
        </w:rPr>
        <w:t>, vzhľadom na zvyšujúcu sa priemernú mzdu,</w:t>
      </w:r>
      <w:r>
        <w:rPr>
          <w:rFonts w:ascii="Book Antiqua" w:hAnsi="Book Antiqua" w:cs="Arial"/>
          <w:color w:val="000000" w:themeColor="text1"/>
        </w:rPr>
        <w:t xml:space="preserve"> </w:t>
      </w:r>
      <w:r w:rsidR="003F1D03">
        <w:rPr>
          <w:rFonts w:ascii="Book Antiqua" w:hAnsi="Book Antiqua" w:cs="Arial"/>
          <w:color w:val="000000" w:themeColor="text1"/>
        </w:rPr>
        <w:t>rastú</w:t>
      </w:r>
      <w:r>
        <w:rPr>
          <w:rFonts w:ascii="Book Antiqua" w:hAnsi="Book Antiqua" w:cs="Arial"/>
          <w:color w:val="000000" w:themeColor="text1"/>
        </w:rPr>
        <w:t>. V roku 2010 vznikol stranám nárok v celkovej výške takmer 38 mil. €, po voľbách v roku 2020 tento nárok predstavoval už 63 mil. €.</w:t>
      </w:r>
      <w:r w:rsidR="003F1D03">
        <w:rPr>
          <w:rFonts w:ascii="Book Antiqua" w:hAnsi="Book Antiqua" w:cs="Arial"/>
          <w:color w:val="000000" w:themeColor="text1"/>
        </w:rPr>
        <w:t xml:space="preserve"> Ak by sa príspevky počítali v závislosti od minimálnej mzdy, štátny rozpočet by ušetril zhruba polovicu zdrojov daňových poplatníkov. Podrobnosti je možné vidieť v tabuľke:</w:t>
      </w:r>
    </w:p>
    <w:tbl>
      <w:tblPr>
        <w:tblW w:w="8789" w:type="dxa"/>
        <w:tblInd w:w="-5" w:type="dxa"/>
        <w:tblCellMar>
          <w:left w:w="70" w:type="dxa"/>
          <w:right w:w="70" w:type="dxa"/>
        </w:tblCellMar>
        <w:tblLook w:val="04A0" w:firstRow="1" w:lastRow="0" w:firstColumn="1" w:lastColumn="0" w:noHBand="0" w:noVBand="1"/>
      </w:tblPr>
      <w:tblGrid>
        <w:gridCol w:w="1985"/>
        <w:gridCol w:w="1701"/>
        <w:gridCol w:w="1640"/>
        <w:gridCol w:w="1660"/>
        <w:gridCol w:w="1803"/>
      </w:tblGrid>
      <w:tr w:rsidR="00795DA3" w:rsidRPr="00F87688" w14:paraId="53BBDA49" w14:textId="77777777" w:rsidTr="00E1246E">
        <w:trPr>
          <w:trHeight w:val="300"/>
        </w:trPr>
        <w:tc>
          <w:tcPr>
            <w:tcW w:w="1985"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C6F677B" w14:textId="77777777" w:rsidR="00795DA3" w:rsidRPr="00F87688" w:rsidRDefault="00795DA3" w:rsidP="00E1246E">
            <w:pPr>
              <w:suppressAutoHyphens w:val="0"/>
              <w:spacing w:after="0" w:line="240" w:lineRule="auto"/>
              <w:jc w:val="center"/>
              <w:rPr>
                <w:rFonts w:cs="Calibri"/>
                <w:b/>
                <w:bCs/>
                <w:color w:val="000000"/>
                <w:sz w:val="20"/>
                <w:lang w:eastAsia="sk-SK"/>
              </w:rPr>
            </w:pPr>
            <w:r w:rsidRPr="00F87688">
              <w:rPr>
                <w:rFonts w:cs="Calibri"/>
                <w:b/>
                <w:bCs/>
                <w:color w:val="000000"/>
                <w:sz w:val="20"/>
                <w:lang w:eastAsia="sk-SK"/>
              </w:rPr>
              <w:t>Voľby</w:t>
            </w:r>
          </w:p>
        </w:tc>
        <w:tc>
          <w:tcPr>
            <w:tcW w:w="1701" w:type="dxa"/>
            <w:tcBorders>
              <w:top w:val="single" w:sz="4" w:space="0" w:color="auto"/>
              <w:left w:val="nil"/>
              <w:bottom w:val="single" w:sz="4" w:space="0" w:color="auto"/>
              <w:right w:val="single" w:sz="4" w:space="0" w:color="auto"/>
            </w:tcBorders>
            <w:shd w:val="clear" w:color="000000" w:fill="C6E0B4"/>
            <w:noWrap/>
            <w:vAlign w:val="bottom"/>
            <w:hideMark/>
          </w:tcPr>
          <w:p w14:paraId="38E1C56E" w14:textId="622B379E" w:rsidR="00795DA3" w:rsidRPr="00F87688" w:rsidRDefault="00795DA3" w:rsidP="00E1246E">
            <w:pPr>
              <w:suppressAutoHyphens w:val="0"/>
              <w:spacing w:after="0" w:line="240" w:lineRule="auto"/>
              <w:jc w:val="center"/>
              <w:rPr>
                <w:rFonts w:cs="Calibri"/>
                <w:b/>
                <w:bCs/>
                <w:color w:val="000000"/>
                <w:sz w:val="20"/>
                <w:lang w:eastAsia="sk-SK"/>
              </w:rPr>
            </w:pPr>
            <w:r w:rsidRPr="00F87688">
              <w:rPr>
                <w:rFonts w:cs="Calibri"/>
                <w:b/>
                <w:bCs/>
                <w:color w:val="000000"/>
                <w:sz w:val="20"/>
                <w:lang w:eastAsia="sk-SK"/>
              </w:rPr>
              <w:t>2010</w:t>
            </w:r>
          </w:p>
        </w:tc>
        <w:tc>
          <w:tcPr>
            <w:tcW w:w="1640" w:type="dxa"/>
            <w:tcBorders>
              <w:top w:val="single" w:sz="4" w:space="0" w:color="auto"/>
              <w:left w:val="nil"/>
              <w:bottom w:val="single" w:sz="4" w:space="0" w:color="auto"/>
              <w:right w:val="single" w:sz="4" w:space="0" w:color="auto"/>
            </w:tcBorders>
            <w:shd w:val="clear" w:color="000000" w:fill="C6E0B4"/>
            <w:noWrap/>
            <w:vAlign w:val="bottom"/>
            <w:hideMark/>
          </w:tcPr>
          <w:p w14:paraId="485FEE71" w14:textId="77777777" w:rsidR="00795DA3" w:rsidRPr="00F87688" w:rsidRDefault="00795DA3" w:rsidP="00E1246E">
            <w:pPr>
              <w:suppressAutoHyphens w:val="0"/>
              <w:spacing w:after="0" w:line="240" w:lineRule="auto"/>
              <w:jc w:val="center"/>
              <w:rPr>
                <w:rFonts w:cs="Calibri"/>
                <w:b/>
                <w:bCs/>
                <w:color w:val="000000"/>
                <w:sz w:val="20"/>
                <w:lang w:eastAsia="sk-SK"/>
              </w:rPr>
            </w:pPr>
            <w:r w:rsidRPr="00F87688">
              <w:rPr>
                <w:rFonts w:cs="Calibri"/>
                <w:b/>
                <w:bCs/>
                <w:color w:val="000000"/>
                <w:sz w:val="20"/>
                <w:lang w:eastAsia="sk-SK"/>
              </w:rPr>
              <w:t>2012</w:t>
            </w:r>
          </w:p>
        </w:tc>
        <w:tc>
          <w:tcPr>
            <w:tcW w:w="1660" w:type="dxa"/>
            <w:tcBorders>
              <w:top w:val="single" w:sz="4" w:space="0" w:color="auto"/>
              <w:left w:val="nil"/>
              <w:bottom w:val="single" w:sz="4" w:space="0" w:color="auto"/>
              <w:right w:val="single" w:sz="4" w:space="0" w:color="auto"/>
            </w:tcBorders>
            <w:shd w:val="clear" w:color="000000" w:fill="C6E0B4"/>
            <w:noWrap/>
            <w:vAlign w:val="bottom"/>
            <w:hideMark/>
          </w:tcPr>
          <w:p w14:paraId="234B4AF5" w14:textId="77777777" w:rsidR="00795DA3" w:rsidRPr="00F87688" w:rsidRDefault="00795DA3" w:rsidP="00E1246E">
            <w:pPr>
              <w:suppressAutoHyphens w:val="0"/>
              <w:spacing w:after="0" w:line="240" w:lineRule="auto"/>
              <w:jc w:val="center"/>
              <w:rPr>
                <w:rFonts w:cs="Calibri"/>
                <w:b/>
                <w:bCs/>
                <w:color w:val="000000"/>
                <w:sz w:val="20"/>
                <w:lang w:eastAsia="sk-SK"/>
              </w:rPr>
            </w:pPr>
            <w:r w:rsidRPr="00F87688">
              <w:rPr>
                <w:rFonts w:cs="Calibri"/>
                <w:b/>
                <w:bCs/>
                <w:color w:val="000000"/>
                <w:sz w:val="20"/>
                <w:lang w:eastAsia="sk-SK"/>
              </w:rPr>
              <w:t>2016</w:t>
            </w:r>
          </w:p>
        </w:tc>
        <w:tc>
          <w:tcPr>
            <w:tcW w:w="1803" w:type="dxa"/>
            <w:tcBorders>
              <w:top w:val="single" w:sz="4" w:space="0" w:color="auto"/>
              <w:left w:val="nil"/>
              <w:bottom w:val="single" w:sz="4" w:space="0" w:color="auto"/>
              <w:right w:val="single" w:sz="4" w:space="0" w:color="auto"/>
            </w:tcBorders>
            <w:shd w:val="clear" w:color="000000" w:fill="C6E0B4"/>
            <w:noWrap/>
            <w:vAlign w:val="bottom"/>
            <w:hideMark/>
          </w:tcPr>
          <w:p w14:paraId="1A874DAE" w14:textId="77777777" w:rsidR="00795DA3" w:rsidRPr="00F87688" w:rsidRDefault="00795DA3" w:rsidP="00E1246E">
            <w:pPr>
              <w:suppressAutoHyphens w:val="0"/>
              <w:spacing w:after="0" w:line="240" w:lineRule="auto"/>
              <w:jc w:val="center"/>
              <w:rPr>
                <w:rFonts w:cs="Calibri"/>
                <w:b/>
                <w:bCs/>
                <w:color w:val="000000"/>
                <w:sz w:val="20"/>
                <w:lang w:eastAsia="sk-SK"/>
              </w:rPr>
            </w:pPr>
            <w:r w:rsidRPr="00F87688">
              <w:rPr>
                <w:rFonts w:cs="Calibri"/>
                <w:b/>
                <w:bCs/>
                <w:color w:val="000000"/>
                <w:sz w:val="20"/>
                <w:lang w:eastAsia="sk-SK"/>
              </w:rPr>
              <w:t>2020</w:t>
            </w:r>
          </w:p>
        </w:tc>
      </w:tr>
      <w:tr w:rsidR="00795DA3" w:rsidRPr="00F87688" w14:paraId="6923F701" w14:textId="77777777" w:rsidTr="00E1246E">
        <w:trPr>
          <w:trHeight w:val="300"/>
        </w:trPr>
        <w:tc>
          <w:tcPr>
            <w:tcW w:w="1985" w:type="dxa"/>
            <w:tcBorders>
              <w:top w:val="nil"/>
              <w:left w:val="single" w:sz="4" w:space="0" w:color="auto"/>
              <w:bottom w:val="single" w:sz="4" w:space="0" w:color="auto"/>
              <w:right w:val="single" w:sz="4" w:space="0" w:color="auto"/>
            </w:tcBorders>
            <w:shd w:val="clear" w:color="000000" w:fill="F8CBAD"/>
            <w:noWrap/>
            <w:vAlign w:val="bottom"/>
            <w:hideMark/>
          </w:tcPr>
          <w:p w14:paraId="68B206B2"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Priemerná mzda*</w:t>
            </w:r>
          </w:p>
        </w:tc>
        <w:tc>
          <w:tcPr>
            <w:tcW w:w="1701" w:type="dxa"/>
            <w:tcBorders>
              <w:top w:val="nil"/>
              <w:left w:val="nil"/>
              <w:bottom w:val="single" w:sz="4" w:space="0" w:color="auto"/>
              <w:right w:val="single" w:sz="4" w:space="0" w:color="auto"/>
            </w:tcBorders>
            <w:shd w:val="clear" w:color="000000" w:fill="F8CBAD"/>
            <w:noWrap/>
            <w:vAlign w:val="bottom"/>
            <w:hideMark/>
          </w:tcPr>
          <w:p w14:paraId="10B7D540"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745 € </w:t>
            </w:r>
          </w:p>
        </w:tc>
        <w:tc>
          <w:tcPr>
            <w:tcW w:w="1640" w:type="dxa"/>
            <w:tcBorders>
              <w:top w:val="nil"/>
              <w:left w:val="nil"/>
              <w:bottom w:val="single" w:sz="4" w:space="0" w:color="auto"/>
              <w:right w:val="single" w:sz="4" w:space="0" w:color="auto"/>
            </w:tcBorders>
            <w:shd w:val="clear" w:color="000000" w:fill="F8CBAD"/>
            <w:noWrap/>
            <w:vAlign w:val="bottom"/>
            <w:hideMark/>
          </w:tcPr>
          <w:p w14:paraId="777CB204"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786 € </w:t>
            </w:r>
          </w:p>
        </w:tc>
        <w:tc>
          <w:tcPr>
            <w:tcW w:w="1660" w:type="dxa"/>
            <w:tcBorders>
              <w:top w:val="nil"/>
              <w:left w:val="nil"/>
              <w:bottom w:val="single" w:sz="4" w:space="0" w:color="auto"/>
              <w:right w:val="single" w:sz="4" w:space="0" w:color="auto"/>
            </w:tcBorders>
            <w:shd w:val="clear" w:color="000000" w:fill="F8CBAD"/>
            <w:noWrap/>
            <w:vAlign w:val="bottom"/>
            <w:hideMark/>
          </w:tcPr>
          <w:p w14:paraId="05C64562"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883 € </w:t>
            </w:r>
          </w:p>
        </w:tc>
        <w:tc>
          <w:tcPr>
            <w:tcW w:w="1803" w:type="dxa"/>
            <w:tcBorders>
              <w:top w:val="nil"/>
              <w:left w:val="nil"/>
              <w:bottom w:val="single" w:sz="4" w:space="0" w:color="auto"/>
              <w:right w:val="single" w:sz="4" w:space="0" w:color="auto"/>
            </w:tcBorders>
            <w:shd w:val="clear" w:color="000000" w:fill="F8CBAD"/>
            <w:noWrap/>
            <w:vAlign w:val="bottom"/>
            <w:hideMark/>
          </w:tcPr>
          <w:p w14:paraId="226072E1"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1 092 € </w:t>
            </w:r>
          </w:p>
        </w:tc>
      </w:tr>
      <w:tr w:rsidR="00795DA3" w:rsidRPr="00F87688" w14:paraId="7CB12747" w14:textId="77777777" w:rsidTr="00E1246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3C7D654"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Príspevok za hlasy</w:t>
            </w:r>
          </w:p>
        </w:tc>
        <w:tc>
          <w:tcPr>
            <w:tcW w:w="1701" w:type="dxa"/>
            <w:tcBorders>
              <w:top w:val="nil"/>
              <w:left w:val="nil"/>
              <w:bottom w:val="single" w:sz="4" w:space="0" w:color="auto"/>
              <w:right w:val="single" w:sz="4" w:space="0" w:color="auto"/>
            </w:tcBorders>
            <w:shd w:val="clear" w:color="auto" w:fill="auto"/>
            <w:noWrap/>
            <w:vAlign w:val="bottom"/>
            <w:hideMark/>
          </w:tcPr>
          <w:p w14:paraId="44761CBF"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17 480 240,45 € </w:t>
            </w:r>
          </w:p>
        </w:tc>
        <w:tc>
          <w:tcPr>
            <w:tcW w:w="1640" w:type="dxa"/>
            <w:tcBorders>
              <w:top w:val="nil"/>
              <w:left w:val="nil"/>
              <w:bottom w:val="single" w:sz="4" w:space="0" w:color="auto"/>
              <w:right w:val="single" w:sz="4" w:space="0" w:color="auto"/>
            </w:tcBorders>
            <w:shd w:val="clear" w:color="auto" w:fill="auto"/>
            <w:noWrap/>
            <w:vAlign w:val="bottom"/>
            <w:hideMark/>
          </w:tcPr>
          <w:p w14:paraId="0239A920"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16 251 666,12 € </w:t>
            </w:r>
          </w:p>
        </w:tc>
        <w:tc>
          <w:tcPr>
            <w:tcW w:w="1660" w:type="dxa"/>
            <w:tcBorders>
              <w:top w:val="nil"/>
              <w:left w:val="nil"/>
              <w:bottom w:val="single" w:sz="4" w:space="0" w:color="auto"/>
              <w:right w:val="single" w:sz="4" w:space="0" w:color="auto"/>
            </w:tcBorders>
            <w:shd w:val="clear" w:color="auto" w:fill="auto"/>
            <w:noWrap/>
            <w:vAlign w:val="bottom"/>
            <w:hideMark/>
          </w:tcPr>
          <w:p w14:paraId="7919ED04"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22 065 075,08 € </w:t>
            </w:r>
          </w:p>
        </w:tc>
        <w:tc>
          <w:tcPr>
            <w:tcW w:w="1803" w:type="dxa"/>
            <w:tcBorders>
              <w:top w:val="nil"/>
              <w:left w:val="nil"/>
              <w:bottom w:val="single" w:sz="4" w:space="0" w:color="auto"/>
              <w:right w:val="single" w:sz="4" w:space="0" w:color="auto"/>
            </w:tcBorders>
            <w:shd w:val="clear" w:color="auto" w:fill="auto"/>
            <w:noWrap/>
            <w:vAlign w:val="bottom"/>
            <w:hideMark/>
          </w:tcPr>
          <w:p w14:paraId="72A69BBA"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29 353 309,44 € </w:t>
            </w:r>
          </w:p>
        </w:tc>
      </w:tr>
      <w:tr w:rsidR="00795DA3" w:rsidRPr="00F87688" w14:paraId="1EEB846A" w14:textId="77777777" w:rsidTr="00E1246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3CC09C"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Príspevok na činnosť</w:t>
            </w:r>
          </w:p>
        </w:tc>
        <w:tc>
          <w:tcPr>
            <w:tcW w:w="1701" w:type="dxa"/>
            <w:tcBorders>
              <w:top w:val="nil"/>
              <w:left w:val="nil"/>
              <w:bottom w:val="single" w:sz="4" w:space="0" w:color="auto"/>
              <w:right w:val="single" w:sz="4" w:space="0" w:color="auto"/>
            </w:tcBorders>
            <w:shd w:val="clear" w:color="auto" w:fill="auto"/>
            <w:noWrap/>
            <w:vAlign w:val="bottom"/>
            <w:hideMark/>
          </w:tcPr>
          <w:p w14:paraId="3CB5F737"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17 480 240,45 € </w:t>
            </w:r>
          </w:p>
        </w:tc>
        <w:tc>
          <w:tcPr>
            <w:tcW w:w="1640" w:type="dxa"/>
            <w:tcBorders>
              <w:top w:val="nil"/>
              <w:left w:val="nil"/>
              <w:bottom w:val="single" w:sz="4" w:space="0" w:color="auto"/>
              <w:right w:val="single" w:sz="4" w:space="0" w:color="auto"/>
            </w:tcBorders>
            <w:shd w:val="clear" w:color="auto" w:fill="auto"/>
            <w:noWrap/>
            <w:vAlign w:val="bottom"/>
            <w:hideMark/>
          </w:tcPr>
          <w:p w14:paraId="2BD9CAF4"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16 251 666,12 € </w:t>
            </w:r>
          </w:p>
        </w:tc>
        <w:tc>
          <w:tcPr>
            <w:tcW w:w="1660" w:type="dxa"/>
            <w:tcBorders>
              <w:top w:val="nil"/>
              <w:left w:val="nil"/>
              <w:bottom w:val="single" w:sz="4" w:space="0" w:color="auto"/>
              <w:right w:val="single" w:sz="4" w:space="0" w:color="auto"/>
            </w:tcBorders>
            <w:shd w:val="clear" w:color="auto" w:fill="auto"/>
            <w:noWrap/>
            <w:vAlign w:val="bottom"/>
            <w:hideMark/>
          </w:tcPr>
          <w:p w14:paraId="5D4BC18A"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22 065 075,08 € </w:t>
            </w:r>
          </w:p>
        </w:tc>
        <w:tc>
          <w:tcPr>
            <w:tcW w:w="1803" w:type="dxa"/>
            <w:tcBorders>
              <w:top w:val="nil"/>
              <w:left w:val="nil"/>
              <w:bottom w:val="single" w:sz="4" w:space="0" w:color="auto"/>
              <w:right w:val="single" w:sz="4" w:space="0" w:color="auto"/>
            </w:tcBorders>
            <w:shd w:val="clear" w:color="auto" w:fill="auto"/>
            <w:noWrap/>
            <w:vAlign w:val="bottom"/>
            <w:hideMark/>
          </w:tcPr>
          <w:p w14:paraId="3E4CAF3D"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29 353 309,44 € </w:t>
            </w:r>
          </w:p>
        </w:tc>
      </w:tr>
      <w:tr w:rsidR="00795DA3" w:rsidRPr="00F87688" w14:paraId="26061773" w14:textId="77777777" w:rsidTr="00E1246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439466"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Príspevok na mandát</w:t>
            </w:r>
          </w:p>
        </w:tc>
        <w:tc>
          <w:tcPr>
            <w:tcW w:w="1701" w:type="dxa"/>
            <w:tcBorders>
              <w:top w:val="nil"/>
              <w:left w:val="nil"/>
              <w:bottom w:val="single" w:sz="4" w:space="0" w:color="auto"/>
              <w:right w:val="single" w:sz="4" w:space="0" w:color="auto"/>
            </w:tcBorders>
            <w:shd w:val="clear" w:color="auto" w:fill="auto"/>
            <w:noWrap/>
            <w:vAlign w:val="bottom"/>
            <w:hideMark/>
          </w:tcPr>
          <w:p w14:paraId="57A0E83E"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2 965 100,00 € </w:t>
            </w:r>
          </w:p>
        </w:tc>
        <w:tc>
          <w:tcPr>
            <w:tcW w:w="1640" w:type="dxa"/>
            <w:tcBorders>
              <w:top w:val="nil"/>
              <w:left w:val="nil"/>
              <w:bottom w:val="single" w:sz="4" w:space="0" w:color="auto"/>
              <w:right w:val="single" w:sz="4" w:space="0" w:color="auto"/>
            </w:tcBorders>
            <w:shd w:val="clear" w:color="auto" w:fill="auto"/>
            <w:noWrap/>
            <w:vAlign w:val="bottom"/>
            <w:hideMark/>
          </w:tcPr>
          <w:p w14:paraId="52FA6E89"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3 041 820,00 € </w:t>
            </w:r>
          </w:p>
        </w:tc>
        <w:tc>
          <w:tcPr>
            <w:tcW w:w="1660" w:type="dxa"/>
            <w:tcBorders>
              <w:top w:val="nil"/>
              <w:left w:val="nil"/>
              <w:bottom w:val="single" w:sz="4" w:space="0" w:color="auto"/>
              <w:right w:val="single" w:sz="4" w:space="0" w:color="auto"/>
            </w:tcBorders>
            <w:shd w:val="clear" w:color="auto" w:fill="auto"/>
            <w:noWrap/>
            <w:vAlign w:val="bottom"/>
            <w:hideMark/>
          </w:tcPr>
          <w:p w14:paraId="6C6F59B4"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3 708 600,00 € </w:t>
            </w:r>
          </w:p>
        </w:tc>
        <w:tc>
          <w:tcPr>
            <w:tcW w:w="1803" w:type="dxa"/>
            <w:tcBorders>
              <w:top w:val="nil"/>
              <w:left w:val="nil"/>
              <w:bottom w:val="single" w:sz="4" w:space="0" w:color="auto"/>
              <w:right w:val="single" w:sz="4" w:space="0" w:color="auto"/>
            </w:tcBorders>
            <w:shd w:val="clear" w:color="auto" w:fill="auto"/>
            <w:noWrap/>
            <w:vAlign w:val="bottom"/>
            <w:hideMark/>
          </w:tcPr>
          <w:p w14:paraId="06D149BA"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4 357 080,00 € </w:t>
            </w:r>
          </w:p>
        </w:tc>
      </w:tr>
      <w:tr w:rsidR="00795DA3" w:rsidRPr="00F87688" w14:paraId="0B8B202F" w14:textId="77777777" w:rsidTr="00E1246E">
        <w:trPr>
          <w:trHeight w:val="300"/>
        </w:trPr>
        <w:tc>
          <w:tcPr>
            <w:tcW w:w="1985" w:type="dxa"/>
            <w:tcBorders>
              <w:top w:val="nil"/>
              <w:left w:val="single" w:sz="4" w:space="0" w:color="auto"/>
              <w:bottom w:val="single" w:sz="4" w:space="0" w:color="auto"/>
              <w:right w:val="single" w:sz="4" w:space="0" w:color="auto"/>
            </w:tcBorders>
            <w:shd w:val="clear" w:color="000000" w:fill="C6E0B4"/>
            <w:noWrap/>
            <w:vAlign w:val="bottom"/>
            <w:hideMark/>
          </w:tcPr>
          <w:p w14:paraId="52BE5711"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Spolu</w:t>
            </w:r>
          </w:p>
        </w:tc>
        <w:tc>
          <w:tcPr>
            <w:tcW w:w="1701" w:type="dxa"/>
            <w:tcBorders>
              <w:top w:val="nil"/>
              <w:left w:val="nil"/>
              <w:bottom w:val="single" w:sz="4" w:space="0" w:color="auto"/>
              <w:right w:val="single" w:sz="4" w:space="0" w:color="auto"/>
            </w:tcBorders>
            <w:shd w:val="clear" w:color="000000" w:fill="C6E0B4"/>
            <w:noWrap/>
            <w:vAlign w:val="bottom"/>
            <w:hideMark/>
          </w:tcPr>
          <w:p w14:paraId="6B1EFB2B"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37 925 580,90 € </w:t>
            </w:r>
          </w:p>
        </w:tc>
        <w:tc>
          <w:tcPr>
            <w:tcW w:w="1640" w:type="dxa"/>
            <w:tcBorders>
              <w:top w:val="nil"/>
              <w:left w:val="nil"/>
              <w:bottom w:val="single" w:sz="4" w:space="0" w:color="auto"/>
              <w:right w:val="single" w:sz="4" w:space="0" w:color="auto"/>
            </w:tcBorders>
            <w:shd w:val="clear" w:color="000000" w:fill="C6E0B4"/>
            <w:noWrap/>
            <w:vAlign w:val="bottom"/>
            <w:hideMark/>
          </w:tcPr>
          <w:p w14:paraId="1E969237"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35 545 152,24 € </w:t>
            </w:r>
          </w:p>
        </w:tc>
        <w:tc>
          <w:tcPr>
            <w:tcW w:w="1660" w:type="dxa"/>
            <w:tcBorders>
              <w:top w:val="nil"/>
              <w:left w:val="nil"/>
              <w:bottom w:val="single" w:sz="4" w:space="0" w:color="auto"/>
              <w:right w:val="single" w:sz="4" w:space="0" w:color="auto"/>
            </w:tcBorders>
            <w:shd w:val="clear" w:color="000000" w:fill="C6E0B4"/>
            <w:noWrap/>
            <w:vAlign w:val="bottom"/>
            <w:hideMark/>
          </w:tcPr>
          <w:p w14:paraId="1174098C"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47 838 750,16 € </w:t>
            </w:r>
          </w:p>
        </w:tc>
        <w:tc>
          <w:tcPr>
            <w:tcW w:w="1803" w:type="dxa"/>
            <w:tcBorders>
              <w:top w:val="nil"/>
              <w:left w:val="nil"/>
              <w:bottom w:val="single" w:sz="4" w:space="0" w:color="auto"/>
              <w:right w:val="single" w:sz="4" w:space="0" w:color="auto"/>
            </w:tcBorders>
            <w:shd w:val="clear" w:color="000000" w:fill="C6E0B4"/>
            <w:noWrap/>
            <w:vAlign w:val="bottom"/>
            <w:hideMark/>
          </w:tcPr>
          <w:p w14:paraId="2B9EF0DD"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63 063 698,88 € </w:t>
            </w:r>
          </w:p>
        </w:tc>
      </w:tr>
      <w:tr w:rsidR="00795DA3" w:rsidRPr="00F87688" w14:paraId="425E72F1" w14:textId="77777777" w:rsidTr="00E1246E">
        <w:trPr>
          <w:trHeight w:val="300"/>
        </w:trPr>
        <w:tc>
          <w:tcPr>
            <w:tcW w:w="1985" w:type="dxa"/>
            <w:tcBorders>
              <w:top w:val="nil"/>
              <w:left w:val="single" w:sz="4" w:space="0" w:color="auto"/>
              <w:bottom w:val="single" w:sz="4" w:space="0" w:color="auto"/>
              <w:right w:val="single" w:sz="4" w:space="0" w:color="auto"/>
            </w:tcBorders>
            <w:shd w:val="clear" w:color="000000" w:fill="F8CBAD"/>
            <w:noWrap/>
            <w:vAlign w:val="bottom"/>
            <w:hideMark/>
          </w:tcPr>
          <w:p w14:paraId="735E7301"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Minimálna mzda</w:t>
            </w:r>
          </w:p>
        </w:tc>
        <w:tc>
          <w:tcPr>
            <w:tcW w:w="1701" w:type="dxa"/>
            <w:tcBorders>
              <w:top w:val="nil"/>
              <w:left w:val="nil"/>
              <w:bottom w:val="single" w:sz="4" w:space="0" w:color="auto"/>
              <w:right w:val="single" w:sz="4" w:space="0" w:color="auto"/>
            </w:tcBorders>
            <w:shd w:val="clear" w:color="000000" w:fill="F8CBAD"/>
            <w:noWrap/>
            <w:vAlign w:val="bottom"/>
            <w:hideMark/>
          </w:tcPr>
          <w:p w14:paraId="096ED598"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296 € </w:t>
            </w:r>
          </w:p>
        </w:tc>
        <w:tc>
          <w:tcPr>
            <w:tcW w:w="1640" w:type="dxa"/>
            <w:tcBorders>
              <w:top w:val="nil"/>
              <w:left w:val="nil"/>
              <w:bottom w:val="single" w:sz="4" w:space="0" w:color="auto"/>
              <w:right w:val="single" w:sz="4" w:space="0" w:color="auto"/>
            </w:tcBorders>
            <w:shd w:val="clear" w:color="000000" w:fill="F8CBAD"/>
            <w:noWrap/>
            <w:vAlign w:val="bottom"/>
            <w:hideMark/>
          </w:tcPr>
          <w:p w14:paraId="7C04CECE"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w:t>
            </w:r>
            <w:r>
              <w:rPr>
                <w:rFonts w:cs="Calibri"/>
                <w:color w:val="000000"/>
                <w:sz w:val="20"/>
                <w:lang w:eastAsia="sk-SK"/>
              </w:rPr>
              <w:t xml:space="preserve"> </w:t>
            </w:r>
            <w:r w:rsidRPr="00F87688">
              <w:rPr>
                <w:rFonts w:cs="Calibri"/>
                <w:color w:val="000000"/>
                <w:sz w:val="20"/>
                <w:lang w:eastAsia="sk-SK"/>
              </w:rPr>
              <w:t xml:space="preserve">           317 € </w:t>
            </w:r>
          </w:p>
        </w:tc>
        <w:tc>
          <w:tcPr>
            <w:tcW w:w="1660" w:type="dxa"/>
            <w:tcBorders>
              <w:top w:val="nil"/>
              <w:left w:val="nil"/>
              <w:bottom w:val="single" w:sz="4" w:space="0" w:color="auto"/>
              <w:right w:val="single" w:sz="4" w:space="0" w:color="auto"/>
            </w:tcBorders>
            <w:shd w:val="clear" w:color="000000" w:fill="F8CBAD"/>
            <w:noWrap/>
            <w:vAlign w:val="bottom"/>
            <w:hideMark/>
          </w:tcPr>
          <w:p w14:paraId="5F7EA394"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380 € </w:t>
            </w:r>
          </w:p>
        </w:tc>
        <w:tc>
          <w:tcPr>
            <w:tcW w:w="1803" w:type="dxa"/>
            <w:tcBorders>
              <w:top w:val="nil"/>
              <w:left w:val="nil"/>
              <w:bottom w:val="single" w:sz="4" w:space="0" w:color="auto"/>
              <w:right w:val="single" w:sz="4" w:space="0" w:color="auto"/>
            </w:tcBorders>
            <w:shd w:val="clear" w:color="000000" w:fill="F8CBAD"/>
            <w:noWrap/>
            <w:vAlign w:val="bottom"/>
            <w:hideMark/>
          </w:tcPr>
          <w:p w14:paraId="18565097" w14:textId="77777777" w:rsidR="00795DA3" w:rsidRPr="00F87688" w:rsidRDefault="00795DA3" w:rsidP="00E1246E">
            <w:pPr>
              <w:suppressAutoHyphens w:val="0"/>
              <w:spacing w:after="0" w:line="240" w:lineRule="auto"/>
              <w:jc w:val="center"/>
              <w:rPr>
                <w:rFonts w:cs="Calibri"/>
                <w:color w:val="000000"/>
                <w:sz w:val="20"/>
                <w:lang w:eastAsia="sk-SK"/>
              </w:rPr>
            </w:pPr>
            <w:r w:rsidRPr="00F87688">
              <w:rPr>
                <w:rFonts w:cs="Calibri"/>
                <w:color w:val="000000"/>
                <w:sz w:val="20"/>
                <w:lang w:eastAsia="sk-SK"/>
              </w:rPr>
              <w:t xml:space="preserve">                  520 € </w:t>
            </w:r>
          </w:p>
        </w:tc>
      </w:tr>
      <w:tr w:rsidR="00795DA3" w:rsidRPr="00F87688" w14:paraId="758742AA" w14:textId="77777777" w:rsidTr="00E1246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C6C6955"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Príspevok za hlasy</w:t>
            </w:r>
          </w:p>
        </w:tc>
        <w:tc>
          <w:tcPr>
            <w:tcW w:w="1701" w:type="dxa"/>
            <w:tcBorders>
              <w:top w:val="nil"/>
              <w:left w:val="nil"/>
              <w:bottom w:val="single" w:sz="4" w:space="0" w:color="auto"/>
              <w:right w:val="single" w:sz="4" w:space="0" w:color="auto"/>
            </w:tcBorders>
            <w:shd w:val="clear" w:color="auto" w:fill="auto"/>
            <w:noWrap/>
            <w:vAlign w:val="bottom"/>
            <w:hideMark/>
          </w:tcPr>
          <w:p w14:paraId="2611BD4B"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6 945 169,36 € </w:t>
            </w:r>
          </w:p>
        </w:tc>
        <w:tc>
          <w:tcPr>
            <w:tcW w:w="1640" w:type="dxa"/>
            <w:tcBorders>
              <w:top w:val="nil"/>
              <w:left w:val="nil"/>
              <w:bottom w:val="single" w:sz="4" w:space="0" w:color="auto"/>
              <w:right w:val="single" w:sz="4" w:space="0" w:color="auto"/>
            </w:tcBorders>
            <w:shd w:val="clear" w:color="auto" w:fill="auto"/>
            <w:noWrap/>
            <w:vAlign w:val="bottom"/>
            <w:hideMark/>
          </w:tcPr>
          <w:p w14:paraId="1197B0CE"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6 554 425,14 € </w:t>
            </w:r>
          </w:p>
        </w:tc>
        <w:tc>
          <w:tcPr>
            <w:tcW w:w="1660" w:type="dxa"/>
            <w:tcBorders>
              <w:top w:val="nil"/>
              <w:left w:val="nil"/>
              <w:bottom w:val="single" w:sz="4" w:space="0" w:color="auto"/>
              <w:right w:val="single" w:sz="4" w:space="0" w:color="auto"/>
            </w:tcBorders>
            <w:shd w:val="clear" w:color="auto" w:fill="auto"/>
            <w:noWrap/>
            <w:vAlign w:val="bottom"/>
            <w:hideMark/>
          </w:tcPr>
          <w:p w14:paraId="0366780D"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9 495 728,80 € </w:t>
            </w:r>
          </w:p>
        </w:tc>
        <w:tc>
          <w:tcPr>
            <w:tcW w:w="1803" w:type="dxa"/>
            <w:tcBorders>
              <w:top w:val="nil"/>
              <w:left w:val="nil"/>
              <w:bottom w:val="single" w:sz="4" w:space="0" w:color="auto"/>
              <w:right w:val="single" w:sz="4" w:space="0" w:color="auto"/>
            </w:tcBorders>
            <w:shd w:val="clear" w:color="auto" w:fill="auto"/>
            <w:noWrap/>
            <w:vAlign w:val="bottom"/>
            <w:hideMark/>
          </w:tcPr>
          <w:p w14:paraId="0D183A75"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13 977 766,40 € </w:t>
            </w:r>
          </w:p>
        </w:tc>
      </w:tr>
      <w:tr w:rsidR="00795DA3" w:rsidRPr="00F87688" w14:paraId="0A32F5AD" w14:textId="77777777" w:rsidTr="00E1246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1155B62"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Príspevok na činnosť</w:t>
            </w:r>
          </w:p>
        </w:tc>
        <w:tc>
          <w:tcPr>
            <w:tcW w:w="1701" w:type="dxa"/>
            <w:tcBorders>
              <w:top w:val="nil"/>
              <w:left w:val="nil"/>
              <w:bottom w:val="single" w:sz="4" w:space="0" w:color="auto"/>
              <w:right w:val="single" w:sz="4" w:space="0" w:color="auto"/>
            </w:tcBorders>
            <w:shd w:val="clear" w:color="auto" w:fill="auto"/>
            <w:noWrap/>
            <w:vAlign w:val="bottom"/>
            <w:hideMark/>
          </w:tcPr>
          <w:p w14:paraId="0B5FA089"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6 945 169,36 € </w:t>
            </w:r>
          </w:p>
        </w:tc>
        <w:tc>
          <w:tcPr>
            <w:tcW w:w="1640" w:type="dxa"/>
            <w:tcBorders>
              <w:top w:val="nil"/>
              <w:left w:val="nil"/>
              <w:bottom w:val="single" w:sz="4" w:space="0" w:color="auto"/>
              <w:right w:val="single" w:sz="4" w:space="0" w:color="auto"/>
            </w:tcBorders>
            <w:shd w:val="clear" w:color="auto" w:fill="auto"/>
            <w:noWrap/>
            <w:vAlign w:val="bottom"/>
            <w:hideMark/>
          </w:tcPr>
          <w:p w14:paraId="6E9E6AC1"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6 554 425,14 € </w:t>
            </w:r>
          </w:p>
        </w:tc>
        <w:tc>
          <w:tcPr>
            <w:tcW w:w="1660" w:type="dxa"/>
            <w:tcBorders>
              <w:top w:val="nil"/>
              <w:left w:val="nil"/>
              <w:bottom w:val="single" w:sz="4" w:space="0" w:color="auto"/>
              <w:right w:val="single" w:sz="4" w:space="0" w:color="auto"/>
            </w:tcBorders>
            <w:shd w:val="clear" w:color="auto" w:fill="auto"/>
            <w:noWrap/>
            <w:vAlign w:val="bottom"/>
            <w:hideMark/>
          </w:tcPr>
          <w:p w14:paraId="4E7256CA"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9 495 728,80 € </w:t>
            </w:r>
          </w:p>
        </w:tc>
        <w:tc>
          <w:tcPr>
            <w:tcW w:w="1803" w:type="dxa"/>
            <w:tcBorders>
              <w:top w:val="nil"/>
              <w:left w:val="nil"/>
              <w:bottom w:val="single" w:sz="4" w:space="0" w:color="auto"/>
              <w:right w:val="single" w:sz="4" w:space="0" w:color="auto"/>
            </w:tcBorders>
            <w:shd w:val="clear" w:color="auto" w:fill="auto"/>
            <w:noWrap/>
            <w:vAlign w:val="bottom"/>
            <w:hideMark/>
          </w:tcPr>
          <w:p w14:paraId="137853C9"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13 977 766,40 € </w:t>
            </w:r>
          </w:p>
        </w:tc>
      </w:tr>
      <w:tr w:rsidR="00795DA3" w:rsidRPr="00F87688" w14:paraId="635D4DD8" w14:textId="77777777" w:rsidTr="00E1246E">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007B567"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Príspevok na mandát</w:t>
            </w:r>
          </w:p>
        </w:tc>
        <w:tc>
          <w:tcPr>
            <w:tcW w:w="1701" w:type="dxa"/>
            <w:tcBorders>
              <w:top w:val="nil"/>
              <w:left w:val="nil"/>
              <w:bottom w:val="single" w:sz="4" w:space="0" w:color="auto"/>
              <w:right w:val="single" w:sz="4" w:space="0" w:color="auto"/>
            </w:tcBorders>
            <w:shd w:val="clear" w:color="auto" w:fill="auto"/>
            <w:noWrap/>
            <w:vAlign w:val="bottom"/>
            <w:hideMark/>
          </w:tcPr>
          <w:p w14:paraId="22C71C2B"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1 178 080,00 € </w:t>
            </w:r>
          </w:p>
        </w:tc>
        <w:tc>
          <w:tcPr>
            <w:tcW w:w="1640" w:type="dxa"/>
            <w:tcBorders>
              <w:top w:val="nil"/>
              <w:left w:val="nil"/>
              <w:bottom w:val="single" w:sz="4" w:space="0" w:color="auto"/>
              <w:right w:val="single" w:sz="4" w:space="0" w:color="auto"/>
            </w:tcBorders>
            <w:shd w:val="clear" w:color="auto" w:fill="auto"/>
            <w:noWrap/>
            <w:vAlign w:val="bottom"/>
            <w:hideMark/>
          </w:tcPr>
          <w:p w14:paraId="4B9058BD"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1 226 790,00 € </w:t>
            </w:r>
          </w:p>
        </w:tc>
        <w:tc>
          <w:tcPr>
            <w:tcW w:w="1660" w:type="dxa"/>
            <w:tcBorders>
              <w:top w:val="nil"/>
              <w:left w:val="nil"/>
              <w:bottom w:val="single" w:sz="4" w:space="0" w:color="auto"/>
              <w:right w:val="single" w:sz="4" w:space="0" w:color="auto"/>
            </w:tcBorders>
            <w:shd w:val="clear" w:color="auto" w:fill="auto"/>
            <w:noWrap/>
            <w:vAlign w:val="bottom"/>
            <w:hideMark/>
          </w:tcPr>
          <w:p w14:paraId="7BA9308F"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1 596 000,00 € </w:t>
            </w:r>
          </w:p>
        </w:tc>
        <w:tc>
          <w:tcPr>
            <w:tcW w:w="1803" w:type="dxa"/>
            <w:tcBorders>
              <w:top w:val="nil"/>
              <w:left w:val="nil"/>
              <w:bottom w:val="single" w:sz="4" w:space="0" w:color="auto"/>
              <w:right w:val="single" w:sz="4" w:space="0" w:color="auto"/>
            </w:tcBorders>
            <w:shd w:val="clear" w:color="auto" w:fill="auto"/>
            <w:noWrap/>
            <w:vAlign w:val="bottom"/>
            <w:hideMark/>
          </w:tcPr>
          <w:p w14:paraId="24B8DF5A" w14:textId="77777777" w:rsidR="00795DA3" w:rsidRPr="00F87688" w:rsidRDefault="00795DA3" w:rsidP="00E1246E">
            <w:pPr>
              <w:suppressAutoHyphens w:val="0"/>
              <w:spacing w:after="0" w:line="240" w:lineRule="auto"/>
              <w:rPr>
                <w:rFonts w:cs="Calibri"/>
                <w:color w:val="000000"/>
                <w:sz w:val="20"/>
                <w:lang w:eastAsia="sk-SK"/>
              </w:rPr>
            </w:pPr>
            <w:r w:rsidRPr="00F87688">
              <w:rPr>
                <w:rFonts w:cs="Calibri"/>
                <w:color w:val="000000"/>
                <w:sz w:val="20"/>
                <w:lang w:eastAsia="sk-SK"/>
              </w:rPr>
              <w:t xml:space="preserve">     2 074 800,00 € </w:t>
            </w:r>
          </w:p>
        </w:tc>
      </w:tr>
      <w:tr w:rsidR="00795DA3" w:rsidRPr="00F87688" w14:paraId="6837FE87" w14:textId="77777777" w:rsidTr="00E1246E">
        <w:trPr>
          <w:trHeight w:val="300"/>
        </w:trPr>
        <w:tc>
          <w:tcPr>
            <w:tcW w:w="1985" w:type="dxa"/>
            <w:tcBorders>
              <w:top w:val="nil"/>
              <w:left w:val="single" w:sz="4" w:space="0" w:color="auto"/>
              <w:bottom w:val="single" w:sz="4" w:space="0" w:color="auto"/>
              <w:right w:val="single" w:sz="4" w:space="0" w:color="auto"/>
            </w:tcBorders>
            <w:shd w:val="clear" w:color="000000" w:fill="C6E0B4"/>
            <w:noWrap/>
            <w:vAlign w:val="bottom"/>
            <w:hideMark/>
          </w:tcPr>
          <w:p w14:paraId="0D80429F"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Spolu</w:t>
            </w:r>
          </w:p>
        </w:tc>
        <w:tc>
          <w:tcPr>
            <w:tcW w:w="1701" w:type="dxa"/>
            <w:tcBorders>
              <w:top w:val="nil"/>
              <w:left w:val="nil"/>
              <w:bottom w:val="single" w:sz="4" w:space="0" w:color="auto"/>
              <w:right w:val="single" w:sz="4" w:space="0" w:color="auto"/>
            </w:tcBorders>
            <w:shd w:val="clear" w:color="000000" w:fill="C6E0B4"/>
            <w:noWrap/>
            <w:vAlign w:val="bottom"/>
            <w:hideMark/>
          </w:tcPr>
          <w:p w14:paraId="0C887780"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15 068 418,72 € </w:t>
            </w:r>
          </w:p>
        </w:tc>
        <w:tc>
          <w:tcPr>
            <w:tcW w:w="1640" w:type="dxa"/>
            <w:tcBorders>
              <w:top w:val="nil"/>
              <w:left w:val="nil"/>
              <w:bottom w:val="single" w:sz="4" w:space="0" w:color="auto"/>
              <w:right w:val="single" w:sz="4" w:space="0" w:color="auto"/>
            </w:tcBorders>
            <w:shd w:val="clear" w:color="000000" w:fill="C6E0B4"/>
            <w:noWrap/>
            <w:vAlign w:val="bottom"/>
            <w:hideMark/>
          </w:tcPr>
          <w:p w14:paraId="6A5D23A4"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14 335 640,28 € </w:t>
            </w:r>
          </w:p>
        </w:tc>
        <w:tc>
          <w:tcPr>
            <w:tcW w:w="1660" w:type="dxa"/>
            <w:tcBorders>
              <w:top w:val="nil"/>
              <w:left w:val="nil"/>
              <w:bottom w:val="single" w:sz="4" w:space="0" w:color="auto"/>
              <w:right w:val="single" w:sz="4" w:space="0" w:color="auto"/>
            </w:tcBorders>
            <w:shd w:val="clear" w:color="000000" w:fill="C6E0B4"/>
            <w:noWrap/>
            <w:vAlign w:val="bottom"/>
            <w:hideMark/>
          </w:tcPr>
          <w:p w14:paraId="122D48FC"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20 587 457,60 € </w:t>
            </w:r>
          </w:p>
        </w:tc>
        <w:tc>
          <w:tcPr>
            <w:tcW w:w="1803" w:type="dxa"/>
            <w:tcBorders>
              <w:top w:val="nil"/>
              <w:left w:val="nil"/>
              <w:bottom w:val="single" w:sz="4" w:space="0" w:color="auto"/>
              <w:right w:val="single" w:sz="4" w:space="0" w:color="auto"/>
            </w:tcBorders>
            <w:shd w:val="clear" w:color="000000" w:fill="C6E0B4"/>
            <w:noWrap/>
            <w:vAlign w:val="bottom"/>
            <w:hideMark/>
          </w:tcPr>
          <w:p w14:paraId="6E55AF6E" w14:textId="77777777" w:rsidR="00795DA3" w:rsidRPr="00F87688" w:rsidRDefault="00795DA3" w:rsidP="00E1246E">
            <w:pPr>
              <w:suppressAutoHyphens w:val="0"/>
              <w:spacing w:after="0" w:line="240" w:lineRule="auto"/>
              <w:rPr>
                <w:rFonts w:cs="Calibri"/>
                <w:b/>
                <w:bCs/>
                <w:color w:val="000000"/>
                <w:sz w:val="20"/>
                <w:lang w:eastAsia="sk-SK"/>
              </w:rPr>
            </w:pPr>
            <w:r w:rsidRPr="00F87688">
              <w:rPr>
                <w:rFonts w:cs="Calibri"/>
                <w:b/>
                <w:bCs/>
                <w:color w:val="000000"/>
                <w:sz w:val="20"/>
                <w:lang w:eastAsia="sk-SK"/>
              </w:rPr>
              <w:t xml:space="preserve">   30 030 332,80 € </w:t>
            </w:r>
          </w:p>
        </w:tc>
      </w:tr>
    </w:tbl>
    <w:p w14:paraId="472C6CB7" w14:textId="77777777" w:rsidR="00795DA3" w:rsidRPr="00795DA3" w:rsidRDefault="00795DA3" w:rsidP="00795DA3">
      <w:pPr>
        <w:jc w:val="both"/>
        <w:rPr>
          <w:rFonts w:ascii="Book Antiqua" w:hAnsi="Book Antiqua" w:cs="Arial"/>
          <w:bCs/>
          <w:color w:val="000000" w:themeColor="text1"/>
          <w:sz w:val="16"/>
        </w:rPr>
      </w:pPr>
      <w:r w:rsidRPr="00795DA3">
        <w:rPr>
          <w:rFonts w:ascii="Book Antiqua" w:hAnsi="Book Antiqua" w:cs="Arial"/>
          <w:bCs/>
          <w:color w:val="000000" w:themeColor="text1"/>
          <w:sz w:val="16"/>
        </w:rPr>
        <w:t>*priemerná mesačná nominálna mzda zamestnanca v hospodárstve Slovenskej republiky zverejnenej Štatistickým úradom Slovenskej republiky za kalendárny rok, ktorý predchádza kalendárnemu roku, v ktorom sa konajú voľby do Národnej rady Slovenskej republiky</w:t>
      </w:r>
    </w:p>
    <w:p w14:paraId="0E5382FF" w14:textId="77777777" w:rsidR="00795DA3" w:rsidRDefault="00795DA3" w:rsidP="00795DA3">
      <w:pPr>
        <w:jc w:val="both"/>
        <w:rPr>
          <w:rFonts w:ascii="Book Antiqua" w:hAnsi="Book Antiqua" w:cs="Arial"/>
          <w:bCs/>
          <w:color w:val="000000" w:themeColor="text1"/>
        </w:rPr>
      </w:pPr>
      <w:r>
        <w:rPr>
          <w:noProof/>
          <w:lang w:eastAsia="sk-SK"/>
        </w:rPr>
        <w:drawing>
          <wp:inline distT="0" distB="0" distL="0" distR="0" wp14:anchorId="72442245" wp14:editId="3AE3A907">
            <wp:extent cx="5591175" cy="5162549"/>
            <wp:effectExtent l="0" t="0" r="9525" b="63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48FCCBA" w14:textId="40734A2D" w:rsidR="001757E3" w:rsidRDefault="00356B93" w:rsidP="001757E3">
      <w:pPr>
        <w:ind w:firstLine="708"/>
        <w:jc w:val="both"/>
        <w:rPr>
          <w:rFonts w:ascii="Book Antiqua" w:hAnsi="Book Antiqua" w:cs="Book Antiqua"/>
        </w:rPr>
      </w:pPr>
      <w:r>
        <w:rPr>
          <w:rFonts w:ascii="Book Antiqua" w:hAnsi="Book Antiqua" w:cs="Book Antiqua"/>
          <w:b/>
        </w:rPr>
        <w:lastRenderedPageBreak/>
        <w:t>Ďalším</w:t>
      </w:r>
      <w:r w:rsidR="001757E3">
        <w:rPr>
          <w:rFonts w:ascii="Book Antiqua" w:hAnsi="Book Antiqua" w:cs="Book Antiqua"/>
          <w:b/>
        </w:rPr>
        <w:t xml:space="preserve"> z dôvodov na predloženie tejto novely je aj negatívny vývoj dlhu Slovenskej republiky. Podľa schváleného vládneho návrhu štátneho rozpočtu na rok 2021 sa očakáva, že celkový hotovostný dlh SR prekročí 55 miliárd eur.</w:t>
      </w:r>
      <w:r w:rsidR="001757E3">
        <w:rPr>
          <w:rFonts w:ascii="Book Antiqua" w:hAnsi="Book Antiqua" w:cs="Book Antiqua"/>
        </w:rPr>
        <w:t xml:space="preserve"> Každý obyvateľ Slovenska tak okrem svojich súkromných dlhov bude dlhovať v prepočte ďalších viac ako 10.000 eur. Zodpovednosť za tento stav nesú v rozhodujúcej miere práve poslanci NR SR, vláda SR a ďalší vedúci ústavní činitelia, ktorí dopustili, aby dlh Slovenska vzrástol do takejto extrémnej výšky.</w:t>
      </w:r>
    </w:p>
    <w:p w14:paraId="4BADF21B" w14:textId="77777777" w:rsidR="001757E3" w:rsidRPr="007774A2" w:rsidRDefault="001757E3" w:rsidP="001757E3">
      <w:pPr>
        <w:ind w:firstLine="708"/>
        <w:jc w:val="both"/>
        <w:rPr>
          <w:rFonts w:ascii="Book Antiqua" w:hAnsi="Book Antiqua" w:cs="Arial"/>
          <w:color w:val="000000" w:themeColor="text1"/>
        </w:rPr>
      </w:pPr>
      <w:r w:rsidRPr="007774A2">
        <w:rPr>
          <w:rFonts w:ascii="Book Antiqua" w:hAnsi="Book Antiqua" w:cs="Arial"/>
          <w:color w:val="000000" w:themeColor="text1"/>
        </w:rPr>
        <w:t>Je zrejmé, že ani poskytovanie štátnych finančných príspevkov politickým stranám</w:t>
      </w:r>
      <w:r>
        <w:rPr>
          <w:rFonts w:ascii="Book Antiqua" w:hAnsi="Book Antiqua" w:cs="Arial"/>
          <w:color w:val="000000" w:themeColor="text1"/>
        </w:rPr>
        <w:t xml:space="preserve"> v takomto vysokom rozsahu</w:t>
      </w:r>
      <w:r w:rsidRPr="007774A2">
        <w:rPr>
          <w:rFonts w:ascii="Book Antiqua" w:hAnsi="Book Antiqua" w:cs="Arial"/>
          <w:color w:val="000000" w:themeColor="text1"/>
        </w:rPr>
        <w:t xml:space="preserve"> v skutočnosti nezabránilo ovládnutiu mnohých politických strán oligarchami, ale viedlo len k zvýšeniu súm, za ktoré si oligarchovia kupujú priazeň niektorých politikov. Rovnako, ako ani zvyšovanie platov sudcov neobmedzilo korupciu na súdoch, </w:t>
      </w:r>
      <w:r>
        <w:rPr>
          <w:rFonts w:ascii="Book Antiqua" w:hAnsi="Book Antiqua" w:cs="Arial"/>
          <w:color w:val="000000" w:themeColor="text1"/>
        </w:rPr>
        <w:br/>
      </w:r>
      <w:r w:rsidRPr="007774A2">
        <w:rPr>
          <w:rFonts w:ascii="Book Antiqua" w:hAnsi="Book Antiqua" w:cs="Arial"/>
          <w:color w:val="000000" w:themeColor="text1"/>
        </w:rPr>
        <w:t xml:space="preserve">ale len zvýšilo sumy úplatkov. </w:t>
      </w:r>
      <w:r w:rsidRPr="007774A2">
        <w:rPr>
          <w:rFonts w:ascii="Book Antiqua" w:hAnsi="Book Antiqua" w:cs="Arial"/>
          <w:b/>
          <w:color w:val="000000" w:themeColor="text1"/>
        </w:rPr>
        <w:t xml:space="preserve">Ani zvýšenie, ani udržanie súčasnej úrovne štátnych príspevkov politickým stranám nezaručí odolnosť proti korupcii, pretože tá vychádza </w:t>
      </w:r>
      <w:r>
        <w:rPr>
          <w:rFonts w:ascii="Book Antiqua" w:hAnsi="Book Antiqua" w:cs="Arial"/>
          <w:b/>
          <w:color w:val="000000" w:themeColor="text1"/>
        </w:rPr>
        <w:br/>
      </w:r>
      <w:r w:rsidRPr="007774A2">
        <w:rPr>
          <w:rFonts w:ascii="Book Antiqua" w:hAnsi="Book Antiqua" w:cs="Arial"/>
          <w:b/>
          <w:color w:val="000000" w:themeColor="text1"/>
        </w:rPr>
        <w:t>z charakteru ľudí. Charakter rozhoduje.</w:t>
      </w:r>
    </w:p>
    <w:p w14:paraId="6B2DDD6F" w14:textId="77777777" w:rsidR="001757E3" w:rsidRDefault="001757E3" w:rsidP="001757E3">
      <w:pPr>
        <w:ind w:firstLine="708"/>
        <w:jc w:val="both"/>
        <w:rPr>
          <w:rFonts w:ascii="Book Antiqua" w:hAnsi="Book Antiqua" w:cs="Book Antiqua"/>
          <w:b/>
        </w:rPr>
      </w:pPr>
      <w:r w:rsidRPr="007774A2">
        <w:rPr>
          <w:rFonts w:ascii="Book Antiqua" w:hAnsi="Book Antiqua" w:cs="Arial"/>
          <w:color w:val="000000" w:themeColor="text1"/>
        </w:rPr>
        <w:t>Činnosť politických strán a hnutí by mala byť financovaná</w:t>
      </w:r>
      <w:r>
        <w:rPr>
          <w:rFonts w:ascii="Book Antiqua" w:hAnsi="Book Antiqua" w:cs="Arial"/>
          <w:color w:val="000000" w:themeColor="text1"/>
        </w:rPr>
        <w:t xml:space="preserve"> len v minimálnej miere </w:t>
      </w:r>
      <w:r>
        <w:rPr>
          <w:rFonts w:ascii="Book Antiqua" w:hAnsi="Book Antiqua" w:cs="Arial"/>
          <w:color w:val="000000" w:themeColor="text1"/>
        </w:rPr>
        <w:br/>
        <w:t xml:space="preserve">zo štátneho rozpočtu. Súčasná výška štátnych príspevkov sa však viaže na </w:t>
      </w:r>
      <w:r w:rsidRPr="007774A2">
        <w:rPr>
          <w:rFonts w:ascii="Book Antiqua" w:hAnsi="Book Antiqua" w:cs="Arial"/>
          <w:color w:val="000000" w:themeColor="text1"/>
        </w:rPr>
        <w:t>priemernú nominálnu mesačnú mzdu zamestnanca v hospodárstve Slovenskej republiky</w:t>
      </w:r>
      <w:r>
        <w:rPr>
          <w:rFonts w:ascii="Book Antiqua" w:hAnsi="Book Antiqua" w:cs="Arial"/>
          <w:color w:val="000000" w:themeColor="text1"/>
        </w:rPr>
        <w:t xml:space="preserve">, čo považujeme za neprimerané. </w:t>
      </w:r>
      <w:r w:rsidRPr="007774A2">
        <w:rPr>
          <w:rFonts w:ascii="Book Antiqua" w:hAnsi="Book Antiqua" w:cs="Arial"/>
          <w:b/>
          <w:color w:val="000000" w:themeColor="text1"/>
        </w:rPr>
        <w:t xml:space="preserve">Podľa predloženého návrhu zákona by sa po novom </w:t>
      </w:r>
      <w:r>
        <w:rPr>
          <w:rFonts w:ascii="Book Antiqua" w:hAnsi="Book Antiqua" w:cs="Arial"/>
          <w:b/>
          <w:color w:val="000000" w:themeColor="text1"/>
        </w:rPr>
        <w:t xml:space="preserve">výška štátnych príspevkov viazala na minimálnu mesačnú mzdu, ktorá lepšie </w:t>
      </w:r>
      <w:r>
        <w:rPr>
          <w:rFonts w:ascii="Book Antiqua" w:hAnsi="Book Antiqua" w:cs="Book Antiqua"/>
          <w:b/>
        </w:rPr>
        <w:t xml:space="preserve">odzrkadľuje reálne platové pomery väčšiny bežných ľudí na Slovensku. </w:t>
      </w:r>
    </w:p>
    <w:p w14:paraId="4B9E2184" w14:textId="5472DF0B" w:rsidR="007774A2" w:rsidRPr="00356B93" w:rsidRDefault="007774A2" w:rsidP="007774A2">
      <w:pPr>
        <w:ind w:firstLine="708"/>
        <w:jc w:val="both"/>
        <w:rPr>
          <w:rFonts w:ascii="Book Antiqua" w:hAnsi="Book Antiqua" w:cs="Arial"/>
          <w:color w:val="000000" w:themeColor="text1"/>
        </w:rPr>
      </w:pPr>
      <w:r w:rsidRPr="00356B93">
        <w:rPr>
          <w:rFonts w:ascii="Book Antiqua" w:hAnsi="Book Antiqua" w:cs="Arial"/>
          <w:color w:val="000000" w:themeColor="text1"/>
        </w:rPr>
        <w:t>Predložený návrh má jednoznačne pozitívny vplyv na štátny rozpočet</w:t>
      </w:r>
      <w:r w:rsidR="00E930C7" w:rsidRPr="00356B93">
        <w:rPr>
          <w:rFonts w:ascii="Book Antiqua" w:hAnsi="Book Antiqua" w:cs="Arial"/>
          <w:color w:val="000000" w:themeColor="text1"/>
        </w:rPr>
        <w:t>, pretože by viedla len v rámci jedného vole</w:t>
      </w:r>
      <w:r w:rsidR="00356B93">
        <w:rPr>
          <w:rFonts w:ascii="Book Antiqua" w:hAnsi="Book Antiqua" w:cs="Arial"/>
          <w:color w:val="000000" w:themeColor="text1"/>
        </w:rPr>
        <w:t>bného obdobia viedla k úspore viac ako 30</w:t>
      </w:r>
      <w:r w:rsidR="00E930C7" w:rsidRPr="00356B93">
        <w:rPr>
          <w:rFonts w:ascii="Book Antiqua" w:hAnsi="Book Antiqua" w:cs="Arial"/>
          <w:color w:val="000000" w:themeColor="text1"/>
        </w:rPr>
        <w:t xml:space="preserve"> mil. eur.</w:t>
      </w:r>
    </w:p>
    <w:p w14:paraId="38B7213F" w14:textId="77777777" w:rsidR="007774A2" w:rsidRPr="00A07A2E" w:rsidRDefault="007774A2" w:rsidP="00A07A2E">
      <w:pPr>
        <w:ind w:firstLine="708"/>
        <w:jc w:val="both"/>
        <w:rPr>
          <w:rFonts w:ascii="Book Antiqua" w:hAnsi="Book Antiqua" w:cs="Arial"/>
          <w:u w:val="single"/>
        </w:rPr>
      </w:pPr>
    </w:p>
    <w:p w14:paraId="139A1CC7" w14:textId="77777777" w:rsidR="00B3477B" w:rsidRPr="009F6924" w:rsidRDefault="00CF106B" w:rsidP="00B3477B">
      <w:pPr>
        <w:numPr>
          <w:ilvl w:val="0"/>
          <w:numId w:val="1"/>
        </w:numPr>
        <w:ind w:left="270" w:hanging="270"/>
        <w:rPr>
          <w:rFonts w:ascii="Book Antiqua" w:hAnsi="Book Antiqua" w:cs="Arial"/>
          <w:b/>
          <w:i/>
          <w:color w:val="000000"/>
        </w:rPr>
      </w:pPr>
      <w:r>
        <w:rPr>
          <w:rFonts w:ascii="Book Antiqua" w:hAnsi="Book Antiqua" w:cs="Arial"/>
          <w:b/>
          <w:i/>
          <w:color w:val="000000"/>
        </w:rPr>
        <w:br w:type="page"/>
      </w:r>
      <w:r w:rsidR="00B3477B" w:rsidRPr="009F6924">
        <w:rPr>
          <w:rFonts w:ascii="Book Antiqua" w:hAnsi="Book Antiqua" w:cs="Arial"/>
          <w:b/>
          <w:i/>
          <w:color w:val="000000"/>
        </w:rPr>
        <w:lastRenderedPageBreak/>
        <w:t>Osobitná časť</w:t>
      </w:r>
    </w:p>
    <w:p w14:paraId="1A4ECB06" w14:textId="77777777" w:rsidR="00B3477B" w:rsidRPr="009F6924" w:rsidRDefault="00B3477B" w:rsidP="00B3477B">
      <w:pPr>
        <w:ind w:left="360"/>
        <w:jc w:val="both"/>
        <w:rPr>
          <w:rFonts w:ascii="Book Antiqua" w:hAnsi="Book Antiqua" w:cs="Arial"/>
          <w:color w:val="000000"/>
        </w:rPr>
      </w:pPr>
      <w:r>
        <w:rPr>
          <w:noProof/>
          <w:lang w:eastAsia="sk-SK"/>
        </w:rPr>
        <mc:AlternateContent>
          <mc:Choice Requires="wps">
            <w:drawing>
              <wp:anchor distT="4294967294" distB="4294967294" distL="114300" distR="114300" simplePos="0" relativeHeight="251662336" behindDoc="0" locked="0" layoutInCell="1" allowOverlap="1" wp14:anchorId="06A75A8A" wp14:editId="5D491E66">
                <wp:simplePos x="0" y="0"/>
                <wp:positionH relativeFrom="column">
                  <wp:posOffset>-4445</wp:posOffset>
                </wp:positionH>
                <wp:positionV relativeFrom="paragraph">
                  <wp:posOffset>34924</wp:posOffset>
                </wp:positionV>
                <wp:extent cx="5778500" cy="0"/>
                <wp:effectExtent l="0" t="0" r="0" b="0"/>
                <wp:wrapNone/>
                <wp:docPr id="3"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38F5D" id="_x0000_t32" coordsize="21600,21600" o:spt="32" o:oned="t" path="m,l21600,21600e" filled="f">
                <v:path arrowok="t" fillok="f" o:connecttype="none"/>
                <o:lock v:ext="edit" shapetype="t"/>
              </v:shapetype>
              <v:shape id="Rovná spojovacia šípka 1" o:spid="_x0000_s1026" type="#_x0000_t32" style="position:absolute;margin-left:-.35pt;margin-top:2.75pt;width:4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"/>
            </w:pict>
          </mc:Fallback>
        </mc:AlternateContent>
      </w:r>
    </w:p>
    <w:p w14:paraId="5BCF58A7" w14:textId="77777777" w:rsidR="00B3477B" w:rsidRPr="00B94FBD" w:rsidRDefault="00B3477B" w:rsidP="00B3477B">
      <w:pPr>
        <w:jc w:val="both"/>
        <w:rPr>
          <w:rFonts w:ascii="Book Antiqua" w:hAnsi="Book Antiqua" w:cs="Arial"/>
          <w:b/>
          <w:color w:val="000000"/>
        </w:rPr>
      </w:pPr>
      <w:r>
        <w:rPr>
          <w:rFonts w:ascii="Book Antiqua" w:hAnsi="Book Antiqua" w:cs="Arial"/>
          <w:b/>
          <w:color w:val="000000"/>
        </w:rPr>
        <w:t>Čl. I</w:t>
      </w:r>
    </w:p>
    <w:p w14:paraId="3C88F6B4" w14:textId="77777777" w:rsidR="00B3477B" w:rsidRPr="00B94FBD" w:rsidRDefault="00B3477B" w:rsidP="00B3477B">
      <w:pPr>
        <w:jc w:val="both"/>
        <w:rPr>
          <w:rFonts w:ascii="Book Antiqua" w:hAnsi="Book Antiqua" w:cs="Arial"/>
          <w:color w:val="000000"/>
          <w:u w:val="single"/>
        </w:rPr>
      </w:pPr>
      <w:r w:rsidRPr="00B94FBD">
        <w:rPr>
          <w:rFonts w:ascii="Book Antiqua" w:hAnsi="Book Antiqua" w:cs="Arial"/>
          <w:color w:val="000000"/>
          <w:u w:val="single"/>
        </w:rPr>
        <w:t>K bodu 1</w:t>
      </w:r>
    </w:p>
    <w:p w14:paraId="6D6D30C7" w14:textId="5E351426" w:rsidR="00B3477B" w:rsidRDefault="00B3477B" w:rsidP="00B3477B">
      <w:pPr>
        <w:jc w:val="both"/>
        <w:rPr>
          <w:rFonts w:ascii="Book Antiqua" w:hAnsi="Book Antiqua" w:cs="Arial"/>
          <w:color w:val="000000"/>
        </w:rPr>
      </w:pPr>
      <w:r>
        <w:rPr>
          <w:rFonts w:ascii="Book Antiqua" w:hAnsi="Book Antiqua" w:cs="Arial"/>
          <w:color w:val="000000"/>
        </w:rPr>
        <w:tab/>
      </w:r>
      <w:r w:rsidR="00E930C7">
        <w:rPr>
          <w:rFonts w:ascii="Book Antiqua" w:hAnsi="Book Antiqua" w:cs="Arial"/>
          <w:color w:val="000000"/>
        </w:rPr>
        <w:t xml:space="preserve">Príspevok za hlasy a na neho naviazaný príspevok na činnosť by sa po novom počítal nie z priemernej mesačnej mzdy, ale z minimálnej mesačnej mzdy. </w:t>
      </w:r>
    </w:p>
    <w:p w14:paraId="10F536E2" w14:textId="77777777" w:rsidR="00B3477B" w:rsidRPr="00B94FBD" w:rsidRDefault="00B3477B" w:rsidP="00B3477B">
      <w:pPr>
        <w:jc w:val="both"/>
        <w:rPr>
          <w:rFonts w:ascii="Book Antiqua" w:hAnsi="Book Antiqua" w:cs="Arial"/>
          <w:bCs/>
          <w:color w:val="000000"/>
          <w:u w:val="single"/>
        </w:rPr>
      </w:pPr>
      <w:r w:rsidRPr="00B94FBD">
        <w:rPr>
          <w:rFonts w:ascii="Book Antiqua" w:hAnsi="Book Antiqua" w:cs="Arial"/>
          <w:bCs/>
          <w:color w:val="000000"/>
          <w:u w:val="single"/>
        </w:rPr>
        <w:t>K bodu 2</w:t>
      </w:r>
    </w:p>
    <w:p w14:paraId="2A4747DB" w14:textId="18E8C1F0" w:rsidR="00B3477B" w:rsidRPr="007B1E3A" w:rsidRDefault="00E930C7" w:rsidP="00B3477B">
      <w:pPr>
        <w:ind w:firstLine="708"/>
        <w:jc w:val="both"/>
        <w:rPr>
          <w:rFonts w:ascii="Book Antiqua" w:hAnsi="Book Antiqua" w:cs="Arial"/>
          <w:bCs/>
          <w:color w:val="000000"/>
          <w:u w:val="single"/>
        </w:rPr>
      </w:pPr>
      <w:r>
        <w:rPr>
          <w:rFonts w:ascii="Book Antiqua" w:hAnsi="Book Antiqua" w:cs="Arial"/>
          <w:color w:val="000000"/>
        </w:rPr>
        <w:t>Podobne ako príspevok za hlasy a príspevok na činnosť by sa aj príspevok na mandát po novom počítal z minimálnej mesačnej mzdy</w:t>
      </w:r>
      <w:r w:rsidR="00B3477B">
        <w:rPr>
          <w:rFonts w:ascii="Book Antiqua" w:hAnsi="Book Antiqua" w:cs="Arial"/>
          <w:bCs/>
          <w:color w:val="000000"/>
        </w:rPr>
        <w:t>.</w:t>
      </w:r>
    </w:p>
    <w:p w14:paraId="0B9C688A" w14:textId="77777777" w:rsidR="00B3477B" w:rsidRDefault="00B3477B" w:rsidP="00B3477B">
      <w:pPr>
        <w:suppressAutoHyphens w:val="0"/>
        <w:rPr>
          <w:rFonts w:ascii="Book Antiqua" w:hAnsi="Book Antiqua" w:cs="Arial"/>
          <w:b/>
          <w:color w:val="000000"/>
        </w:rPr>
      </w:pPr>
    </w:p>
    <w:p w14:paraId="0A6330A8" w14:textId="77777777" w:rsidR="00CF106B" w:rsidRPr="00B94FBD" w:rsidRDefault="00CF106B" w:rsidP="00B3477B">
      <w:pPr>
        <w:suppressAutoHyphens w:val="0"/>
        <w:rPr>
          <w:rFonts w:ascii="Book Antiqua" w:hAnsi="Book Antiqua" w:cs="Arial"/>
          <w:b/>
          <w:color w:val="000000"/>
        </w:rPr>
      </w:pPr>
      <w:r w:rsidRPr="00B94FBD">
        <w:rPr>
          <w:rFonts w:ascii="Book Antiqua" w:hAnsi="Book Antiqua" w:cs="Arial"/>
          <w:b/>
          <w:color w:val="000000"/>
        </w:rPr>
        <w:t>Čl. II</w:t>
      </w:r>
    </w:p>
    <w:p w14:paraId="1A4E4B31" w14:textId="77777777" w:rsidR="00206CD6" w:rsidRPr="008D1CB7" w:rsidRDefault="00206CD6" w:rsidP="00206CD6">
      <w:pPr>
        <w:pStyle w:val="Default"/>
        <w:ind w:firstLine="708"/>
        <w:jc w:val="both"/>
        <w:rPr>
          <w:rFonts w:ascii="Book Antiqua" w:hAnsi="Book Antiqua" w:cs="Book Antiqua"/>
          <w:color w:val="000000" w:themeColor="text1"/>
          <w:sz w:val="22"/>
          <w:szCs w:val="22"/>
        </w:rPr>
      </w:pPr>
      <w:r w:rsidRPr="00164DA2">
        <w:rPr>
          <w:rFonts w:ascii="Book Antiqua" w:hAnsi="Book Antiqua" w:cs="Arial"/>
          <w:color w:val="000000" w:themeColor="text1"/>
          <w:sz w:val="22"/>
          <w:szCs w:val="22"/>
        </w:rPr>
        <w:t>Navrhuje sa účinnosť</w:t>
      </w:r>
      <w:r>
        <w:rPr>
          <w:rFonts w:ascii="Book Antiqua" w:hAnsi="Book Antiqua" w:cs="Arial"/>
          <w:color w:val="000000" w:themeColor="text1"/>
          <w:sz w:val="22"/>
          <w:szCs w:val="22"/>
        </w:rPr>
        <w:t xml:space="preserve"> </w:t>
      </w:r>
      <w:r w:rsidRPr="00164DA2">
        <w:rPr>
          <w:rFonts w:ascii="Book Antiqua" w:hAnsi="Book Antiqua" w:cs="Arial"/>
          <w:color w:val="000000" w:themeColor="text1"/>
          <w:sz w:val="22"/>
          <w:szCs w:val="22"/>
        </w:rPr>
        <w:t xml:space="preserve">zákona </w:t>
      </w:r>
      <w:r w:rsidRPr="00164DA2">
        <w:rPr>
          <w:rFonts w:ascii="Book Antiqua" w:hAnsi="Book Antiqua"/>
          <w:color w:val="000000" w:themeColor="text1"/>
          <w:sz w:val="22"/>
        </w:rPr>
        <w:t>pätnástym dňom po jeho vyhlásení v Zbierke zákonov</w:t>
      </w:r>
      <w:r w:rsidRPr="00164DA2">
        <w:rPr>
          <w:rFonts w:ascii="Book Antiqua" w:hAnsi="Book Antiqua" w:cs="Times New Roman"/>
          <w:color w:val="000000" w:themeColor="text1"/>
          <w:sz w:val="22"/>
          <w:szCs w:val="22"/>
          <w:lang w:bidi="ar-SA"/>
        </w:rPr>
        <w:t>.</w:t>
      </w:r>
    </w:p>
    <w:p w14:paraId="48A74615" w14:textId="77777777" w:rsidR="00CF106B" w:rsidRPr="001D6141" w:rsidRDefault="00CF106B" w:rsidP="00206CD6">
      <w:pPr>
        <w:ind w:firstLine="708"/>
        <w:jc w:val="both"/>
        <w:rPr>
          <w:rFonts w:ascii="Book Antiqua" w:hAnsi="Book Antiqua" w:cs="Book Antiqua"/>
          <w:color w:val="000000"/>
          <w:kern w:val="1"/>
        </w:rPr>
      </w:pPr>
    </w:p>
    <w:sectPr w:rsidR="00CF106B" w:rsidRPr="001D6141" w:rsidSect="001D6141">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Book Antiqua">
    <w:altName w:val="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659D1"/>
    <w:multiLevelType w:val="hybridMultilevel"/>
    <w:tmpl w:val="D480DEE4"/>
    <w:lvl w:ilvl="0" w:tplc="F5B6E7E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411635A2"/>
    <w:multiLevelType w:val="hybridMultilevel"/>
    <w:tmpl w:val="7B3411E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473C0834"/>
    <w:multiLevelType w:val="hybridMultilevel"/>
    <w:tmpl w:val="9F1CA23C"/>
    <w:lvl w:ilvl="0" w:tplc="CF4E9D6C">
      <w:start w:val="1"/>
      <w:numFmt w:val="upperRoman"/>
      <w:lvlText w:val="%1."/>
      <w:lvlJc w:val="left"/>
      <w:pPr>
        <w:ind w:left="16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51"/>
    <w:rsid w:val="00017410"/>
    <w:rsid w:val="00023051"/>
    <w:rsid w:val="00041289"/>
    <w:rsid w:val="00060225"/>
    <w:rsid w:val="00075BB4"/>
    <w:rsid w:val="00106558"/>
    <w:rsid w:val="00160B4B"/>
    <w:rsid w:val="001757E3"/>
    <w:rsid w:val="001B226E"/>
    <w:rsid w:val="001D6141"/>
    <w:rsid w:val="00206CD6"/>
    <w:rsid w:val="00225163"/>
    <w:rsid w:val="002359EA"/>
    <w:rsid w:val="00242AA7"/>
    <w:rsid w:val="00244146"/>
    <w:rsid w:val="0025190F"/>
    <w:rsid w:val="00263697"/>
    <w:rsid w:val="00276DD6"/>
    <w:rsid w:val="002E138E"/>
    <w:rsid w:val="0031752B"/>
    <w:rsid w:val="00356B93"/>
    <w:rsid w:val="003849F5"/>
    <w:rsid w:val="00393CE9"/>
    <w:rsid w:val="003F1D03"/>
    <w:rsid w:val="00474892"/>
    <w:rsid w:val="00520652"/>
    <w:rsid w:val="00550FB0"/>
    <w:rsid w:val="00553DAC"/>
    <w:rsid w:val="005C05B1"/>
    <w:rsid w:val="005E234B"/>
    <w:rsid w:val="006C1AC0"/>
    <w:rsid w:val="006D29DE"/>
    <w:rsid w:val="00704E65"/>
    <w:rsid w:val="00765895"/>
    <w:rsid w:val="007747B0"/>
    <w:rsid w:val="00775B3B"/>
    <w:rsid w:val="007774A2"/>
    <w:rsid w:val="00795DA3"/>
    <w:rsid w:val="007B1E3A"/>
    <w:rsid w:val="007B6E38"/>
    <w:rsid w:val="007D3F1A"/>
    <w:rsid w:val="007E5FC7"/>
    <w:rsid w:val="007F6946"/>
    <w:rsid w:val="00800636"/>
    <w:rsid w:val="008667AA"/>
    <w:rsid w:val="00886A55"/>
    <w:rsid w:val="008E5F65"/>
    <w:rsid w:val="00967F9F"/>
    <w:rsid w:val="00991D46"/>
    <w:rsid w:val="009D3EFB"/>
    <w:rsid w:val="00A07A2E"/>
    <w:rsid w:val="00A20494"/>
    <w:rsid w:val="00A2524E"/>
    <w:rsid w:val="00A87007"/>
    <w:rsid w:val="00A9469E"/>
    <w:rsid w:val="00A96EFE"/>
    <w:rsid w:val="00AE2066"/>
    <w:rsid w:val="00B25A23"/>
    <w:rsid w:val="00B3477B"/>
    <w:rsid w:val="00B52508"/>
    <w:rsid w:val="00BB7F7C"/>
    <w:rsid w:val="00C800E9"/>
    <w:rsid w:val="00CC6613"/>
    <w:rsid w:val="00CE43AE"/>
    <w:rsid w:val="00CF106B"/>
    <w:rsid w:val="00D0696B"/>
    <w:rsid w:val="00D267B2"/>
    <w:rsid w:val="00D71388"/>
    <w:rsid w:val="00D827B3"/>
    <w:rsid w:val="00DC251B"/>
    <w:rsid w:val="00DF4AD4"/>
    <w:rsid w:val="00E602AB"/>
    <w:rsid w:val="00E930C7"/>
    <w:rsid w:val="00ED2CE5"/>
    <w:rsid w:val="00EF2A0B"/>
    <w:rsid w:val="00F21C8C"/>
    <w:rsid w:val="00F71646"/>
    <w:rsid w:val="00F8768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3A31"/>
  <w15:docId w15:val="{431756DA-9882-46B9-883E-5BFE7377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3051"/>
    <w:pPr>
      <w:suppressAutoHyphens/>
    </w:pPr>
    <w:rPr>
      <w:rFonts w:ascii="Calibri" w:eastAsia="Times New Roman" w:hAnsi="Calibri" w:cs="Times New Roman"/>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2305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23051"/>
    <w:rPr>
      <w:rFonts w:ascii="Tahoma" w:eastAsia="Times New Roman" w:hAnsi="Tahoma" w:cs="Tahoma"/>
      <w:sz w:val="16"/>
      <w:szCs w:val="16"/>
      <w:lang w:eastAsia="zh-CN"/>
    </w:rPr>
  </w:style>
  <w:style w:type="paragraph" w:customStyle="1" w:styleId="Default">
    <w:name w:val="Default"/>
    <w:rsid w:val="00206CD6"/>
    <w:pPr>
      <w:widowControl w:val="0"/>
      <w:suppressAutoHyphens/>
      <w:autoSpaceDE w:val="0"/>
      <w:spacing w:after="0" w:line="240" w:lineRule="auto"/>
    </w:pPr>
    <w:rPr>
      <w:rFonts w:ascii="Liberation Serif" w:eastAsia="Times New Roman" w:hAnsi="Liberation Serif" w:cs="Liberation Serif"/>
      <w:color w:val="000000"/>
      <w:kern w:val="1"/>
      <w:sz w:val="24"/>
      <w:szCs w:val="24"/>
      <w:lang w:eastAsia="zh-CN" w:bidi="hi-IN"/>
    </w:rPr>
  </w:style>
  <w:style w:type="paragraph" w:styleId="Odsekzoznamu">
    <w:name w:val="List Paragraph"/>
    <w:basedOn w:val="Normlny"/>
    <w:uiPriority w:val="34"/>
    <w:qFormat/>
    <w:rsid w:val="00CC6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6487">
      <w:bodyDiv w:val="1"/>
      <w:marLeft w:val="0"/>
      <w:marRight w:val="0"/>
      <w:marTop w:val="0"/>
      <w:marBottom w:val="0"/>
      <w:divBdr>
        <w:top w:val="none" w:sz="0" w:space="0" w:color="auto"/>
        <w:left w:val="none" w:sz="0" w:space="0" w:color="auto"/>
        <w:bottom w:val="none" w:sz="0" w:space="0" w:color="auto"/>
        <w:right w:val="none" w:sz="0" w:space="0" w:color="auto"/>
      </w:divBdr>
    </w:div>
    <w:div w:id="941767629">
      <w:bodyDiv w:val="1"/>
      <w:marLeft w:val="0"/>
      <w:marRight w:val="0"/>
      <w:marTop w:val="0"/>
      <w:marBottom w:val="0"/>
      <w:divBdr>
        <w:top w:val="none" w:sz="0" w:space="0" w:color="auto"/>
        <w:left w:val="none" w:sz="0" w:space="0" w:color="auto"/>
        <w:bottom w:val="none" w:sz="0" w:space="0" w:color="auto"/>
        <w:right w:val="none" w:sz="0" w:space="0" w:color="auto"/>
      </w:divBdr>
    </w:div>
    <w:div w:id="1702240793">
      <w:bodyDiv w:val="1"/>
      <w:marLeft w:val="0"/>
      <w:marRight w:val="0"/>
      <w:marTop w:val="0"/>
      <w:marBottom w:val="0"/>
      <w:divBdr>
        <w:top w:val="none" w:sz="0" w:space="0" w:color="auto"/>
        <w:left w:val="none" w:sz="0" w:space="0" w:color="auto"/>
        <w:bottom w:val="none" w:sz="0" w:space="0" w:color="auto"/>
        <w:right w:val="none" w:sz="0" w:space="0" w:color="auto"/>
      </w:divBdr>
    </w:div>
    <w:div w:id="19655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tin_belusky\Dropbox\&#317;SNS\NR%20SR\Z&#225;kony\_VIII.%20volebn&#233;%20odbobie\14%20Pr&#237;spevky%20pre%20strany\Tabu&#318;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554763987834853"/>
          <c:y val="5.7040998217468802E-2"/>
          <c:w val="0.79682743360783603"/>
          <c:h val="0.87808104200878634"/>
        </c:manualLayout>
      </c:layout>
      <c:lineChart>
        <c:grouping val="standard"/>
        <c:varyColors val="0"/>
        <c:ser>
          <c:idx val="0"/>
          <c:order val="0"/>
          <c:tx>
            <c:v>"Príspevky v závislosti od priemernej mzdy"</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Spracované!$B$3:$E$3</c:f>
              <c:numCache>
                <c:formatCode>General</c:formatCode>
                <c:ptCount val="4"/>
                <c:pt idx="0">
                  <c:v>2010</c:v>
                </c:pt>
                <c:pt idx="1">
                  <c:v>2012</c:v>
                </c:pt>
                <c:pt idx="2">
                  <c:v>2016</c:v>
                </c:pt>
                <c:pt idx="3">
                  <c:v>2020</c:v>
                </c:pt>
              </c:numCache>
            </c:numRef>
          </c:cat>
          <c:val>
            <c:numRef>
              <c:f>Spracované!$B$8:$E$8</c:f>
              <c:numCache>
                <c:formatCode>_-* #\ ##0.00\ [$€-1]_-;\-* #\ ##0.00\ [$€-1]_-;_-* "-"??\ [$€-1]_-;_-@_-</c:formatCode>
                <c:ptCount val="4"/>
                <c:pt idx="0">
                  <c:v>37925580.899999999</c:v>
                </c:pt>
                <c:pt idx="1">
                  <c:v>35545152.240000002</c:v>
                </c:pt>
                <c:pt idx="2">
                  <c:v>47838750.160000004</c:v>
                </c:pt>
                <c:pt idx="3">
                  <c:v>63063698.880000003</c:v>
                </c:pt>
              </c:numCache>
            </c:numRef>
          </c:val>
          <c:smooth val="0"/>
          <c:extLst>
            <c:ext xmlns:c16="http://schemas.microsoft.com/office/drawing/2014/chart" uri="{C3380CC4-5D6E-409C-BE32-E72D297353CC}">
              <c16:uniqueId val="{00000000-50B4-4892-ADD4-75E058DA5AF8}"/>
            </c:ext>
          </c:extLst>
        </c:ser>
        <c:ser>
          <c:idx val="1"/>
          <c:order val="1"/>
          <c:tx>
            <c:v>"Príspevky v závislosti od minimálnej mzdy"</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Spracované!$B$13:$E$13</c:f>
              <c:numCache>
                <c:formatCode>_-* #\ ##0.00\ [$€-1]_-;\-* #\ ##0.00\ [$€-1]_-;_-* "-"??\ [$€-1]_-;_-@_-</c:formatCode>
                <c:ptCount val="4"/>
                <c:pt idx="0">
                  <c:v>15068418.720000001</c:v>
                </c:pt>
                <c:pt idx="1">
                  <c:v>14335640.279999999</c:v>
                </c:pt>
                <c:pt idx="2">
                  <c:v>20587457.600000001</c:v>
                </c:pt>
                <c:pt idx="3">
                  <c:v>30030332.800000001</c:v>
                </c:pt>
              </c:numCache>
            </c:numRef>
          </c:val>
          <c:smooth val="0"/>
          <c:extLst>
            <c:ext xmlns:c16="http://schemas.microsoft.com/office/drawing/2014/chart" uri="{C3380CC4-5D6E-409C-BE32-E72D297353CC}">
              <c16:uniqueId val="{00000001-50B4-4892-ADD4-75E058DA5AF8}"/>
            </c:ext>
          </c:extLst>
        </c:ser>
        <c:dLbls>
          <c:showLegendKey val="0"/>
          <c:showVal val="0"/>
          <c:showCatName val="0"/>
          <c:showSerName val="0"/>
          <c:showPercent val="0"/>
          <c:showBubbleSize val="0"/>
        </c:dLbls>
        <c:smooth val="0"/>
        <c:axId val="334408976"/>
        <c:axId val="334414224"/>
      </c:lineChart>
      <c:catAx>
        <c:axId val="33440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34414224"/>
        <c:crosses val="autoZero"/>
        <c:auto val="1"/>
        <c:lblAlgn val="ctr"/>
        <c:lblOffset val="100"/>
        <c:noMultiLvlLbl val="0"/>
      </c:catAx>
      <c:valAx>
        <c:axId val="334414224"/>
        <c:scaling>
          <c:orientation val="minMax"/>
        </c:scaling>
        <c:delete val="0"/>
        <c:axPos val="l"/>
        <c:majorGridlines>
          <c:spPr>
            <a:ln w="9525" cap="flat" cmpd="sng" algn="ctr">
              <a:solidFill>
                <a:schemeClr val="tx1">
                  <a:lumMod val="15000"/>
                  <a:lumOff val="85000"/>
                </a:schemeClr>
              </a:solidFill>
              <a:round/>
            </a:ln>
            <a:effectLst/>
          </c:spPr>
        </c:majorGridlines>
        <c:numFmt formatCode="_-* #\ ##0.00\ [$€-1]_-;\-* #\ ##0.00\ [$€-1]_-;_-* &quot;-&quot;??\ [$€-1]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34408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k-SK"/>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999</Words>
  <Characters>5700</Characters>
  <Application>Microsoft Office Word</Application>
  <DocSecurity>0</DocSecurity>
  <Lines>47</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ADMIN</cp:lastModifiedBy>
  <cp:revision>41</cp:revision>
  <cp:lastPrinted>2020-06-16T11:02:00Z</cp:lastPrinted>
  <dcterms:created xsi:type="dcterms:W3CDTF">2019-08-22T16:37:00Z</dcterms:created>
  <dcterms:modified xsi:type="dcterms:W3CDTF">2021-05-26T13:11:00Z</dcterms:modified>
</cp:coreProperties>
</file>